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rPr>
          <w:rFonts w:ascii="仿宋" w:hAnsi="仿宋" w:eastAsia="仿宋"/>
          <w:b/>
          <w:sz w:val="36"/>
          <w:szCs w:val="36"/>
        </w:rPr>
      </w:pPr>
      <w:r>
        <w:rPr>
          <w:rFonts w:hint="eastAsia" w:ascii="仿宋" w:hAnsi="仿宋" w:eastAsia="仿宋"/>
          <w:b/>
          <w:sz w:val="36"/>
          <w:szCs w:val="36"/>
        </w:rPr>
        <w:t>　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 xml:space="preserve">大石桥市中医院门诊病房综合楼棉纺织制品采购项目 </w:t>
          </w:r>
        </w:sdtContent>
      </w:sdt>
    </w:p>
    <w:p>
      <w:pPr>
        <w:spacing w:line="640" w:lineRule="exact"/>
        <w:rPr>
          <w:rFonts w:ascii="仿宋" w:hAnsi="仿宋" w:eastAsia="仿宋"/>
          <w:b/>
          <w:sz w:val="36"/>
          <w:szCs w:val="36"/>
        </w:rPr>
      </w:pPr>
      <w:r>
        <w:rPr>
          <w:rFonts w:hint="eastAsia" w:ascii="仿宋" w:hAnsi="仿宋" w:eastAsia="仿宋"/>
          <w:b/>
          <w:sz w:val="36"/>
          <w:szCs w:val="36"/>
        </w:rPr>
        <w:t>　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DSQZC2021-028 </w:t>
          </w:r>
        </w:sdtContent>
      </w:sdt>
    </w:p>
    <w:p>
      <w:pPr>
        <w:spacing w:line="640" w:lineRule="exact"/>
        <w:rPr>
          <w:rFonts w:ascii="仿宋" w:hAnsi="仿宋" w:eastAsia="仿宋"/>
          <w:b/>
          <w:sz w:val="36"/>
          <w:szCs w:val="36"/>
        </w:rPr>
      </w:pPr>
      <w:r>
        <w:rPr>
          <w:rFonts w:hint="eastAsia" w:ascii="仿宋" w:hAnsi="仿宋" w:eastAsia="仿宋"/>
          <w:b/>
          <w:sz w:val="36"/>
          <w:szCs w:val="36"/>
        </w:rPr>
        <w:t>　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大石桥市审批技术审查与公共资源交易中心 </w:t>
          </w:r>
        </w:sdtContent>
      </w:sdt>
    </w:p>
    <w:p>
      <w:pPr>
        <w:widowControl/>
        <w:jc w:val="left"/>
        <w:rPr>
          <w:rFonts w:ascii="宋体" w:hAnsi="宋体"/>
          <w:b/>
          <w:sz w:val="84"/>
          <w:szCs w:val="84"/>
        </w:rPr>
      </w:pPr>
      <w:r>
        <w:rPr>
          <w:rFonts w:ascii="宋体" w:hAnsi="宋体"/>
          <w:b/>
          <w:sz w:val="84"/>
          <w:szCs w:val="84"/>
        </w:rPr>
        <w:br w:type="page"/>
      </w:r>
    </w:p>
    <w:p>
      <w:pPr>
        <w:jc w:val="center"/>
        <w:rPr>
          <w:rFonts w:ascii="仿宋" w:hAnsi="仿宋" w:eastAsia="仿宋"/>
          <w:b/>
          <w:sz w:val="72"/>
          <w:szCs w:val="72"/>
        </w:rPr>
      </w:pPr>
      <w:r>
        <w:rPr>
          <w:rFonts w:hint="eastAsia" w:ascii="仿宋" w:hAnsi="仿宋" w:eastAsia="仿宋"/>
          <w:b/>
          <w:sz w:val="72"/>
          <w:szCs w:val="72"/>
        </w:rPr>
        <w:t>本次政府采购</w:t>
      </w:r>
    </w:p>
    <w:p>
      <w:pPr>
        <w:jc w:val="center"/>
        <w:rPr>
          <w:rFonts w:ascii="仿宋" w:hAnsi="仿宋" w:eastAsia="仿宋"/>
          <w:b/>
          <w:sz w:val="72"/>
          <w:szCs w:val="72"/>
        </w:rPr>
      </w:pPr>
      <w:r>
        <w:rPr>
          <w:rFonts w:hint="eastAsia" w:ascii="仿宋" w:hAnsi="仿宋" w:eastAsia="仿宋"/>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仿宋" w:hAnsi="仿宋" w:eastAsia="仿宋"/>
          <w:sz w:val="44"/>
          <w:szCs w:val="44"/>
        </w:rPr>
      </w:pPr>
      <w:r>
        <w:rPr>
          <w:rFonts w:hint="eastAsia" w:ascii="仿宋" w:hAnsi="仿宋" w:eastAsia="仿宋"/>
          <w:bCs/>
          <w:sz w:val="44"/>
          <w:szCs w:val="44"/>
        </w:rPr>
        <w:t>递交投标文件时必</w:t>
      </w:r>
      <w:r>
        <w:rPr>
          <w:rFonts w:hint="eastAsia" w:ascii="仿宋" w:hAnsi="仿宋" w:eastAsia="仿宋"/>
          <w:sz w:val="44"/>
          <w:szCs w:val="44"/>
        </w:rPr>
        <w:t>须手持的有效证件：</w:t>
      </w:r>
    </w:p>
    <w:sdt>
      <w:sdtPr>
        <w:rPr>
          <w:rFonts w:hint="eastAsia"/>
        </w:rPr>
        <w:alias w:val="手持文件内容"/>
        <w:tag w:val="shouchiwenjian"/>
        <w:id w:val="-241642685"/>
        <w:lock w:val="sdtLocked"/>
      </w:sdtPr>
      <w:sdtEndPr>
        <w:rPr>
          <w:rFonts w:hint="eastAsia"/>
        </w:rPr>
      </w:sdtEndPr>
      <w:sdtContent>
        <w:p>
          <w:pPr>
            <w:rPr>
              <w:sz w:val="32"/>
              <w:szCs w:val="32"/>
            </w:rPr>
          </w:pPr>
        </w:p>
        <w:p>
          <w:pPr>
            <w:rPr>
              <w:sz w:val="32"/>
              <w:szCs w:val="32"/>
            </w:rPr>
          </w:pPr>
          <w:r>
            <w:rPr>
              <w:rFonts w:hint="eastAsia"/>
              <w:sz w:val="32"/>
              <w:szCs w:val="32"/>
            </w:rPr>
            <w:t>一、营业执照（副本）原件、税务登记证副本复印件，如果三证合一只需提供营业执照副本复印件；</w:t>
          </w:r>
        </w:p>
        <w:p>
          <w:pPr>
            <w:rPr>
              <w:sz w:val="32"/>
              <w:szCs w:val="32"/>
            </w:rPr>
          </w:pPr>
          <w:r>
            <w:rPr>
              <w:rFonts w:hint="eastAsia"/>
              <w:sz w:val="32"/>
              <w:szCs w:val="32"/>
            </w:rPr>
            <w:t>二、法定代表人或授权代表本人身份证复印件；</w:t>
          </w:r>
        </w:p>
        <w:p>
          <w:pPr>
            <w:rPr>
              <w:sz w:val="32"/>
              <w:szCs w:val="32"/>
            </w:rPr>
          </w:pPr>
          <w:r>
            <w:rPr>
              <w:rFonts w:hint="eastAsia"/>
              <w:sz w:val="32"/>
              <w:szCs w:val="32"/>
            </w:rPr>
            <w:t>三、法定代表人身份证明书或法定代表人授权委托书复印件；</w:t>
          </w:r>
        </w:p>
        <w:p>
          <w:pPr>
            <w:rPr>
              <w:sz w:val="32"/>
              <w:szCs w:val="32"/>
            </w:rPr>
          </w:pPr>
          <w:r>
            <w:rPr>
              <w:rFonts w:hint="eastAsia"/>
              <w:sz w:val="32"/>
              <w:szCs w:val="32"/>
            </w:rPr>
            <w:t>四、投标保证金缴纳证明（汇款凭证复印件或电子回执单复印件加盖公章）；</w:t>
          </w:r>
        </w:p>
        <w:p>
          <w:pPr>
            <w:rPr>
              <w:rFonts w:ascii="宋体" w:hAnsi="宋体"/>
            </w:rPr>
          </w:pPr>
        </w:p>
      </w:sdtContent>
    </w:sdt>
    <w:p>
      <w:pPr>
        <w:spacing w:line="500" w:lineRule="exact"/>
        <w:rPr>
          <w:rFonts w:ascii="宋体" w:hAnsi="宋体"/>
          <w:bCs/>
          <w:sz w:val="44"/>
          <w:szCs w:val="44"/>
        </w:rPr>
      </w:pPr>
    </w:p>
    <w:p>
      <w:pPr>
        <w:spacing w:line="500" w:lineRule="exact"/>
        <w:ind w:firstLine="880" w:firstLineChars="200"/>
        <w:rPr>
          <w:rFonts w:ascii="仿宋" w:hAnsi="仿宋" w:eastAsia="仿宋"/>
          <w:bCs/>
          <w:sz w:val="44"/>
          <w:szCs w:val="44"/>
        </w:rPr>
      </w:pPr>
      <w:r>
        <w:rPr>
          <w:rFonts w:hint="eastAsia" w:ascii="仿宋" w:hAnsi="仿宋" w:eastAsia="仿宋"/>
          <w:bCs/>
          <w:sz w:val="44"/>
          <w:szCs w:val="44"/>
        </w:rPr>
        <w:t>未递交上述证件将</w:t>
      </w:r>
      <w:r>
        <w:rPr>
          <w:rFonts w:hint="eastAsia" w:ascii="仿宋" w:hAnsi="仿宋" w:eastAsia="仿宋"/>
          <w:b/>
          <w:bCs/>
          <w:sz w:val="44"/>
          <w:szCs w:val="44"/>
        </w:rPr>
        <w:t>不允许</w:t>
      </w:r>
      <w:r>
        <w:rPr>
          <w:rFonts w:hint="eastAsia" w:ascii="仿宋" w:hAnsi="仿宋" w:eastAsia="仿宋"/>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招标公告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spacing w:line="600" w:lineRule="auto"/>
        <w:rPr>
          <w:rFonts w:ascii="仿宋" w:hAnsi="仿宋" w:eastAsia="仿宋"/>
          <w:b/>
          <w:bCs/>
          <w:sz w:val="36"/>
          <w:szCs w:val="36"/>
        </w:rPr>
      </w:pPr>
    </w:p>
    <w:p>
      <w:pPr>
        <w:widowControl/>
        <w:jc w:val="left"/>
        <w:rPr>
          <w:rFonts w:ascii="仿宋" w:hAnsi="仿宋" w:eastAsia="仿宋"/>
          <w:b/>
          <w:bCs/>
          <w:sz w:val="36"/>
          <w:szCs w:val="36"/>
        </w:rPr>
      </w:pPr>
      <w:r>
        <w:rPr>
          <w:rFonts w:ascii="仿宋" w:hAnsi="仿宋" w:eastAsia="仿宋"/>
          <w:b/>
          <w:bCs/>
          <w:sz w:val="36"/>
          <w:szCs w:val="36"/>
        </w:rPr>
        <w:br w:type="page"/>
      </w:r>
    </w:p>
    <w:p>
      <w:pPr>
        <w:pStyle w:val="2"/>
        <w:snapToGrid w:val="0"/>
        <w:spacing w:before="312" w:beforeLines="100" w:after="312" w:afterLines="100" w:line="360" w:lineRule="auto"/>
        <w:jc w:val="center"/>
        <w:rPr>
          <w:rFonts w:eastAsia="华文中宋"/>
          <w:bCs w:val="0"/>
        </w:rPr>
      </w:pPr>
      <w:bookmarkStart w:id="0" w:name="_Toc28359001"/>
      <w:bookmarkStart w:id="1" w:name="_Toc35393789"/>
      <w:r>
        <w:rPr>
          <w:rFonts w:hint="eastAsia" w:ascii="仿宋_GB2312" w:hAnsi="仿宋_GB2312" w:eastAsia="仿宋_GB2312" w:cs="仿宋_GB2312"/>
        </w:rPr>
        <w:t>（</w:t>
      </w:r>
      <w:sdt>
        <w:sdtPr>
          <w:rPr>
            <w:rFonts w:hint="eastAsia" w:ascii="仿宋" w:hAnsi="仿宋" w:eastAsia="仿宋"/>
            <w:szCs w:val="21"/>
          </w:rPr>
          <w:alias w:val="项目名称"/>
          <w:tag w:val="项目名称"/>
          <w:id w:val="-1962331922"/>
          <w:placeholder>
            <w:docPart w:val="78519DA9DE774588A2C10CD84F9B4B38"/>
          </w:placeholder>
        </w:sdtPr>
        <w:sdtEndPr>
          <w:rPr>
            <w:rFonts w:hint="eastAsia" w:ascii="仿宋" w:hAnsi="仿宋" w:eastAsia="仿宋"/>
            <w:szCs w:val="21"/>
          </w:rPr>
        </w:sdtEndPr>
        <w:sdtContent>
          <w:r>
            <w:rPr>
              <w:rFonts w:hint="eastAsia" w:ascii="仿宋" w:hAnsi="仿宋" w:eastAsia="仿宋"/>
              <w:szCs w:val="21"/>
            </w:rPr>
            <w:t>大石桥市中医院门诊病房综合楼棉纺织制品采购项目</w:t>
          </w:r>
        </w:sdtContent>
      </w:sdt>
      <w:r>
        <w:rPr>
          <w:rFonts w:hint="eastAsia" w:ascii="仿宋_GB2312" w:hAnsi="仿宋_GB2312" w:eastAsia="仿宋_GB2312" w:cs="仿宋_GB2312"/>
        </w:rPr>
        <w:t>）的招标公告</w:t>
      </w:r>
      <w:bookmarkEnd w:id="0"/>
      <w:bookmarkEnd w:id="1"/>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3937DDF6754E4DC8949BA1C07EC12235"/>
          </w:placeholder>
        </w:sdtPr>
        <w:sdtEndPr>
          <w:rPr>
            <w:rFonts w:hint="eastAsia" w:ascii="仿宋" w:hAnsi="仿宋" w:eastAsia="仿宋"/>
            <w:szCs w:val="21"/>
          </w:rPr>
        </w:sdtEndPr>
        <w:sdtContent>
          <w:r>
            <w:rPr>
              <w:rFonts w:hint="eastAsia" w:ascii="仿宋" w:hAnsi="仿宋" w:eastAsia="仿宋"/>
              <w:szCs w:val="21"/>
            </w:rPr>
            <w:t>大石桥市中医院门诊病房综合楼棉纺织制品采购项目</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503F4FB70634506BCEB449FFDF779C9"/>
          </w:placeholder>
        </w:sdtPr>
        <w:sdtEndPr>
          <w:rPr>
            <w:rFonts w:hint="eastAsia" w:ascii="仿宋" w:hAnsi="仿宋" w:eastAsia="仿宋"/>
            <w:szCs w:val="21"/>
          </w:rPr>
        </w:sdtEndPr>
        <w:sdtContent>
          <w:r>
            <w:rPr>
              <w:rFonts w:hint="eastAsia" w:ascii="仿宋" w:hAnsi="仿宋" w:eastAsia="仿宋"/>
              <w:szCs w:val="21"/>
            </w:rPr>
            <w:t>DSQZC2021-028</w:t>
          </w:r>
        </w:sdtContent>
      </w:sdt>
      <w:r>
        <w:rPr>
          <w:rFonts w:hint="eastAsia" w:ascii="仿宋" w:hAnsi="仿宋" w:eastAsia="仿宋"/>
          <w:szCs w:val="21"/>
        </w:rPr>
        <w:t>）招标项目的潜在供应商应在营口市审批技术审查与公共资源交易平台获取招标文件，并于</w:t>
      </w:r>
      <w:sdt>
        <w:sdtPr>
          <w:rPr>
            <w:rFonts w:hint="eastAsia" w:ascii="仿宋" w:hAnsi="仿宋" w:eastAsia="仿宋"/>
            <w:szCs w:val="21"/>
          </w:rPr>
          <w:alias w:val="开标时间"/>
          <w:tag w:val="开标时间"/>
          <w:id w:val="1899012286"/>
          <w:placeholder>
            <w:docPart w:val="4D843EE7A246474EBC7475302E4761A8"/>
          </w:placeholder>
        </w:sdtPr>
        <w:sdtEndPr>
          <w:rPr>
            <w:rFonts w:hint="eastAsia" w:ascii="仿宋" w:hAnsi="仿宋" w:eastAsia="仿宋"/>
            <w:szCs w:val="21"/>
          </w:rPr>
        </w:sdtEndPr>
        <w:sdtContent>
          <w:r>
            <w:rPr>
              <w:rFonts w:hint="eastAsia" w:ascii="仿宋" w:hAnsi="仿宋" w:eastAsia="仿宋"/>
              <w:szCs w:val="21"/>
            </w:rPr>
            <w:t>2021</w:t>
          </w:r>
          <w:r>
            <w:rPr>
              <w:rFonts w:hint="eastAsia" w:ascii="仿宋" w:hAnsi="仿宋" w:eastAsia="仿宋"/>
              <w:szCs w:val="21"/>
              <w:lang w:eastAsia="zh-CN"/>
            </w:rPr>
            <w:t>年</w:t>
          </w:r>
          <w:r>
            <w:rPr>
              <w:rFonts w:hint="eastAsia" w:ascii="仿宋" w:hAnsi="仿宋" w:eastAsia="仿宋"/>
              <w:szCs w:val="21"/>
            </w:rPr>
            <w:t>12</w:t>
          </w:r>
          <w:r>
            <w:rPr>
              <w:rFonts w:hint="eastAsia" w:ascii="仿宋" w:hAnsi="仿宋" w:eastAsia="仿宋"/>
              <w:szCs w:val="21"/>
              <w:lang w:eastAsia="zh-CN"/>
            </w:rPr>
            <w:t>月</w:t>
          </w:r>
          <w:r>
            <w:rPr>
              <w:rFonts w:hint="eastAsia" w:ascii="仿宋" w:hAnsi="仿宋" w:eastAsia="仿宋"/>
              <w:szCs w:val="21"/>
            </w:rPr>
            <w:t>10</w:t>
          </w:r>
          <w:r>
            <w:rPr>
              <w:rFonts w:hint="eastAsia" w:ascii="仿宋" w:hAnsi="仿宋" w:eastAsia="仿宋"/>
              <w:szCs w:val="21"/>
              <w:lang w:eastAsia="zh-CN"/>
            </w:rPr>
            <w:t>日</w:t>
          </w:r>
          <w:r>
            <w:rPr>
              <w:rFonts w:hint="eastAsia" w:ascii="仿宋" w:hAnsi="仿宋" w:eastAsia="仿宋"/>
              <w:szCs w:val="21"/>
            </w:rPr>
            <w:t xml:space="preserve"> 9:30</w:t>
          </w:r>
          <w:r>
            <w:rPr>
              <w:rFonts w:hint="eastAsia" w:ascii="仿宋" w:hAnsi="仿宋" w:eastAsia="仿宋"/>
              <w:szCs w:val="21"/>
              <w:lang w:eastAsia="zh-CN"/>
            </w:rPr>
            <w:t>分</w:t>
          </w:r>
        </w:sdtContent>
      </w:sdt>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spacing w:line="360"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2" w:name="_Toc35393621"/>
      <w:bookmarkStart w:id="3" w:name="_Toc28359079"/>
      <w:bookmarkStart w:id="4" w:name="_Toc28359002"/>
      <w:bookmarkStart w:id="5" w:name="_Toc35393790"/>
      <w:bookmarkStart w:id="6" w:name="_Hlk24379207"/>
      <w:r>
        <w:rPr>
          <w:rFonts w:hint="eastAsia" w:ascii="仿宋" w:hAnsi="仿宋" w:eastAsia="仿宋" w:cs="宋体"/>
          <w:bCs/>
          <w:szCs w:val="21"/>
        </w:rPr>
        <w:t>一、项目基本情况</w:t>
      </w:r>
      <w:bookmarkEnd w:id="2"/>
      <w:bookmarkEnd w:id="3"/>
      <w:bookmarkEnd w:id="4"/>
      <w:bookmarkEnd w:id="5"/>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8F148327C99140CDB330408E23A15744"/>
          </w:placeholder>
        </w:sdtPr>
        <w:sdtEndPr>
          <w:rPr>
            <w:rFonts w:hint="eastAsia" w:ascii="仿宋" w:hAnsi="仿宋" w:eastAsia="仿宋"/>
            <w:szCs w:val="21"/>
          </w:rPr>
        </w:sdtEndPr>
        <w:sdtContent>
          <w:r>
            <w:rPr>
              <w:rFonts w:hint="eastAsia" w:ascii="仿宋" w:hAnsi="仿宋" w:eastAsia="仿宋"/>
              <w:szCs w:val="21"/>
            </w:rPr>
            <w:t>DSQZC2021-028</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B35C797DD53C41DF804608D4D289AA66"/>
          </w:placeholder>
        </w:sdtPr>
        <w:sdtEndPr>
          <w:rPr>
            <w:rFonts w:hint="eastAsia" w:ascii="仿宋" w:hAnsi="仿宋" w:eastAsia="仿宋"/>
            <w:szCs w:val="21"/>
          </w:rPr>
        </w:sdtEndPr>
        <w:sdtContent>
          <w:r>
            <w:rPr>
              <w:rFonts w:hint="eastAsia" w:ascii="仿宋" w:hAnsi="仿宋" w:eastAsia="仿宋"/>
              <w:szCs w:val="21"/>
            </w:rPr>
            <w:t>大石桥市中医院门诊病房综合楼棉纺织制品采购项目</w:t>
          </w:r>
        </w:sdtContent>
      </w:sdt>
    </w:p>
    <w:bookmarkEnd w:id="6"/>
    <w:p>
      <w:pPr>
        <w:ind w:firstLine="420" w:firstLineChars="200"/>
        <w:rPr>
          <w:rFonts w:ascii="仿宋" w:hAnsi="仿宋" w:eastAsia="仿宋"/>
          <w:szCs w:val="21"/>
        </w:rPr>
      </w:pPr>
      <w:r>
        <w:rPr>
          <w:rFonts w:hint="eastAsia" w:ascii="仿宋" w:hAnsi="仿宋" w:eastAsia="仿宋"/>
          <w:szCs w:val="21"/>
        </w:rPr>
        <w:t>采购方式：公开招标</w:t>
      </w:r>
    </w:p>
    <w:p>
      <w:pPr>
        <w:spacing w:line="276" w:lineRule="auto"/>
        <w:ind w:firstLine="420" w:firstLineChars="200"/>
        <w:rPr>
          <w:rFonts w:ascii="仿宋" w:hAnsi="仿宋" w:eastAsia="仿宋"/>
          <w:szCs w:val="21"/>
        </w:rPr>
      </w:pPr>
      <w:r>
        <w:rPr>
          <w:rFonts w:hint="eastAsia" w:ascii="仿宋" w:hAnsi="仿宋" w:eastAsia="仿宋"/>
          <w:szCs w:val="21"/>
        </w:rPr>
        <w:t>预算金额：8</w:t>
      </w:r>
      <w:r>
        <w:rPr>
          <w:rFonts w:ascii="仿宋" w:hAnsi="仿宋" w:eastAsia="仿宋"/>
          <w:szCs w:val="21"/>
        </w:rPr>
        <w:t>95000</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9"/>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8"/>
                  <w:rPr>
                    <w:rFonts w:ascii="仿宋" w:hAnsi="仿宋" w:eastAsia="仿宋"/>
                  </w:rPr>
                </w:pPr>
                <w:r>
                  <w:rPr>
                    <w:rFonts w:hint="eastAsia" w:ascii="仿宋" w:hAnsi="仿宋" w:eastAsia="仿宋"/>
                  </w:rPr>
                  <w:fldChar w:fldCharType="begin"/>
                </w:r>
                <w:r>
                  <w:rPr>
                    <w:rFonts w:hint="eastAsia" w:ascii="仿宋" w:hAnsi="仿宋" w:eastAsia="仿宋"/>
                  </w:rPr>
                  <w:instrText xml:space="preserve"> DOCPROPERTY  包详细信息  \* MERGEFORMAT </w:instrText>
                </w:r>
                <w:r>
                  <w:rPr>
                    <w:rFonts w:hint="eastAsia" w:ascii="仿宋" w:hAnsi="仿宋" w:eastAsia="仿宋"/>
                  </w:rPr>
                  <w:fldChar w:fldCharType="separate"/>
                </w:r>
                <w:r>
                  <w:rPr>
                    <w:rFonts w:hint="eastAsia" w:ascii="仿宋" w:hAnsi="仿宋" w:eastAsia="仿宋"/>
                  </w:rPr>
                  <w:t>包号</w:t>
                </w:r>
                <w:r>
                  <w:rPr>
                    <w:rFonts w:hint="eastAsia" w:ascii="仿宋" w:hAnsi="仿宋" w:eastAsia="仿宋"/>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rPr>
                </w:pPr>
                <w:r>
                  <w:rPr>
                    <w:rFonts w:hint="eastAsia" w:ascii="仿宋" w:hAnsi="仿宋" w:eastAsia="仿宋"/>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rPr>
                </w:pPr>
                <w:r>
                  <w:rPr>
                    <w:rFonts w:hint="eastAsia" w:ascii="仿宋" w:hAnsi="仿宋" w:eastAsia="仿宋"/>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rPr>
                </w:pPr>
                <w:r>
                  <w:rPr>
                    <w:rFonts w:hint="eastAsia" w:ascii="仿宋" w:hAnsi="仿宋" w:eastAsia="仿宋"/>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rPr>
                </w:pPr>
                <w:r>
                  <w:rPr>
                    <w:rFonts w:hint="eastAsia" w:ascii="仿宋" w:hAnsi="仿宋" w:eastAsia="仿宋"/>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rPr>
                </w:pPr>
                <w:r>
                  <w:rPr>
                    <w:rFonts w:hint="eastAsia" w:ascii="仿宋" w:hAnsi="仿宋" w:eastAsia="仿宋"/>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8"/>
                  <w:rPr>
                    <w:rFonts w:ascii="仿宋" w:hAnsi="仿宋" w:eastAsia="仿宋"/>
                  </w:rPr>
                </w:pPr>
                <w:r>
                  <w:rPr>
                    <w:rFonts w:hint="eastAsia" w:ascii="仿宋" w:hAnsi="仿宋" w:eastAsia="仿宋"/>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rPr>
                </w:pPr>
                <w:r>
                  <w:rPr>
                    <w:rFonts w:hint="eastAsia" w:ascii="仿宋" w:hAnsi="仿宋" w:eastAsia="仿宋"/>
                  </w:rPr>
                  <w:t>大石桥市中医院门诊病房综合楼棉纺织制品采购项目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rPr>
                </w:pPr>
                <w:r>
                  <w:rPr>
                    <w:rFonts w:hint="eastAsia" w:ascii="仿宋" w:hAnsi="仿宋" w:eastAsia="仿宋"/>
                  </w:rPr>
                  <w:t>8</w:t>
                </w:r>
                <w:r>
                  <w:rPr>
                    <w:rFonts w:ascii="仿宋" w:hAnsi="仿宋" w:eastAsia="仿宋"/>
                  </w:rPr>
                  <w:t>95000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rPr>
                </w:pPr>
                <w:r>
                  <w:rPr>
                    <w:rFonts w:hint="eastAsia" w:ascii="仿宋" w:hAnsi="仿宋" w:eastAsia="仿宋"/>
                  </w:rPr>
                  <w:t>8</w:t>
                </w:r>
                <w:r>
                  <w:rPr>
                    <w:rFonts w:ascii="仿宋" w:hAnsi="仿宋" w:eastAsia="仿宋"/>
                  </w:rPr>
                  <w:t>950</w:t>
                </w:r>
              </w:p>
            </w:tc>
            <w:sdt>
              <w:sdtPr>
                <w:rPr>
                  <w:rFonts w:hint="eastAsia" w:ascii="仿宋" w:hAnsi="仿宋" w:eastAsia="仿宋"/>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8"/>
                      <w:rPr>
                        <w:rFonts w:ascii="仿宋" w:hAnsi="仿宋" w:eastAsia="仿宋"/>
                      </w:rPr>
                    </w:pPr>
                    <w:r>
                      <w:rPr>
                        <w:rFonts w:hint="eastAsia" w:ascii="仿宋" w:hAnsi="仿宋" w:eastAsia="仿宋"/>
                      </w:rPr>
                      <w:t>综合评分法</w:t>
                    </w:r>
                  </w:p>
                </w:tc>
              </w:sdtContent>
            </w:sdt>
            <w:sdt>
              <w:sdtPr>
                <w:rPr>
                  <w:rFonts w:hint="eastAsia" w:ascii="仿宋" w:hAnsi="仿宋" w:eastAsia="仿宋"/>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rPr>
              </w:sdtEndPr>
              <w:sdtContent>
                <w:tc>
                  <w:tcPr>
                    <w:tcW w:w="1749" w:type="dxa"/>
                    <w:tcBorders>
                      <w:top w:val="single" w:color="auto" w:sz="4" w:space="0"/>
                      <w:left w:val="single" w:color="auto" w:sz="4" w:space="0"/>
                      <w:bottom w:val="single" w:color="auto" w:sz="4" w:space="0"/>
                      <w:right w:val="single" w:color="auto" w:sz="4" w:space="0"/>
                    </w:tcBorders>
                  </w:tcPr>
                  <w:p>
                    <w:pPr>
                      <w:pStyle w:val="18"/>
                      <w:rPr>
                        <w:rFonts w:ascii="仿宋" w:hAnsi="仿宋" w:eastAsia="仿宋"/>
                      </w:rPr>
                    </w:pPr>
                    <w:r>
                      <w:rPr>
                        <w:rFonts w:hint="eastAsia" w:ascii="仿宋" w:hAnsi="仿宋" w:eastAsia="仿宋"/>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最高限价（如有）：8</w:t>
      </w:r>
      <w:r>
        <w:rPr>
          <w:rFonts w:ascii="仿宋" w:hAnsi="仿宋" w:eastAsia="仿宋"/>
          <w:szCs w:val="21"/>
        </w:rPr>
        <w:t>95000</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货物需求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w:t>
      </w:r>
    </w:p>
    <w:p>
      <w:pPr>
        <w:spacing w:line="276" w:lineRule="auto"/>
        <w:ind w:firstLine="420" w:firstLineChars="200"/>
        <w:rPr>
          <w:rFonts w:ascii="仿宋" w:hAnsi="仿宋" w:eastAsia="仿宋"/>
          <w:szCs w:val="21"/>
        </w:rPr>
      </w:pPr>
      <w:r>
        <w:rPr>
          <w:rFonts w:hint="eastAsia" w:ascii="仿宋" w:hAnsi="仿宋" w:eastAsia="仿宋"/>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szCs w:val="21"/>
        </w:rPr>
      </w:pPr>
      <w:r>
        <w:rPr>
          <w:rFonts w:hint="eastAsia" w:ascii="仿宋_GB2312" w:hAnsi="仿宋_GB2312" w:eastAsia="仿宋_GB2312" w:cs="仿宋_GB2312"/>
          <w:kern w:val="0"/>
          <w:szCs w:val="21"/>
        </w:rPr>
        <w:t>　　本项目</w:t>
      </w:r>
      <w:sdt>
        <w:sdtPr>
          <w:rPr>
            <w:rFonts w:hint="eastAsia" w:ascii="仿宋_GB2312" w:hAnsi="仿宋_GB2312" w:eastAsia="仿宋_GB2312" w:cs="仿宋_GB2312"/>
            <w:kern w:val="0"/>
            <w:szCs w:val="21"/>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7" w:name="_Toc35393622"/>
      <w:bookmarkStart w:id="8" w:name="_Toc28359080"/>
      <w:bookmarkStart w:id="9" w:name="_Toc35393791"/>
      <w:bookmarkStart w:id="10" w:name="_Toc28359003"/>
      <w:r>
        <w:rPr>
          <w:rFonts w:hint="eastAsia" w:ascii="仿宋" w:hAnsi="仿宋" w:eastAsia="仿宋" w:cs="宋体"/>
          <w:bCs/>
          <w:szCs w:val="21"/>
        </w:rPr>
        <w:t>二、供应商的资格要求：</w:t>
      </w:r>
      <w:bookmarkEnd w:id="7"/>
      <w:bookmarkEnd w:id="8"/>
      <w:bookmarkEnd w:id="9"/>
      <w:bookmarkEnd w:id="10"/>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1" w:name="_Toc28359004"/>
      <w:bookmarkStart w:id="12" w:name="_Toc28359081"/>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如属于专门面向中小企业采购的项目,供应商应为中小微企业、监狱企业、残疾人福利性单位</w:t>
      </w:r>
      <w:r>
        <w:rPr>
          <w:rFonts w:hint="eastAsia" w:ascii="仿宋" w:hAnsi="仿宋" w:eastAsia="仿宋"/>
          <w:color w:val="FF0000"/>
          <w:szCs w:val="21"/>
          <w:u w:val="single"/>
        </w:rPr>
        <w:t>)</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如项目</w:t>
      </w:r>
      <w:r>
        <w:rPr>
          <w:rFonts w:ascii="仿宋" w:hAnsi="仿宋" w:eastAsia="仿宋"/>
          <w:i/>
          <w:iCs/>
          <w:color w:val="FF0000"/>
          <w:szCs w:val="21"/>
          <w:u w:val="single"/>
        </w:rPr>
        <w:t>接受</w:t>
      </w:r>
      <w:r>
        <w:rPr>
          <w:rFonts w:hint="eastAsia" w:ascii="仿宋" w:hAnsi="仿宋" w:eastAsia="仿宋"/>
          <w:i/>
          <w:iCs/>
          <w:color w:val="FF0000"/>
          <w:szCs w:val="21"/>
          <w:u w:val="single"/>
        </w:rPr>
        <w:t>联合体</w:t>
      </w:r>
      <w:r>
        <w:rPr>
          <w:rFonts w:ascii="仿宋" w:hAnsi="仿宋" w:eastAsia="仿宋"/>
          <w:i/>
          <w:iCs/>
          <w:color w:val="FF0000"/>
          <w:szCs w:val="21"/>
          <w:u w:val="single"/>
        </w:rPr>
        <w:t>投标，对联合体</w:t>
      </w:r>
      <w:r>
        <w:rPr>
          <w:rFonts w:hint="eastAsia" w:ascii="仿宋" w:hAnsi="仿宋" w:eastAsia="仿宋"/>
          <w:i/>
          <w:iCs/>
          <w:color w:val="FF0000"/>
          <w:szCs w:val="21"/>
          <w:u w:val="single"/>
        </w:rPr>
        <w:t>应提出</w:t>
      </w:r>
      <w:r>
        <w:rPr>
          <w:rFonts w:ascii="仿宋" w:hAnsi="仿宋" w:eastAsia="仿宋"/>
          <w:i/>
          <w:iCs/>
          <w:color w:val="FF0000"/>
          <w:szCs w:val="21"/>
          <w:u w:val="single"/>
        </w:rPr>
        <w:t>相关资格要求</w:t>
      </w:r>
      <w:r>
        <w:rPr>
          <w:rFonts w:hint="eastAsia" w:ascii="仿宋" w:hAnsi="仿宋" w:eastAsia="仿宋"/>
          <w:i/>
          <w:iCs/>
          <w:color w:val="FF0000"/>
          <w:szCs w:val="21"/>
          <w:u w:val="single"/>
        </w:rPr>
        <w:t>；如属于特定行业项目,供应商应当具备特定行业法定准入要求。)</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3" w:name="_Toc35393792"/>
      <w:bookmarkStart w:id="14"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rPr>
            <w:rFonts w:hint="eastAsia"/>
          </w:rPr>
        </w:sdtEndPr>
        <w:sdtContent>
          <w:r>
            <w:rPr>
              <w:rStyle w:val="62"/>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rPr>
            <w:rFonts w:hint="eastAsia"/>
          </w:rPr>
        </w:sdtEndPr>
        <w:sdtContent>
          <w:r>
            <w:rPr>
              <w:rStyle w:val="62"/>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四、获取招标文件</w:t>
      </w:r>
      <w:bookmarkEnd w:id="11"/>
      <w:bookmarkEnd w:id="12"/>
      <w:bookmarkEnd w:id="13"/>
      <w:bookmarkEnd w:id="14"/>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CFE08D8E468E45EE8D683DF070EF981C"/>
          </w:placeholder>
        </w:sdtPr>
        <w:sdtEndPr>
          <w:rPr>
            <w:rFonts w:hint="eastAsia" w:ascii="仿宋" w:hAnsi="仿宋" w:eastAsia="仿宋"/>
            <w:szCs w:val="21"/>
          </w:rPr>
        </w:sdtEndPr>
        <w:sdtContent>
          <w:r>
            <w:rPr>
              <w:rFonts w:hint="eastAsia" w:ascii="仿宋" w:hAnsi="仿宋" w:eastAsia="仿宋"/>
              <w:szCs w:val="21"/>
            </w:rPr>
            <w:t>2021年</w:t>
          </w:r>
          <w:r>
            <w:rPr>
              <w:rFonts w:hint="eastAsia" w:ascii="仿宋" w:hAnsi="仿宋" w:eastAsia="仿宋"/>
              <w:szCs w:val="21"/>
              <w:lang w:val="en-US" w:eastAsia="zh-CN"/>
            </w:rPr>
            <w:t>12</w:t>
          </w:r>
          <w:r>
            <w:rPr>
              <w:rFonts w:hint="eastAsia" w:ascii="仿宋" w:hAnsi="仿宋" w:eastAsia="仿宋"/>
              <w:szCs w:val="21"/>
            </w:rPr>
            <w:t>月</w:t>
          </w:r>
          <w:r>
            <w:rPr>
              <w:rFonts w:hint="eastAsia" w:ascii="仿宋" w:hAnsi="仿宋" w:eastAsia="仿宋"/>
              <w:szCs w:val="21"/>
              <w:lang w:val="en-US" w:eastAsia="zh-CN"/>
            </w:rPr>
            <w:t>3</w:t>
          </w:r>
          <w:r>
            <w:rPr>
              <w:rFonts w:hint="eastAsia" w:ascii="仿宋" w:hAnsi="仿宋" w:eastAsia="仿宋"/>
              <w:szCs w:val="21"/>
            </w:rPr>
            <w:t>日</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5" w:name="_Toc28359005"/>
      <w:bookmarkStart w:id="16" w:name="_Toc28359082"/>
      <w:bookmarkStart w:id="17" w:name="_Toc35393793"/>
      <w:bookmarkStart w:id="18" w:name="_Toc35393624"/>
      <w:r>
        <w:rPr>
          <w:rFonts w:hint="eastAsia" w:ascii="仿宋" w:hAnsi="仿宋" w:eastAsia="仿宋" w:cs="宋体"/>
          <w:bCs/>
          <w:szCs w:val="21"/>
        </w:rPr>
        <w:t>五、提交投标文件</w:t>
      </w:r>
      <w:bookmarkEnd w:id="15"/>
      <w:bookmarkEnd w:id="16"/>
      <w:r>
        <w:rPr>
          <w:rFonts w:hint="eastAsia" w:ascii="仿宋" w:hAnsi="仿宋" w:eastAsia="仿宋" w:cs="宋体"/>
          <w:bCs/>
          <w:szCs w:val="21"/>
        </w:rPr>
        <w:t>截止时间、开标时间和地点</w:t>
      </w:r>
      <w:bookmarkEnd w:id="17"/>
      <w:bookmarkEnd w:id="18"/>
    </w:p>
    <w:p>
      <w:pPr>
        <w:spacing w:line="276" w:lineRule="auto"/>
        <w:ind w:firstLine="420" w:firstLineChars="200"/>
        <w:rPr>
          <w:rFonts w:ascii="仿宋" w:hAnsi="仿宋" w:eastAsia="仿宋"/>
          <w:bCs/>
          <w:szCs w:val="21"/>
          <w:u w:val="single"/>
        </w:rPr>
      </w:pPr>
      <w:sdt>
        <w:sdtPr>
          <w:rPr>
            <w:rFonts w:hint="eastAsia" w:ascii="仿宋" w:hAnsi="仿宋" w:eastAsia="仿宋"/>
            <w:szCs w:val="21"/>
          </w:rPr>
          <w:alias w:val="开标时间"/>
          <w:tag w:val="开标时间"/>
          <w:id w:val="-1040966100"/>
          <w:placeholder>
            <w:docPart w:val="6DA984DF850644F397D91553C340DA9A"/>
          </w:placeholder>
        </w:sdtPr>
        <w:sdtEndPr>
          <w:rPr>
            <w:rFonts w:hint="eastAsia" w:ascii="仿宋" w:hAnsi="仿宋" w:eastAsia="仿宋"/>
            <w:szCs w:val="21"/>
          </w:rPr>
        </w:sdtEndPr>
        <w:sdtContent>
          <w:sdt>
            <w:sdtPr>
              <w:rPr>
                <w:rFonts w:hint="eastAsia" w:ascii="仿宋" w:hAnsi="仿宋" w:eastAsia="仿宋"/>
                <w:szCs w:val="21"/>
              </w:rPr>
              <w:alias w:val="开标时间"/>
              <w:tag w:val="开标时间"/>
              <w:id w:val="1899012286"/>
              <w:placeholder>
                <w:docPart w:val="{4d0dd25e-878a-43f7-8d2a-d0ace1afb046}"/>
              </w:placeholder>
            </w:sdtPr>
            <w:sdtEndPr>
              <w:rPr>
                <w:rFonts w:hint="eastAsia" w:ascii="仿宋" w:hAnsi="仿宋" w:eastAsia="仿宋"/>
                <w:szCs w:val="21"/>
              </w:rPr>
            </w:sdtEndPr>
            <w:sdtContent>
              <w:r>
                <w:rPr>
                  <w:rFonts w:hint="eastAsia" w:ascii="仿宋" w:hAnsi="仿宋" w:eastAsia="仿宋"/>
                  <w:szCs w:val="21"/>
                </w:rPr>
                <w:t>2021</w:t>
              </w:r>
              <w:r>
                <w:rPr>
                  <w:rFonts w:hint="eastAsia" w:ascii="仿宋" w:hAnsi="仿宋" w:eastAsia="仿宋"/>
                  <w:szCs w:val="21"/>
                  <w:lang w:eastAsia="zh-CN"/>
                </w:rPr>
                <w:t>年</w:t>
              </w:r>
              <w:r>
                <w:rPr>
                  <w:rFonts w:hint="eastAsia" w:ascii="仿宋" w:hAnsi="仿宋" w:eastAsia="仿宋"/>
                  <w:szCs w:val="21"/>
                </w:rPr>
                <w:t>12</w:t>
              </w:r>
              <w:r>
                <w:rPr>
                  <w:rFonts w:hint="eastAsia" w:ascii="仿宋" w:hAnsi="仿宋" w:eastAsia="仿宋"/>
                  <w:szCs w:val="21"/>
                  <w:lang w:eastAsia="zh-CN"/>
                </w:rPr>
                <w:t>月</w:t>
              </w:r>
              <w:r>
                <w:rPr>
                  <w:rFonts w:hint="eastAsia" w:ascii="仿宋" w:hAnsi="仿宋" w:eastAsia="仿宋"/>
                  <w:szCs w:val="21"/>
                </w:rPr>
                <w:t>10</w:t>
              </w:r>
              <w:r>
                <w:rPr>
                  <w:rFonts w:hint="eastAsia" w:ascii="仿宋" w:hAnsi="仿宋" w:eastAsia="仿宋"/>
                  <w:szCs w:val="21"/>
                  <w:lang w:eastAsia="zh-CN"/>
                </w:rPr>
                <w:t>日</w:t>
              </w:r>
              <w:r>
                <w:rPr>
                  <w:rFonts w:hint="eastAsia" w:ascii="仿宋" w:hAnsi="仿宋" w:eastAsia="仿宋"/>
                  <w:szCs w:val="21"/>
                </w:rPr>
                <w:t xml:space="preserve"> 9:30</w:t>
              </w:r>
              <w:r>
                <w:rPr>
                  <w:rFonts w:hint="eastAsia" w:ascii="仿宋" w:hAnsi="仿宋" w:eastAsia="仿宋"/>
                  <w:szCs w:val="21"/>
                  <w:lang w:eastAsia="zh-CN"/>
                </w:rPr>
                <w:t>分</w:t>
              </w:r>
            </w:sdtContent>
          </w:sdt>
        </w:sdtContent>
      </w:sdt>
      <w:r>
        <w:rPr>
          <w:rFonts w:hint="eastAsia" w:ascii="仿宋" w:hAnsi="仿宋" w:eastAsia="仿宋"/>
          <w:bCs/>
          <w:szCs w:val="21"/>
        </w:rPr>
        <w:t>（北京时间）</w:t>
      </w:r>
    </w:p>
    <w:p>
      <w:pPr>
        <w:spacing w:line="276" w:lineRule="auto"/>
        <w:ind w:firstLine="420" w:firstLineChars="200"/>
        <w:rPr>
          <w:rFonts w:ascii="仿宋" w:hAnsi="仿宋" w:eastAsia="仿宋"/>
          <w:color w:val="FF0000"/>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398D65ED530541FB81CD198EEB9D7FE2"/>
          </w:placeholder>
        </w:sdtPr>
        <w:sdtEndPr>
          <w:rPr>
            <w:rFonts w:ascii="仿宋" w:hAnsi="仿宋" w:eastAsia="仿宋" w:cs="仿宋_GB2312"/>
            <w:kern w:val="0"/>
            <w:szCs w:val="21"/>
          </w:rPr>
        </w:sdtEndPr>
        <w:sdtContent>
          <w:r>
            <w:rPr>
              <w:rFonts w:hint="eastAsia" w:ascii="仿宋" w:hAnsi="仿宋" w:eastAsia="仿宋" w:cs="仿宋_GB2312"/>
              <w:kern w:val="0"/>
              <w:szCs w:val="21"/>
            </w:rPr>
            <w:t>大石桥市审批技术审查与公共资源交易中心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119A2366465E47F4903996A91EB78A4A"/>
          </w:placeholder>
        </w:sdtPr>
        <w:sdtEndPr>
          <w:rPr>
            <w:rFonts w:hint="eastAsia" w:ascii="仿宋" w:hAnsi="仿宋" w:eastAsia="仿宋"/>
            <w:szCs w:val="21"/>
          </w:rPr>
        </w:sdtEndPr>
        <w:sdtContent>
          <w:r>
            <w:rPr>
              <w:rFonts w:hint="eastAsia" w:ascii="仿宋" w:hAnsi="仿宋" w:eastAsia="仿宋"/>
              <w:szCs w:val="21"/>
              <w:lang w:val="en-US" w:eastAsia="zh-CN"/>
            </w:rPr>
            <w:t xml:space="preserve"> </w:t>
          </w:r>
          <w:r>
            <w:rPr>
              <w:rFonts w:hint="eastAsia" w:ascii="仿宋" w:hAnsi="仿宋" w:eastAsia="仿宋"/>
              <w:szCs w:val="21"/>
            </w:rPr>
            <w:t>开标室1</w:t>
          </w:r>
        </w:sdtContent>
      </w:sdt>
    </w:p>
    <w:p>
      <w:pPr>
        <w:keepNext/>
        <w:keepLines/>
        <w:spacing w:line="276" w:lineRule="auto"/>
        <w:outlineLvl w:val="1"/>
        <w:rPr>
          <w:rFonts w:ascii="仿宋" w:hAnsi="仿宋" w:eastAsia="仿宋" w:cs="宋体"/>
          <w:bCs/>
          <w:szCs w:val="21"/>
        </w:rPr>
      </w:pPr>
      <w:bookmarkStart w:id="19" w:name="_Toc28359084"/>
      <w:bookmarkStart w:id="20" w:name="_Toc35393794"/>
      <w:bookmarkStart w:id="21" w:name="_Toc35393625"/>
      <w:bookmarkStart w:id="22" w:name="_Toc28359007"/>
      <w:r>
        <w:rPr>
          <w:rFonts w:hint="eastAsia" w:ascii="仿宋" w:hAnsi="仿宋" w:eastAsia="仿宋" w:cs="宋体"/>
          <w:bCs/>
          <w:szCs w:val="21"/>
        </w:rPr>
        <w:t>六、公告期限</w:t>
      </w:r>
      <w:bookmarkEnd w:id="19"/>
      <w:bookmarkEnd w:id="20"/>
      <w:bookmarkEnd w:id="21"/>
      <w:bookmarkEnd w:id="22"/>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自本公告发布之日起5个工作日。</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w:t>
      </w:r>
      <w:r>
        <w:rPr>
          <w:rFonts w:hint="eastAsia" w:ascii="仿宋" w:hAnsi="仿宋" w:eastAsia="仿宋" w:cs="宋体"/>
          <w:b/>
          <w:bCs/>
          <w:szCs w:val="21"/>
          <w:lang w:val="en-US" w:eastAsia="zh-CN"/>
        </w:rPr>
        <w:t>5889005</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3" w:name="_Toc35393626"/>
      <w:bookmarkStart w:id="24" w:name="_Toc35393795"/>
      <w:r>
        <w:rPr>
          <w:rFonts w:hint="eastAsia" w:ascii="仿宋" w:hAnsi="仿宋" w:eastAsia="仿宋" w:cs="宋体"/>
          <w:bCs/>
          <w:szCs w:val="21"/>
        </w:rPr>
        <w:t>八、其他补充事宜</w:t>
      </w:r>
      <w:bookmarkEnd w:id="23"/>
      <w:bookmarkEnd w:id="24"/>
    </w:p>
    <w:p>
      <w:pPr>
        <w:spacing w:line="276" w:lineRule="auto"/>
        <w:ind w:left="495"/>
        <w:rPr>
          <w:rFonts w:ascii="仿宋" w:hAnsi="仿宋" w:eastAsia="仿宋"/>
          <w:szCs w:val="21"/>
        </w:rPr>
      </w:pPr>
      <w:r>
        <w:rPr>
          <w:rFonts w:hint="eastAsia" w:ascii="仿宋" w:hAnsi="仿宋" w:eastAsia="仿宋"/>
          <w:b/>
          <w:bCs/>
          <w:sz w:val="24"/>
          <w:szCs w:val="24"/>
        </w:rPr>
        <w:t>按大石桥市疾控中心疫情防控常态化工作需求，凡到公共资源交易中心现场供应商均要求持48小时核酸检测阴性报告及注射新冠肺炎疫苗接种凭证。</w:t>
      </w:r>
    </w:p>
    <w:p>
      <w:pPr>
        <w:keepNext/>
        <w:keepLines/>
        <w:spacing w:line="276" w:lineRule="auto"/>
        <w:outlineLvl w:val="1"/>
        <w:rPr>
          <w:rFonts w:ascii="仿宋" w:hAnsi="仿宋" w:eastAsia="仿宋" w:cs="宋体"/>
          <w:bCs/>
          <w:szCs w:val="21"/>
        </w:rPr>
      </w:pPr>
      <w:bookmarkStart w:id="25" w:name="_Toc35393627"/>
      <w:bookmarkStart w:id="26" w:name="_Toc28359008"/>
      <w:bookmarkStart w:id="27" w:name="_Toc28359085"/>
      <w:bookmarkStart w:id="28" w:name="_Toc35393796"/>
      <w:r>
        <w:rPr>
          <w:rFonts w:hint="eastAsia" w:ascii="仿宋" w:hAnsi="仿宋" w:eastAsia="仿宋" w:cs="宋体"/>
          <w:bCs/>
          <w:szCs w:val="21"/>
        </w:rPr>
        <w:t>九、对本次招标提出询问，请按</w:t>
      </w:r>
      <w:r>
        <w:rPr>
          <w:rFonts w:ascii="仿宋" w:hAnsi="仿宋" w:eastAsia="仿宋" w:cs="宋体"/>
          <w:bCs/>
          <w:szCs w:val="21"/>
        </w:rPr>
        <w:t>以下方式</w:t>
      </w:r>
      <w:r>
        <w:rPr>
          <w:rFonts w:hint="eastAsia" w:ascii="仿宋" w:hAnsi="仿宋" w:eastAsia="仿宋" w:cs="宋体"/>
          <w:bCs/>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BB761D50EB054AD997F6722EF09A13A0"/>
          </w:placeholder>
        </w:sdtPr>
        <w:sdtEndPr>
          <w:rPr>
            <w:rFonts w:hint="eastAsia" w:ascii="仿宋" w:hAnsi="仿宋" w:eastAsia="仿宋"/>
            <w:szCs w:val="21"/>
          </w:rPr>
        </w:sdtEndPr>
        <w:sdtContent>
          <w:r>
            <w:rPr>
              <w:rFonts w:hint="eastAsia" w:ascii="仿宋" w:hAnsi="仿宋" w:eastAsia="仿宋"/>
              <w:szCs w:val="21"/>
            </w:rPr>
            <w:t>大石桥市中医院</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AEAAF402C6C94FD4A318CE816AFEED2A"/>
          </w:placeholder>
        </w:sdtPr>
        <w:sdtEndPr>
          <w:rPr>
            <w:rFonts w:hint="eastAsia" w:ascii="仿宋" w:hAnsi="仿宋" w:eastAsia="仿宋"/>
            <w:szCs w:val="21"/>
          </w:rPr>
        </w:sdtEndPr>
        <w:sdtContent>
          <w:r>
            <w:rPr>
              <w:rFonts w:hint="eastAsia" w:ascii="仿宋" w:hAnsi="仿宋" w:eastAsia="仿宋"/>
              <w:szCs w:val="21"/>
            </w:rPr>
            <w:t>大石桥市繁荣街哈大路</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115C111C555E488581E79C9B208D74F0"/>
          </w:placeholder>
        </w:sdtPr>
        <w:sdtEndPr>
          <w:rPr>
            <w:rFonts w:hint="eastAsia" w:ascii="仿宋" w:hAnsi="仿宋" w:eastAsia="仿宋"/>
            <w:szCs w:val="21"/>
          </w:rPr>
        </w:sdtEndPr>
        <w:sdtContent>
          <w:r>
            <w:rPr>
              <w:rFonts w:hint="eastAsia" w:ascii="仿宋" w:hAnsi="仿宋" w:eastAsia="仿宋"/>
              <w:szCs w:val="21"/>
            </w:rPr>
            <w:t>18641733636</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672972618C6641768BC9389DB1F4944A"/>
          </w:placeholder>
        </w:sdtPr>
        <w:sdtEndPr>
          <w:rPr>
            <w:rFonts w:hint="eastAsia" w:ascii="仿宋" w:hAnsi="仿宋" w:eastAsia="仿宋"/>
            <w:szCs w:val="21"/>
          </w:rPr>
        </w:sdtEndPr>
        <w:sdtContent>
          <w:r>
            <w:rPr>
              <w:rFonts w:hint="eastAsia" w:ascii="仿宋" w:hAnsi="仿宋" w:eastAsia="仿宋"/>
              <w:szCs w:val="21"/>
            </w:rPr>
            <w:t>大石桥市审批技术审查与公共资源交易中心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6C50639D4F054046845D1F14287028BB"/>
          </w:placeholder>
        </w:sdtPr>
        <w:sdtEndPr>
          <w:rPr>
            <w:rFonts w:hint="eastAsia" w:ascii="仿宋" w:hAnsi="仿宋" w:eastAsia="仿宋"/>
            <w:szCs w:val="21"/>
          </w:rPr>
        </w:sdtEndPr>
        <w:sdtContent>
          <w:r>
            <w:rPr>
              <w:rFonts w:hint="eastAsia" w:ascii="仿宋" w:hAnsi="仿宋" w:eastAsia="仿宋"/>
              <w:szCs w:val="21"/>
            </w:rPr>
            <w:t>辽宁省营口市大石桥市哈大路二高街2号</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3043B1F675D439F83648786B140C8B6"/>
          </w:placeholder>
        </w:sdtPr>
        <w:sdtEndPr>
          <w:rPr>
            <w:rFonts w:hint="eastAsia" w:ascii="仿宋" w:hAnsi="仿宋" w:eastAsia="仿宋"/>
            <w:szCs w:val="21"/>
          </w:rPr>
        </w:sdtEndPr>
        <w:sdtContent>
          <w:r>
            <w:rPr>
              <w:rFonts w:hint="eastAsia" w:ascii="仿宋" w:hAnsi="仿宋" w:eastAsia="仿宋"/>
              <w:szCs w:val="21"/>
            </w:rPr>
            <w:t>0417-58890</w:t>
          </w:r>
          <w:r>
            <w:rPr>
              <w:rFonts w:ascii="仿宋" w:hAnsi="仿宋" w:eastAsia="仿宋"/>
              <w:szCs w:val="21"/>
            </w:rPr>
            <w:t>05</w:t>
          </w:r>
        </w:sdtContent>
      </w:sdt>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开 户 行：</w:t>
      </w:r>
      <w:r>
        <w:rPr>
          <w:rFonts w:ascii="仿宋" w:hAnsi="仿宋" w:eastAsia="仿宋" w:cs="宋体"/>
          <w:bCs/>
          <w:szCs w:val="21"/>
          <w:u w:val="single"/>
        </w:rPr>
        <w:t xml:space="preserve"> </w:t>
      </w:r>
      <w:r>
        <w:rPr>
          <w:rFonts w:hint="eastAsia" w:ascii="仿宋" w:hAnsi="仿宋" w:eastAsia="仿宋" w:cs="宋体"/>
          <w:bCs/>
          <w:szCs w:val="21"/>
          <w:u w:val="single"/>
        </w:rPr>
        <w:t>中国邮政储蓄银行大石桥市支行</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账户名称：</w:t>
      </w:r>
      <w:r>
        <w:rPr>
          <w:rFonts w:ascii="仿宋" w:hAnsi="仿宋" w:eastAsia="仿宋" w:cs="宋体"/>
          <w:bCs/>
          <w:szCs w:val="21"/>
        </w:rPr>
        <w:t xml:space="preserve"> </w:t>
      </w:r>
      <w:r>
        <w:rPr>
          <w:rFonts w:hint="eastAsia" w:ascii="仿宋" w:hAnsi="仿宋" w:eastAsia="仿宋" w:cs="宋体"/>
          <w:bCs/>
          <w:szCs w:val="21"/>
        </w:rPr>
        <w:t>营口市公共资源交易服务中心大石桥市分中心</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账    号：</w:t>
      </w:r>
      <w:r>
        <w:rPr>
          <w:rFonts w:ascii="仿宋" w:hAnsi="仿宋" w:eastAsia="仿宋" w:cs="宋体"/>
          <w:bCs/>
          <w:szCs w:val="21"/>
        </w:rPr>
        <w:t>921003010019456666</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4CDB40F88A5447ADBD20A1F7A079FAF6"/>
          </w:placeholder>
        </w:sdtPr>
        <w:sdtEndPr>
          <w:rPr>
            <w:rFonts w:hint="eastAsia" w:ascii="仿宋" w:hAnsi="仿宋" w:eastAsia="仿宋"/>
            <w:szCs w:val="21"/>
          </w:rPr>
        </w:sdtEndPr>
        <w:sdtContent>
          <w:r>
            <w:rPr>
              <w:rFonts w:hint="eastAsia" w:ascii="仿宋" w:hAnsi="仿宋" w:eastAsia="仿宋"/>
              <w:szCs w:val="21"/>
            </w:rPr>
            <w:t>安晴</w:t>
          </w:r>
        </w:sdtContent>
      </w:sdt>
      <w:r>
        <w:rPr>
          <w:rFonts w:ascii="仿宋" w:hAnsi="仿宋" w:eastAsia="仿宋"/>
          <w:szCs w:val="21"/>
        </w:rPr>
        <w:t xml:space="preserve"> </w:t>
      </w:r>
    </w:p>
    <w:p>
      <w:pPr>
        <w:spacing w:line="276" w:lineRule="auto"/>
        <w:ind w:firstLine="630" w:firstLineChars="300"/>
        <w:rPr>
          <w:rFonts w:ascii="仿宋" w:hAnsi="仿宋" w:eastAsia="仿宋"/>
          <w:sz w:val="28"/>
          <w:szCs w:val="28"/>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31385756B3B341ADBAAA10D7738FC8D4"/>
          </w:placeholder>
        </w:sdtPr>
        <w:sdtEndPr>
          <w:rPr>
            <w:rFonts w:hint="eastAsia" w:ascii="仿宋" w:hAnsi="仿宋" w:eastAsia="仿宋"/>
            <w:szCs w:val="21"/>
          </w:rPr>
        </w:sdtEndPr>
        <w:sdtContent>
          <w:r>
            <w:rPr>
              <w:rFonts w:ascii="仿宋" w:hAnsi="仿宋" w:eastAsia="仿宋"/>
              <w:szCs w:val="21"/>
            </w:rPr>
            <w:t>15566379190</w:t>
          </w:r>
        </w:sdtContent>
      </w:sdt>
    </w:p>
    <w:p>
      <w:pPr>
        <w:widowControl/>
        <w:jc w:val="left"/>
        <w:rPr>
          <w:rFonts w:ascii="宋体" w:hAnsi="宋体"/>
          <w:b/>
          <w:bCs/>
          <w:sz w:val="44"/>
          <w:szCs w:val="44"/>
        </w:rPr>
      </w:pPr>
      <w:r>
        <w:rPr>
          <w:rFonts w:ascii="宋体" w:hAnsi="宋体"/>
          <w:b/>
          <w:bCs/>
          <w:sz w:val="44"/>
          <w:szCs w:val="44"/>
        </w:rPr>
        <w:br w:type="page"/>
      </w:r>
    </w:p>
    <w:p>
      <w:pPr>
        <w:pStyle w:val="2"/>
        <w:jc w:val="center"/>
      </w:pPr>
      <w:bookmarkStart w:id="29" w:name="_Toc26518_WPSOffice_Level1"/>
      <w:r>
        <w:rPr>
          <w:rFonts w:hint="eastAsia"/>
        </w:rPr>
        <w:t>第一章 投标人须知</w:t>
      </w:r>
      <w:bookmarkEnd w:id="29"/>
    </w:p>
    <w:p>
      <w:pPr>
        <w:pStyle w:val="3"/>
        <w:jc w:val="center"/>
        <w:rPr>
          <w:rFonts w:ascii="仿宋" w:hAnsi="仿宋" w:eastAsia="仿宋"/>
        </w:rPr>
      </w:pPr>
      <w:bookmarkStart w:id="30" w:name="_Toc18613_WPSOffice_Level2"/>
      <w:r>
        <w:rPr>
          <w:rFonts w:hint="eastAsia" w:ascii="仿宋" w:hAnsi="仿宋" w:eastAsia="仿宋"/>
        </w:rPr>
        <w:t>一 投标人须知表</w:t>
      </w:r>
      <w:bookmarkEnd w:id="30"/>
    </w:p>
    <w:sdt>
      <w:sdtPr>
        <w:rPr>
          <w:rFonts w:hint="eastAsia" w:ascii="仿宋" w:hAnsi="仿宋" w:eastAsia="仿宋" w:cs="宋体"/>
          <w:kern w:val="0"/>
          <w:szCs w:val="21"/>
        </w:rPr>
        <w:alias w:val="招标项目基本内容及要求"/>
        <w:tag w:val="招标项目基本内容及要求"/>
        <w:id w:val="-841780087"/>
        <w:lock w:val="sdtLocked"/>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31" w:name="sys_招标项目基本内容及要求：Block"/>
          <w:bookmarkEnd w:id="31"/>
          <w:bookmarkStart w:id="32" w:name="招标项目基本内容及要求其他：Block"/>
          <w:bookmarkEnd w:id="32"/>
          <w:bookmarkStart w:id="33" w:name="招标项目基本内容及要求：Block"/>
          <w:bookmarkEnd w:id="33"/>
          <w:bookmarkStart w:id="34" w:name="sys_招标项目基本内容及要求其他：Block"/>
          <w:bookmarkEnd w:id="34"/>
        </w:p>
        <w:tbl>
          <w:tblPr>
            <w:tblStyle w:val="19"/>
            <w:tblW w:w="8656" w:type="dxa"/>
            <w:tblInd w:w="0" w:type="dxa"/>
            <w:tblLayout w:type="fixed"/>
            <w:tblCellMar>
              <w:top w:w="0" w:type="dxa"/>
              <w:left w:w="108" w:type="dxa"/>
              <w:bottom w:w="0" w:type="dxa"/>
              <w:right w:w="108" w:type="dxa"/>
            </w:tblCellMar>
          </w:tblPr>
          <w:tblGrid>
            <w:gridCol w:w="852"/>
            <w:gridCol w:w="1917"/>
            <w:gridCol w:w="5887"/>
          </w:tblGrid>
          <w:tr>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 xml:space="preserve">   大石桥市中医院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 xml:space="preserve">  大石桥市繁荣街哈大路                </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李兆生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   </w:t>
                </w:r>
                <w:r>
                  <w:rPr>
                    <w:rFonts w:ascii="仿宋_GB2312" w:hAnsi="仿宋_GB2312" w:eastAsia="仿宋_GB2312" w:cs="仿宋_GB2312"/>
                    <w:kern w:val="0"/>
                    <w:szCs w:val="21"/>
                    <w:u w:val="single"/>
                  </w:rPr>
                  <w:t>18641733636</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名  称：大石桥市审批技术审查与公共资源交易中心</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地  址：辽宁省营口市大石桥市哈大路二高街2号</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 xml:space="preserve">  安晴                </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w:t>
                </w:r>
                <w:r>
                  <w:rPr>
                    <w:rFonts w:ascii="仿宋_GB2312" w:hAnsi="仿宋_GB2312" w:eastAsia="仿宋_GB2312" w:cs="仿宋_GB2312"/>
                    <w:kern w:val="0"/>
                    <w:szCs w:val="21"/>
                    <w:u w:val="single"/>
                  </w:rPr>
                  <w:t>5889002</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 xml:space="preserve">  </w:t>
                </w:r>
                <w:r>
                  <w:rPr>
                    <w:rFonts w:ascii="仿宋_GB2312" w:hAnsi="仿宋_GB2312" w:eastAsia="仿宋_GB2312" w:cs="仿宋_GB2312"/>
                    <w:bCs/>
                    <w:kern w:val="0"/>
                    <w:szCs w:val="21"/>
                    <w:u w:val="single"/>
                  </w:rPr>
                  <w:t>895000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 xml:space="preserve">  </w:t>
                </w:r>
                <w:r>
                  <w:rPr>
                    <w:rFonts w:ascii="仿宋_GB2312" w:hAnsi="仿宋_GB2312" w:eastAsia="仿宋_GB2312" w:cs="仿宋_GB2312"/>
                    <w:bCs/>
                    <w:kern w:val="0"/>
                    <w:szCs w:val="21"/>
                    <w:u w:val="single"/>
                  </w:rPr>
                  <w:t>895000</w:t>
                </w:r>
                <w:r>
                  <w:rPr>
                    <w:rFonts w:hint="eastAsia" w:ascii="仿宋_GB2312" w:hAnsi="仿宋_GB2312" w:eastAsia="仿宋_GB2312" w:cs="仿宋_GB2312"/>
                    <w:bCs/>
                    <w:kern w:val="0"/>
                    <w:szCs w:val="21"/>
                    <w:u w:val="single"/>
                  </w:rPr>
                  <w:t xml:space="preserve">       </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（非单一产品采购时，只能设一个核心产品）</w:t>
                </w:r>
              </w:p>
            </w:tc>
          </w:tr>
          <w:tr>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5887" w:type="dxa"/>
                <w:tcBorders>
                  <w:top w:val="single" w:color="auto" w:sz="4" w:space="0"/>
                  <w:left w:val="nil"/>
                  <w:bottom w:val="single" w:color="auto" w:sz="8" w:space="0"/>
                  <w:right w:val="single" w:color="auto" w:sz="8" w:space="0"/>
                </w:tcBorders>
                <w:vAlign w:val="center"/>
              </w:tcPr>
              <w:p>
                <w:pPr>
                  <w:pStyle w:val="17"/>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1、投标保证金金额：   8950         元</w:t>
                </w:r>
              </w:p>
              <w:p>
                <w:pPr>
                  <w:pStyle w:val="17"/>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 xml:space="preserve">2、投标保证金到账时间：递交投标文件截止时间前 </w:t>
                </w:r>
              </w:p>
              <w:p>
                <w:pPr>
                  <w:pStyle w:val="17"/>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3、投标保证金缴纳方式：■保函   □支票  ■电汇  ■其他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开户行： 中国邮政储蓄银行大石桥市支行</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账户名称： 营口市公共资源交易服务中心大石桥市分中心</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账号：921003010019456666</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rPr>
                  <w:t>未</w:t>
                </w:r>
                <w:r>
                  <w:rPr>
                    <w:rFonts w:ascii="仿宋_GB2312" w:hAnsi="仿宋_GB2312" w:eastAsia="仿宋_GB2312" w:cs="仿宋_GB2312"/>
                    <w:kern w:val="0"/>
                    <w:szCs w:val="21"/>
                  </w:rPr>
                  <w:t>中标</w:t>
                </w:r>
                <w:r>
                  <w:rPr>
                    <w:rFonts w:hint="eastAsia" w:ascii="仿宋_GB2312" w:hAnsi="仿宋_GB2312" w:eastAsia="仿宋_GB2312" w:cs="仿宋_GB2312"/>
                    <w:kern w:val="0"/>
                    <w:szCs w:val="21"/>
                  </w:rPr>
                  <w:t>供应商在</w:t>
                </w:r>
                <w:bookmarkStart w:id="35" w:name="_Hlk28630059"/>
                <w:r>
                  <w:rPr>
                    <w:rFonts w:hint="eastAsia" w:ascii="仿宋_GB2312" w:hAnsi="仿宋_GB2312" w:eastAsia="仿宋_GB2312" w:cs="仿宋_GB2312"/>
                    <w:kern w:val="0"/>
                    <w:szCs w:val="21"/>
                  </w:rPr>
                  <w:t>中标公告发布之日起5个工作日内退还保证金</w:t>
                </w:r>
                <w:bookmarkEnd w:id="35"/>
                <w:r>
                  <w:rPr>
                    <w:rFonts w:hint="eastAsia" w:ascii="仿宋_GB2312" w:hAnsi="仿宋_GB2312" w:eastAsia="仿宋_GB2312" w:cs="仿宋_GB2312"/>
                    <w:kern w:val="0"/>
                    <w:szCs w:val="21"/>
                  </w:rPr>
                  <w:t>；中标供应商应在政府采购合同签订之日起5个工作日内到将一份合同送回中心，并办理退还保证金事宜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rPr>
                  <w:t>0417-5889005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6、其它：保证金须由参与采购项目的供应商账户缴纳，并在备注中注明保证金类别（</w:t>
                </w:r>
                <w:r>
                  <w:rPr>
                    <w:rFonts w:hint="eastAsia" w:ascii="仿宋_GB2312" w:hAnsi="仿宋_GB2312" w:eastAsia="仿宋_GB2312" w:cs="仿宋_GB2312"/>
                    <w:b/>
                    <w:bCs/>
                    <w:szCs w:val="21"/>
                  </w:rPr>
                  <w:t>投标</w:t>
                </w:r>
                <w:r>
                  <w:rPr>
                    <w:rFonts w:hint="eastAsia" w:ascii="仿宋_GB2312" w:hAnsi="仿宋_GB2312" w:eastAsia="仿宋_GB2312" w:cs="仿宋_GB2312"/>
                    <w:szCs w:val="21"/>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 xml:space="preserve">7、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Pr>
                    <w:rFonts w:ascii="仿宋_GB2312" w:hAnsi="仿宋_GB2312" w:eastAsia="仿宋_GB2312" w:cs="仿宋_GB2312"/>
                    <w:szCs w:val="21"/>
                  </w:rPr>
                  <w:t xml:space="preserve">http://www.dsq.dlzbh.com </w:t>
                </w:r>
                <w:r>
                  <w:rPr>
                    <w:rFonts w:hint="eastAsia" w:ascii="仿宋_GB2312" w:hAnsi="仿宋_GB2312" w:eastAsia="仿宋_GB2312" w:cs="仿宋_GB2312"/>
                    <w:szCs w:val="21"/>
                  </w:rPr>
                  <w:t>，按流程提示申请办理线上银行保函（技术咨询电话：1</w:t>
                </w:r>
                <w:r>
                  <w:rPr>
                    <w:rFonts w:ascii="仿宋_GB2312" w:hAnsi="仿宋_GB2312" w:eastAsia="仿宋_GB2312" w:cs="仿宋_GB2312"/>
                    <w:szCs w:val="21"/>
                  </w:rPr>
                  <w:t>9941009292</w:t>
                </w:r>
                <w:r>
                  <w:rPr>
                    <w:rFonts w:hint="eastAsia" w:ascii="仿宋_GB2312" w:hAnsi="仿宋_GB2312" w:eastAsia="仿宋_GB2312" w:cs="仿宋_GB2312"/>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Pr>
                    <w:rFonts w:hint="eastAsia"/>
                    <w:sz w:val="24"/>
                  </w:rPr>
                  <w:t>。</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pPr>
                  <w:pStyle w:val="17"/>
                  <w:rPr>
                    <w:rFonts w:ascii="仿宋_GB2312" w:hAnsi="仿宋_GB2312" w:eastAsia="仿宋_GB2312" w:cs="仿宋_GB2312"/>
                    <w:szCs w:val="21"/>
                  </w:rPr>
                </w:pPr>
                <w:r>
                  <w:rPr>
                    <w:rFonts w:hint="eastAsia" w:ascii="仿宋_GB2312" w:hAnsi="仿宋_GB2312" w:eastAsia="仿宋_GB2312" w:cs="仿宋_GB2312"/>
                    <w:szCs w:val="21"/>
                    <w:u w:val="single"/>
                  </w:rPr>
                  <w:t xml:space="preserve">  90  </w:t>
                </w:r>
                <w:r>
                  <w:rPr>
                    <w:rFonts w:hint="eastAsia" w:ascii="仿宋_GB2312" w:hAnsi="仿宋_GB2312" w:eastAsia="仿宋_GB2312" w:cs="仿宋_GB2312"/>
                    <w:szCs w:val="21"/>
                  </w:rPr>
                  <w:t>日历日</w:t>
                </w:r>
              </w:p>
            </w:tc>
          </w:tr>
          <w:tr>
            <w:tblPrEx>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份</w:t>
                </w:r>
              </w:p>
            </w:tc>
          </w:tr>
          <w:tr>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4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5    </w:t>
                </w:r>
                <w:r>
                  <w:rPr>
                    <w:rFonts w:hint="eastAsia" w:ascii="仿宋_GB2312" w:hAnsi="仿宋_GB2312" w:eastAsia="仿宋_GB2312" w:cs="仿宋_GB2312"/>
                    <w:szCs w:val="21"/>
                  </w:rPr>
                  <w:t xml:space="preserve">人。 </w:t>
                </w:r>
              </w:p>
            </w:tc>
          </w:tr>
          <w:tr>
            <w:tblPrEx>
              <w:tblCellMar>
                <w:top w:w="0" w:type="dxa"/>
                <w:left w:w="108" w:type="dxa"/>
                <w:bottom w:w="0" w:type="dxa"/>
                <w:right w:w="108" w:type="dxa"/>
              </w:tblCellMar>
            </w:tblPrEx>
            <w:trPr>
              <w:trHeight w:val="204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开户行： 中国邮政储蓄银行大石桥市支行</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账户名称： 营口市公共资源交易服务中心大石桥市分中心</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账号：921003010019456666</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联系单位：大石桥市审批技术审查与公共资源交易中心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 刘华洲</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联系电话：0417-5889005</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通讯地址：辽宁省营口市大石桥市哈大路二高街2号</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pStyle w:val="17"/>
                  <w:rPr>
                    <w:rFonts w:ascii="仿宋_GB2312" w:hAnsi="仿宋_GB2312" w:eastAsia="仿宋_GB2312" w:cs="仿宋_GB2312"/>
                    <w:szCs w:val="21"/>
                  </w:rPr>
                </w:pPr>
                <w:r>
                  <w:rPr>
                    <w:rFonts w:hint="eastAsia" w:ascii="仿宋_GB2312" w:hAnsi="仿宋_GB2312" w:eastAsia="仿宋_GB2312" w:cs="仿宋_GB2312"/>
                    <w:szCs w:val="21"/>
                  </w:rPr>
                  <w:t>投标人应在法定质疑期内一次性针对同一采购程序环节提出质疑，否则针对再次提出质疑将不予接收。（采购程序环节分为：招标公告、招标文件、招标过程、中标结果）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3"/>
        <w:adjustRightInd w:val="0"/>
        <w:snapToGrid w:val="0"/>
        <w:spacing w:before="0" w:after="0" w:line="360" w:lineRule="auto"/>
        <w:jc w:val="center"/>
        <w:rPr>
          <w:rFonts w:ascii="仿宋_GB2312" w:hAnsi="仿宋_GB2312" w:eastAsia="仿宋_GB2312" w:cs="仿宋_GB2312"/>
          <w:szCs w:val="36"/>
        </w:rPr>
      </w:pPr>
      <w:bookmarkStart w:id="36" w:name="_Toc30384_WPSOffice_Level2"/>
      <w:r>
        <w:rPr>
          <w:rFonts w:hint="eastAsia" w:ascii="仿宋_GB2312" w:hAnsi="仿宋_GB2312" w:eastAsia="仿宋_GB2312" w:cs="仿宋_GB2312"/>
          <w:szCs w:val="36"/>
        </w:rPr>
        <w:t>二 总则</w:t>
      </w:r>
      <w:bookmarkEnd w:id="3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7" w:name="_Toc266951048"/>
      <w:r>
        <w:rPr>
          <w:rFonts w:hint="eastAsia" w:ascii="仿宋_GB2312" w:hAnsi="仿宋_GB2312" w:eastAsia="仿宋_GB2312" w:cs="仿宋_GB2312"/>
          <w:b/>
          <w:bCs/>
          <w:szCs w:val="21"/>
        </w:rPr>
        <w:t>3.语言文字</w:t>
      </w:r>
      <w:bookmarkEnd w:id="37"/>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8" w:name="_1.8_计量单位"/>
      <w:bookmarkEnd w:id="38"/>
      <w:bookmarkStart w:id="39"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40" w:name="_1.10_投标预备会"/>
      <w:bookmarkEnd w:id="40"/>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41" w:name="_Toc10106_WPSOffice_Level2"/>
      <w:r>
        <w:rPr>
          <w:rFonts w:hint="eastAsia" w:ascii="仿宋_GB2312" w:hAnsi="仿宋_GB2312" w:eastAsia="仿宋_GB2312" w:cs="仿宋_GB2312"/>
          <w:szCs w:val="28"/>
        </w:rPr>
        <w:t>三 招标文件</w:t>
      </w:r>
      <w:bookmarkEnd w:id="41"/>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spacing w:line="360" w:lineRule="auto"/>
        <w:ind w:firstLine="420" w:firstLineChars="200"/>
        <w:rPr>
          <w:rFonts w:ascii="仿宋_GB2312" w:hAnsi="仿宋_GB2312" w:eastAsia="仿宋_GB2312" w:cs="仿宋_GB2312"/>
        </w:rPr>
      </w:pPr>
      <w:bookmarkStart w:id="42" w:name="_Toc24604_WPSOffice_Level2"/>
      <w:bookmarkStart w:id="43" w:name="_Toc188_WPSOffice_Level2"/>
      <w:bookmarkStart w:id="44" w:name="_Toc25935_WPSOffice_Level2"/>
      <w:bookmarkStart w:id="45" w:name="_Toc4961_WPSOffice_Level2"/>
      <w:r>
        <w:rPr>
          <w:rFonts w:hint="eastAsia" w:ascii="仿宋_GB2312" w:hAnsi="仿宋_GB2312" w:eastAsia="仿宋_GB2312" w:cs="仿宋_GB2312"/>
        </w:rPr>
        <w:t>投标人须知</w:t>
      </w:r>
      <w:bookmarkEnd w:id="42"/>
      <w:bookmarkEnd w:id="43"/>
      <w:bookmarkEnd w:id="44"/>
      <w:bookmarkEnd w:id="45"/>
    </w:p>
    <w:p>
      <w:pPr>
        <w:adjustRightInd w:val="0"/>
        <w:snapToGrid w:val="0"/>
        <w:spacing w:line="360" w:lineRule="auto"/>
        <w:ind w:firstLine="420" w:firstLineChars="200"/>
        <w:rPr>
          <w:rFonts w:ascii="仿宋_GB2312" w:hAnsi="仿宋_GB2312" w:eastAsia="仿宋_GB2312" w:cs="仿宋_GB2312"/>
        </w:rPr>
      </w:pPr>
      <w:bookmarkStart w:id="46" w:name="_Toc31424_WPSOffice_Level2"/>
      <w:bookmarkStart w:id="47" w:name="_Toc32235_WPSOffice_Level2"/>
      <w:bookmarkStart w:id="48" w:name="_Toc13276_WPSOffice_Level2"/>
      <w:bookmarkStart w:id="49" w:name="_Toc2443_WPSOffice_Level2"/>
      <w:r>
        <w:rPr>
          <w:rFonts w:hint="eastAsia" w:ascii="仿宋_GB2312" w:hAnsi="仿宋_GB2312" w:eastAsia="仿宋_GB2312" w:cs="仿宋_GB2312"/>
        </w:rPr>
        <w:t>第二章 投标文件内容及格式</w:t>
      </w:r>
      <w:bookmarkEnd w:id="46"/>
      <w:bookmarkEnd w:id="47"/>
      <w:bookmarkEnd w:id="48"/>
      <w:bookmarkEnd w:id="49"/>
    </w:p>
    <w:p>
      <w:pPr>
        <w:adjustRightInd w:val="0"/>
        <w:snapToGrid w:val="0"/>
        <w:spacing w:line="360" w:lineRule="auto"/>
        <w:ind w:firstLine="420" w:firstLineChars="200"/>
        <w:rPr>
          <w:rFonts w:ascii="仿宋_GB2312" w:hAnsi="仿宋_GB2312" w:eastAsia="仿宋_GB2312" w:cs="仿宋_GB2312"/>
        </w:rPr>
      </w:pPr>
      <w:bookmarkStart w:id="50" w:name="_Toc4416_WPSOffice_Level2"/>
      <w:bookmarkStart w:id="51" w:name="_Toc16269_WPSOffice_Level2"/>
      <w:bookmarkStart w:id="52" w:name="_Toc24836_WPSOffice_Level2"/>
      <w:bookmarkStart w:id="53" w:name="_Toc7005_WPSOffice_Level2"/>
      <w:r>
        <w:rPr>
          <w:rFonts w:hint="eastAsia" w:ascii="仿宋_GB2312" w:hAnsi="仿宋_GB2312" w:eastAsia="仿宋_GB2312" w:cs="仿宋_GB2312"/>
        </w:rPr>
        <w:t>第三章 货物需求</w:t>
      </w:r>
      <w:bookmarkEnd w:id="50"/>
      <w:bookmarkEnd w:id="51"/>
      <w:bookmarkEnd w:id="52"/>
      <w:bookmarkEnd w:id="53"/>
    </w:p>
    <w:p>
      <w:pPr>
        <w:adjustRightInd w:val="0"/>
        <w:snapToGrid w:val="0"/>
        <w:spacing w:line="360" w:lineRule="auto"/>
        <w:ind w:firstLine="420" w:firstLineChars="200"/>
        <w:rPr>
          <w:rFonts w:ascii="仿宋_GB2312" w:hAnsi="仿宋_GB2312" w:eastAsia="仿宋_GB2312" w:cs="仿宋_GB2312"/>
        </w:rPr>
      </w:pPr>
      <w:bookmarkStart w:id="54" w:name="_Toc16119_WPSOffice_Level2"/>
      <w:bookmarkStart w:id="55" w:name="_Toc23459_WPSOffice_Level2"/>
      <w:bookmarkStart w:id="56" w:name="_Toc16294_WPSOffice_Level2"/>
      <w:bookmarkStart w:id="57" w:name="_Toc25382_WPSOffice_Level2"/>
      <w:r>
        <w:rPr>
          <w:rFonts w:hint="eastAsia" w:ascii="仿宋_GB2312" w:hAnsi="仿宋_GB2312" w:eastAsia="仿宋_GB2312" w:cs="仿宋_GB2312"/>
        </w:rPr>
        <w:t>第四章 评标方法</w:t>
      </w:r>
      <w:bookmarkEnd w:id="54"/>
      <w:bookmarkEnd w:id="55"/>
      <w:bookmarkEnd w:id="56"/>
      <w:bookmarkEnd w:id="57"/>
    </w:p>
    <w:p>
      <w:pPr>
        <w:adjustRightInd w:val="0"/>
        <w:snapToGrid w:val="0"/>
        <w:spacing w:line="360" w:lineRule="auto"/>
        <w:ind w:firstLine="420" w:firstLineChars="200"/>
        <w:rPr>
          <w:rFonts w:ascii="仿宋_GB2312" w:hAnsi="仿宋_GB2312" w:eastAsia="仿宋_GB2312" w:cs="仿宋_GB2312"/>
        </w:rPr>
      </w:pPr>
      <w:bookmarkStart w:id="58" w:name="_Toc17794_WPSOffice_Level2"/>
      <w:bookmarkStart w:id="59" w:name="_Toc16368_WPSOffice_Level2"/>
      <w:bookmarkStart w:id="60" w:name="_Toc28106_WPSOffice_Level2"/>
      <w:bookmarkStart w:id="61" w:name="_Toc9629_WPSOffice_Level2"/>
      <w:r>
        <w:rPr>
          <w:rFonts w:hint="eastAsia" w:ascii="仿宋_GB2312" w:hAnsi="仿宋_GB2312" w:eastAsia="仿宋_GB2312" w:cs="仿宋_GB2312"/>
        </w:rPr>
        <w:t>第五章 政府采购合同</w:t>
      </w:r>
      <w:bookmarkEnd w:id="58"/>
      <w:bookmarkEnd w:id="59"/>
      <w:bookmarkEnd w:id="60"/>
      <w:bookmarkEnd w:id="61"/>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62" w:name="_Toc7415_WPSOffice_Level2"/>
      <w:r>
        <w:rPr>
          <w:rFonts w:hint="eastAsia" w:ascii="仿宋_GB2312" w:hAnsi="仿宋_GB2312" w:eastAsia="仿宋_GB2312" w:cs="仿宋_GB2312"/>
        </w:rPr>
        <w:t>四 投标文件的编制</w:t>
      </w:r>
      <w:bookmarkEnd w:id="62"/>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8"/>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3" w:name="_Toc31973_WPSOffice_Level2"/>
      <w:bookmarkStart w:id="64" w:name="_Toc22507_WPSOffice_Level2"/>
      <w:r>
        <w:rPr>
          <w:rFonts w:hint="eastAsia" w:ascii="仿宋_GB2312" w:hAnsi="仿宋_GB2312" w:eastAsia="仿宋_GB2312" w:cs="仿宋_GB2312"/>
          <w:szCs w:val="21"/>
        </w:rPr>
        <w:t>12.6除非招标文件另有规定，报价原则上精确到小数点后两位。</w:t>
      </w:r>
      <w:bookmarkEnd w:id="63"/>
      <w:bookmarkEnd w:id="6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bookmarkStart w:id="65"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3"/>
        <w:jc w:val="center"/>
        <w:rPr>
          <w:rFonts w:ascii="仿宋_GB2312" w:hAnsi="仿宋_GB2312" w:eastAsia="仿宋_GB2312" w:cs="仿宋_GB2312"/>
          <w:szCs w:val="28"/>
        </w:rPr>
      </w:pPr>
      <w:bookmarkStart w:id="66" w:name="_Toc988_WPSOffice_Level2"/>
      <w:r>
        <w:rPr>
          <w:rFonts w:hint="eastAsia" w:ascii="仿宋_GB2312" w:hAnsi="仿宋_GB2312" w:eastAsia="仿宋_GB2312" w:cs="仿宋_GB2312"/>
          <w:szCs w:val="28"/>
        </w:rPr>
        <w:t>六 开标及评标</w:t>
      </w:r>
      <w:bookmarkEnd w:id="6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67" w:name="_Toc4544_WPSOffice_Level2"/>
      <w:r>
        <w:rPr>
          <w:rFonts w:hint="eastAsia" w:ascii="仿宋_GB2312" w:hAnsi="仿宋_GB2312" w:eastAsia="仿宋_GB2312" w:cs="仿宋_GB2312"/>
          <w:szCs w:val="28"/>
        </w:rPr>
        <w:t>七 确定中标</w:t>
      </w:r>
      <w:bookmarkEnd w:id="6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68" w:name="_Toc17725_WPSOffice_Level1"/>
      <w:r>
        <w:rPr>
          <w:rFonts w:hint="eastAsia"/>
        </w:rPr>
        <w:t>第二章 投标文件内容及格式</w:t>
      </w:r>
      <w:bookmarkEnd w:id="68"/>
    </w:p>
    <w:p>
      <w:pPr>
        <w:ind w:firstLine="482" w:firstLineChars="200"/>
        <w:rPr>
          <w:rFonts w:ascii="仿宋_GB2312" w:hAnsi="仿宋_GB2312" w:eastAsia="仿宋_GB2312" w:cs="仿宋_GB2312"/>
        </w:rPr>
      </w:pPr>
      <w:bookmarkStart w:id="69" w:name="sys_投标文件内容及格式：Block"/>
      <w:bookmarkEnd w:id="69"/>
      <w:bookmarkStart w:id="70" w:name="投标文件内容及格式：Block"/>
      <w:bookmarkEnd w:id="70"/>
      <w:bookmarkStart w:id="71" w:name="_Toc2481_WPSOffice_Level2"/>
      <w:bookmarkStart w:id="72" w:name="_Toc1538_WPSOffice_Level2"/>
      <w:r>
        <w:rPr>
          <w:rFonts w:hint="eastAsia" w:ascii="仿宋_GB2312" w:hAnsi="仿宋_GB2312" w:eastAsia="仿宋_GB2312" w:cs="仿宋_GB2312"/>
          <w:b/>
          <w:sz w:val="24"/>
        </w:rPr>
        <w:t>一、投标文件、电子文档的外封面、封口、封皮及目录</w:t>
      </w:r>
      <w:bookmarkEnd w:id="71"/>
      <w:bookmarkEnd w:id="72"/>
    </w:p>
    <w:tbl>
      <w:tblPr>
        <w:tblStyle w:val="19"/>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73" w:name="_Toc1266_WPSOffice_Level2"/>
      <w:bookmarkStart w:id="74" w:name="_Toc31052_WPSOffice_Level2"/>
      <w:r>
        <w:rPr>
          <w:rFonts w:hint="eastAsia" w:ascii="仿宋_GB2312" w:hAnsi="仿宋_GB2312" w:eastAsia="仿宋_GB2312" w:cs="仿宋_GB2312"/>
          <w:b/>
          <w:sz w:val="24"/>
        </w:rPr>
        <w:t>二、资格证明材料</w:t>
      </w:r>
      <w:bookmarkEnd w:id="73"/>
      <w:bookmarkEnd w:id="74"/>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75" w:name="_Toc22359_WPSOffice_Level2"/>
          <w:bookmarkStart w:id="76" w:name="_Toc25206_WPSOffice_Level2"/>
          <w:bookmarkStart w:id="77" w:name="sys_资格性证明材料：Document"/>
          <w:bookmarkStart w:id="78" w:name="资格性证明材料：Document"/>
        </w:p>
        <w:tbl>
          <w:tblPr>
            <w:tblStyle w:val="19"/>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联合体协议书原件（如适用）</w:t>
                </w:r>
              </w:p>
            </w:tc>
            <w:sdt>
              <w:sdtPr>
                <w:rPr>
                  <w:rFonts w:hint="eastAsia" w:ascii="仿宋" w:hAnsi="仿宋" w:eastAsia="仿宋"/>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其它资格证明文件（如适用，按投标人须知表1.3.4要求描述）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bCs/>
                    <w:kern w:val="0"/>
                    <w:szCs w:val="21"/>
                  </w:rPr>
                  <w:t>联合体投标的</w:t>
                </w:r>
                <w:r>
                  <w:rPr>
                    <w:rFonts w:hint="eastAsia" w:ascii="仿宋_GB2312" w:hAnsi="仿宋_GB2312" w:eastAsia="仿宋_GB2312" w:cs="仿宋_GB2312"/>
                    <w:szCs w:val="21"/>
                  </w:rPr>
                  <w:t>其它资格证明文件（如适用，按投标人须知表1.4.8要求描述）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联合体各方均需查询（如适用）</w:t>
                </w: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75"/>
      <w:bookmarkEnd w:id="76"/>
      <w:r>
        <w:rPr>
          <w:rFonts w:hint="eastAsia" w:ascii="仿宋_GB2312" w:hAnsi="仿宋_GB2312" w:eastAsia="仿宋_GB2312" w:cs="仿宋_GB2312"/>
          <w:b/>
          <w:sz w:val="24"/>
        </w:rPr>
        <w:t>（有一项不符合要求，不能进入下一阶段评审）</w:t>
      </w:r>
    </w:p>
    <w:bookmarkEnd w:id="77"/>
    <w:bookmarkEnd w:id="78"/>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9" w:name="_Toc24432_WPSOffice_Level2"/>
          <w:bookmarkStart w:id="80" w:name="_Toc27769_WPSOffice_Level2"/>
        </w:p>
        <w:tbl>
          <w:tblPr>
            <w:tblStyle w:val="19"/>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color w:val="FF0000"/>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9</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bookmarkEnd w:id="79"/>
    <w:bookmarkEnd w:id="80"/>
    <w:p>
      <w:pPr>
        <w:snapToGrid w:val="0"/>
        <w:spacing w:before="156" w:beforeLines="50"/>
        <w:rPr>
          <w:rFonts w:ascii="仿宋_GB2312" w:hAnsi="仿宋_GB2312" w:eastAsia="仿宋_GB2312" w:cs="仿宋_GB2312"/>
          <w:b/>
          <w:sz w:val="24"/>
        </w:rPr>
      </w:pPr>
      <w:r>
        <w:rPr>
          <w:rFonts w:hint="eastAsia" w:ascii="仿宋_GB2312" w:hAnsi="仿宋_GB2312" w:eastAsia="仿宋_GB2312" w:cs="仿宋_GB2312"/>
          <w:b/>
          <w:sz w:val="24"/>
        </w:rPr>
        <w:t>　　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9"/>
            <w:tblW w:w="9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sdt>
              <w:sdtPr>
                <w:rPr>
                  <w:rFonts w:hint="eastAsia" w:ascii="仿宋" w:hAnsi="仿宋" w:eastAsia="仿宋"/>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
                  <w:rPr>
                    <w:rFonts w:ascii="仿宋_GB2312" w:hAnsi="仿宋_GB2312" w:eastAsia="仿宋_GB2312" w:cs="仿宋_GB2312"/>
                    <w:kern w:val="0"/>
                    <w:szCs w:val="21"/>
                  </w:rPr>
                </w:pPr>
                <w:r>
                  <w:rPr>
                    <w:rFonts w:hint="eastAsia" w:ascii="仿宋_GB2312" w:hAnsi="仿宋_GB2312" w:eastAsia="仿宋_GB2312" w:cs="仿宋_GB2312"/>
                    <w:szCs w:val="21"/>
                  </w:rPr>
                  <w:t>制造商企业（单位）类型声明函</w:t>
                </w:r>
              </w:p>
            </w:tc>
            <w:sdt>
              <w:sdtPr>
                <w:rPr>
                  <w:rFonts w:hint="eastAsia" w:ascii="仿宋" w:hAnsi="仿宋" w:eastAsia="仿宋"/>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20</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03" w:type="dxa"/>
                <w:vAlign w:val="center"/>
              </w:tcPr>
              <w:p>
                <w:pPr>
                  <w:adjustRightInd w:val="0"/>
                  <w:snapToGrid w:val="0"/>
                  <w:ind w:left="25" w:leftChars="12"/>
                  <w:rPr>
                    <w:rFonts w:ascii="仿宋_GB2312" w:hAnsi="仿宋_GB2312" w:eastAsia="仿宋_GB2312" w:cs="仿宋_GB2312"/>
                    <w:szCs w:val="21"/>
                  </w:rPr>
                </w:pPr>
                <w:r>
                  <w:rPr>
                    <w:rFonts w:ascii="仿宋_GB2312" w:hAnsi="仿宋_GB2312" w:eastAsia="仿宋_GB2312" w:cs="仿宋_GB2312"/>
                    <w:szCs w:val="21"/>
                  </w:rPr>
                  <w:t>。。。</w:t>
                </w:r>
              </w:p>
            </w:tc>
            <w:sdt>
              <w:sdtPr>
                <w:rPr>
                  <w:rFonts w:hint="eastAsia" w:ascii="仿宋" w:hAnsi="仿宋" w:eastAsia="仿宋"/>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1" w:name="_Toc24011_WPSOffice_Level2"/>
      <w:bookmarkStart w:id="82" w:name="_Toc23127_WPSOffice_Level2"/>
      <w:r>
        <w:rPr>
          <w:rFonts w:hint="eastAsia" w:ascii="仿宋_GB2312" w:hAnsi="仿宋_GB2312" w:eastAsia="仿宋_GB2312" w:cs="仿宋_GB2312"/>
          <w:b/>
          <w:sz w:val="24"/>
        </w:rPr>
        <w:t>重要提示：</w:t>
      </w:r>
      <w:bookmarkEnd w:id="81"/>
      <w:bookmarkEnd w:id="82"/>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83" w:name="_Toc21090_WPSOffice_Level2"/>
      <w:bookmarkStart w:id="84" w:name="_Toc26322_WPSOffice_Level2"/>
      <w:r>
        <w:rPr>
          <w:rFonts w:hint="eastAsia" w:ascii="仿宋_GB2312" w:hAnsi="仿宋_GB2312" w:eastAsia="仿宋_GB2312" w:cs="仿宋_GB2312"/>
          <w:b/>
          <w:bCs/>
          <w:sz w:val="32"/>
          <w:szCs w:val="32"/>
        </w:rPr>
        <w:t>投标文件、电子文档外封面、封口格式</w:t>
      </w:r>
      <w:bookmarkEnd w:id="83"/>
      <w:bookmarkEnd w:id="84"/>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9"/>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w:t>
            </w:r>
            <w:r>
              <w:rPr>
                <w:rFonts w:hint="eastAsia" w:ascii="宋体" w:hAnsi="宋体" w:cs="宋体"/>
              </w:rPr>
              <w:t>  </w:t>
            </w:r>
            <w:r>
              <w:rPr>
                <w:rFonts w:hint="eastAsia" w:ascii="仿宋_GB2312" w:hAnsi="仿宋_GB2312" w:eastAsia="仿宋_GB2312" w:cs="仿宋_GB2312"/>
              </w:rPr>
              <w:t xml:space="preserve"> 年</w:t>
            </w:r>
            <w:r>
              <w:rPr>
                <w:rFonts w:hint="eastAsia" w:ascii="宋体" w:hAnsi="宋体" w:cs="宋体"/>
              </w:rPr>
              <w:t> </w:t>
            </w:r>
            <w:r>
              <w:rPr>
                <w:rFonts w:hint="eastAsia" w:ascii="仿宋_GB2312" w:hAnsi="仿宋_GB2312" w:eastAsia="仿宋_GB2312" w:cs="仿宋_GB2312"/>
              </w:rPr>
              <w:t xml:space="preserve"> 月</w:t>
            </w:r>
            <w:r>
              <w:rPr>
                <w:rFonts w:hint="eastAsia" w:ascii="宋体" w:hAnsi="宋体" w:cs="宋体"/>
              </w:rPr>
              <w:t> </w:t>
            </w:r>
            <w:r>
              <w:rPr>
                <w:rFonts w:hint="eastAsia" w:ascii="仿宋_GB2312" w:hAnsi="仿宋_GB2312" w:eastAsia="仿宋_GB2312" w:cs="仿宋_GB2312"/>
              </w:rPr>
              <w:t xml:space="preserve"> 日</w:t>
            </w:r>
            <w:r>
              <w:rPr>
                <w:rFonts w:hint="eastAsia" w:ascii="宋体" w:hAnsi="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85" w:name="_Toc2304_WPSOffice_Level2"/>
      <w:bookmarkStart w:id="86" w:name="_Toc21414_WPSOffice_Level2"/>
      <w:r>
        <w:rPr>
          <w:rFonts w:hint="eastAsia" w:ascii="仿宋_GB2312" w:hAnsi="仿宋_GB2312" w:eastAsia="仿宋_GB2312" w:cs="仿宋_GB2312"/>
          <w:b/>
          <w:sz w:val="32"/>
          <w:szCs w:val="32"/>
        </w:rPr>
        <w:t>目  录</w:t>
      </w:r>
      <w:bookmarkEnd w:id="85"/>
      <w:bookmarkEnd w:id="86"/>
    </w:p>
    <w:p>
      <w:pPr>
        <w:rPr>
          <w:rFonts w:ascii="仿宋_GB2312" w:hAnsi="仿宋_GB2312" w:eastAsia="仿宋_GB2312" w:cs="仿宋_GB2312"/>
        </w:rPr>
      </w:pPr>
      <w:bookmarkStart w:id="87" w:name="_Toc7636_WPSOffice_Level2"/>
      <w:bookmarkStart w:id="88" w:name="_Toc30940_WPSOffice_Level2"/>
      <w:r>
        <w:rPr>
          <w:rFonts w:hint="eastAsia" w:ascii="仿宋_GB2312" w:hAnsi="仿宋_GB2312" w:eastAsia="仿宋_GB2312" w:cs="仿宋_GB2312"/>
        </w:rPr>
        <w:t>一、资格证明材料</w:t>
      </w:r>
      <w:bookmarkEnd w:id="87"/>
      <w:bookmarkEnd w:id="88"/>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89" w:name="_Toc31702_WPSOffice_Level2"/>
      <w:bookmarkStart w:id="90" w:name="_Toc13950_WPSOffice_Level2"/>
      <w:r>
        <w:rPr>
          <w:rFonts w:hint="eastAsia" w:ascii="仿宋_GB2312" w:hAnsi="仿宋_GB2312" w:eastAsia="仿宋_GB2312" w:cs="仿宋_GB2312"/>
        </w:rPr>
        <w:t>二、符合性证明材料</w:t>
      </w:r>
      <w:bookmarkEnd w:id="89"/>
      <w:bookmarkEnd w:id="90"/>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1" w:name="_Toc14854_WPSOffice_Level2"/>
      <w:bookmarkStart w:id="92" w:name="_Toc9090_WPSOffice_Level2"/>
      <w:r>
        <w:rPr>
          <w:rFonts w:hint="eastAsia" w:ascii="仿宋_GB2312" w:hAnsi="仿宋_GB2312" w:eastAsia="仿宋_GB2312" w:cs="仿宋_GB2312"/>
        </w:rPr>
        <w:t>三、其它材料</w:t>
      </w:r>
      <w:bookmarkEnd w:id="91"/>
      <w:bookmarkEnd w:id="92"/>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3" w:name="_Toc16924_WPSOffice_Level2"/>
      <w:bookmarkStart w:id="94" w:name="_Toc3401_WPSOffice_Level2"/>
      <w:r>
        <w:rPr>
          <w:rFonts w:hint="eastAsia" w:ascii="仿宋_GB2312" w:hAnsi="仿宋_GB2312" w:eastAsia="仿宋_GB2312" w:cs="仿宋_GB2312"/>
          <w:b/>
          <w:sz w:val="32"/>
          <w:szCs w:val="32"/>
        </w:rPr>
        <w:t>法定代表人（或非法人组织负责人）身份证明书</w:t>
      </w:r>
      <w:bookmarkEnd w:id="93"/>
      <w:bookmarkEnd w:id="94"/>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rPr>
          <w:rFonts w:ascii="仿宋_GB2312" w:hAnsi="仿宋_GB2312" w:eastAsia="仿宋_GB2312" w:cs="仿宋_GB2312"/>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b w:val="0"/>
          <w:bCs w:val="0"/>
        </w:rPr>
      </w:pPr>
      <w:r>
        <w:rPr>
          <w:rFonts w:hint="eastAsia" w:ascii="仿宋_GB2312" w:hAnsi="仿宋_GB2312" w:eastAsia="仿宋_GB2312" w:cs="仿宋_GB2312"/>
          <w:szCs w:val="28"/>
        </w:rPr>
        <w:t>格式5</w:t>
      </w:r>
      <w:bookmarkStart w:id="95" w:name="_Toc122_WPSOffice_Level2"/>
      <w:bookmarkStart w:id="96" w:name="_Toc21833_WPSOffice_Level2"/>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5"/>
      <w:bookmarkEnd w:id="96"/>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19"/>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7" w:name="_Toc23728_WPSOffice_Level2"/>
      <w:bookmarkStart w:id="98" w:name="_Toc12037_WPSOffice_Level2"/>
      <w:r>
        <w:rPr>
          <w:rFonts w:hint="eastAsia" w:ascii="仿宋_GB2312" w:hAnsi="仿宋_GB2312" w:eastAsia="仿宋_GB2312" w:cs="仿宋_GB2312"/>
          <w:b/>
          <w:sz w:val="32"/>
          <w:szCs w:val="32"/>
        </w:rPr>
        <w:t>具备履行合同所必需的设备和专业技术能力声明函</w:t>
      </w:r>
      <w:bookmarkEnd w:id="97"/>
      <w:bookmarkEnd w:id="98"/>
    </w:p>
    <w:p>
      <w:pPr>
        <w:spacing w:before="312" w:beforeLines="100" w:after="312" w:afterLines="100" w:line="480" w:lineRule="exact"/>
        <w:ind w:right="630" w:rightChars="300"/>
        <w:jc w:val="center"/>
        <w:rPr>
          <w:rFonts w:ascii="仿宋_GB2312" w:hAnsi="仿宋_GB2312" w:eastAsia="仿宋_GB2312" w:cs="仿宋_GB2312"/>
          <w:sz w:val="28"/>
          <w:szCs w:val="28"/>
        </w:rPr>
      </w:pPr>
      <w:bookmarkStart w:id="99" w:name="_Toc1917_WPSOffice_Level2"/>
      <w:bookmarkStart w:id="100" w:name="_Toc28831_WPSOffice_Level2"/>
      <w:r>
        <w:rPr>
          <w:rFonts w:hint="eastAsia" w:ascii="仿宋_GB2312" w:hAnsi="仿宋_GB2312" w:eastAsia="仿宋_GB2312" w:cs="仿宋_GB2312"/>
          <w:sz w:val="28"/>
          <w:szCs w:val="28"/>
        </w:rPr>
        <w:t>（格式自拟）</w:t>
      </w:r>
      <w:bookmarkEnd w:id="99"/>
      <w:bookmarkEnd w:id="100"/>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p>
    <w:p>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1" w:name="_Toc7498_WPSOffice_Level2"/>
      <w:bookmarkStart w:id="102"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101"/>
      <w:bookmarkEnd w:id="102"/>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3" w:name="_Toc16873_WPSOffice_Level2"/>
      <w:bookmarkStart w:id="104" w:name="_Toc30548_WPSOffice_Level2"/>
      <w:r>
        <w:rPr>
          <w:rFonts w:hint="eastAsia" w:ascii="仿宋_GB2312" w:hAnsi="仿宋_GB2312" w:eastAsia="仿宋_GB2312" w:cs="仿宋_GB2312"/>
          <w:b/>
          <w:sz w:val="32"/>
          <w:szCs w:val="32"/>
        </w:rPr>
        <w:t>联合体协议书</w:t>
      </w:r>
      <w:bookmarkEnd w:id="103"/>
      <w:bookmarkEnd w:id="104"/>
    </w:p>
    <w:p>
      <w:pPr>
        <w:pStyle w:val="11"/>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1"/>
        <w:spacing w:line="360" w:lineRule="auto"/>
        <w:ind w:firstLine="420" w:firstLineChars="200"/>
        <w:rPr>
          <w:rFonts w:ascii="仿宋_GB2312" w:hAnsi="仿宋_GB2312" w:eastAsia="仿宋_GB2312" w:cs="仿宋_GB2312"/>
          <w:u w:val="single"/>
        </w:rPr>
      </w:pPr>
      <w:bookmarkStart w:id="105" w:name="_Toc23749_WPSOffice_Level2"/>
      <w:bookmarkStart w:id="106" w:name="_Toc15561_WPSOffice_Level2"/>
      <w:r>
        <w:rPr>
          <w:rFonts w:hint="eastAsia" w:ascii="仿宋_GB2312" w:hAnsi="仿宋_GB2312" w:eastAsia="仿宋_GB2312" w:cs="仿宋_GB2312"/>
        </w:rPr>
        <w:t>1.</w:t>
      </w:r>
      <w:bookmarkEnd w:id="105"/>
      <w:bookmarkEnd w:id="106"/>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7" w:name="_Toc22173_WPSOffice_Level2"/>
      <w:bookmarkStart w:id="108" w:name="_Toc405_WPSOffice_Level2"/>
      <w:r>
        <w:rPr>
          <w:rFonts w:hint="eastAsia" w:ascii="仿宋_GB2312" w:hAnsi="仿宋_GB2312" w:eastAsia="仿宋_GB2312" w:cs="仿宋_GB2312"/>
        </w:rPr>
        <w:t>2.</w:t>
      </w:r>
      <w:bookmarkEnd w:id="107"/>
      <w:bookmarkEnd w:id="108"/>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9" w:name="_Toc7084_WPSOffice_Level2"/>
      <w:bookmarkStart w:id="110" w:name="_Toc23482_WPSOffice_Level2"/>
      <w:r>
        <w:rPr>
          <w:rFonts w:hint="eastAsia" w:ascii="仿宋_GB2312" w:hAnsi="仿宋_GB2312" w:eastAsia="仿宋_GB2312" w:cs="仿宋_GB2312"/>
        </w:rPr>
        <w:t>3.</w:t>
      </w:r>
      <w:bookmarkEnd w:id="109"/>
      <w:bookmarkEnd w:id="110"/>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111" w:name="_Toc24841_WPSOffice_Level2"/>
      <w:bookmarkStart w:id="112" w:name="_Toc14782_WPSOffice_Level2"/>
      <w:r>
        <w:rPr>
          <w:rFonts w:hint="eastAsia" w:ascii="仿宋_GB2312" w:hAnsi="仿宋_GB2312" w:eastAsia="仿宋_GB2312" w:cs="仿宋_GB2312"/>
          <w:b/>
          <w:sz w:val="32"/>
          <w:szCs w:val="32"/>
        </w:rPr>
        <w:t>投标函</w:t>
      </w:r>
      <w:bookmarkEnd w:id="111"/>
      <w:bookmarkEnd w:id="112"/>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3" w:name="_Toc11267_WPSOffice_Level2"/>
      <w:bookmarkStart w:id="114" w:name="_Toc2673_WPSOffice_Level2"/>
      <w:r>
        <w:rPr>
          <w:rFonts w:hint="eastAsia" w:ascii="仿宋_GB2312" w:hAnsi="仿宋_GB2312" w:eastAsia="仿宋_GB2312" w:cs="仿宋_GB2312"/>
          <w:b/>
          <w:bCs/>
          <w:sz w:val="32"/>
          <w:szCs w:val="32"/>
        </w:rPr>
        <w:t>开标一览表</w:t>
      </w:r>
      <w:bookmarkEnd w:id="113"/>
      <w:bookmarkEnd w:id="114"/>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5" w:name="_Toc28271_WPSOffice_Level2"/>
      <w:bookmarkStart w:id="116" w:name="_Toc16044_WPSOffice_Level2"/>
      <w:r>
        <w:rPr>
          <w:rFonts w:hint="eastAsia" w:ascii="仿宋_GB2312" w:hAnsi="仿宋_GB2312" w:eastAsia="仿宋_GB2312" w:cs="仿宋_GB2312"/>
          <w:b/>
          <w:bCs/>
          <w:sz w:val="32"/>
          <w:szCs w:val="32"/>
        </w:rPr>
        <w:t>分项报价表</w:t>
      </w:r>
      <w:bookmarkEnd w:id="115"/>
      <w:bookmarkEnd w:id="116"/>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721"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675" w:type="dxa"/>
            <w:vAlign w:val="center"/>
          </w:tcPr>
          <w:p>
            <w:pPr>
              <w:adjustRightInd w:val="0"/>
              <w:snapToGrid w:val="0"/>
              <w:ind w:right="105" w:rightChars="50"/>
              <w:jc w:val="center"/>
              <w:rPr>
                <w:rFonts w:ascii="仿宋_GB2312" w:hAnsi="仿宋_GB2312" w:eastAsia="仿宋_GB2312" w:cs="仿宋_GB2312"/>
                <w:szCs w:val="21"/>
              </w:rPr>
            </w:pPr>
          </w:p>
        </w:tc>
        <w:tc>
          <w:tcPr>
            <w:tcW w:w="68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17" w:name="_Toc31555_WPSOffice_Level2"/>
      <w:bookmarkStart w:id="118" w:name="_Toc9235_WPSOffice_Level2"/>
      <w:r>
        <w:rPr>
          <w:rFonts w:hint="eastAsia" w:ascii="仿宋_GB2312" w:hAnsi="仿宋_GB2312" w:eastAsia="仿宋_GB2312" w:cs="仿宋_GB2312"/>
          <w:b/>
          <w:bCs/>
          <w:sz w:val="32"/>
          <w:szCs w:val="32"/>
        </w:rPr>
        <w:t>技术规格偏离表</w:t>
      </w:r>
      <w:bookmarkEnd w:id="117"/>
      <w:bookmarkEnd w:id="118"/>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87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包号/序号：</w:t>
            </w:r>
          </w:p>
          <w:p>
            <w:pPr>
              <w:pStyle w:val="1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p>
          <w:p>
            <w:pPr>
              <w:pStyle w:val="17"/>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数量：</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是否为经过审批采购的进口产品：</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是否为核心产品（非单一产品采购项目时适用）：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按采购需求填写</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b/>
          <w:bCs/>
          <w:sz w:val="3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19" w:name="_Toc8488_WPSOffice_Level2"/>
      <w:bookmarkStart w:id="120" w:name="_Toc4431_WPSOffice_Level2"/>
      <w:r>
        <w:rPr>
          <w:rFonts w:hint="eastAsia" w:ascii="仿宋_GB2312" w:hAnsi="仿宋_GB2312" w:eastAsia="仿宋_GB2312" w:cs="仿宋_GB2312"/>
          <w:b/>
          <w:bCs/>
          <w:sz w:val="32"/>
          <w:szCs w:val="32"/>
        </w:rPr>
        <w:t>商务条款偏离表</w:t>
      </w:r>
      <w:bookmarkEnd w:id="119"/>
      <w:bookmarkEnd w:id="120"/>
    </w:p>
    <w:sdt>
      <w:sdtPr>
        <w:alias w:val="一表（对项目或各包的要求）"/>
        <w:tag w:val="一表（对项目或各包的要求）"/>
        <w:id w:val="1558982016"/>
        <w:lock w:val="sdtLocked"/>
      </w:sdtPr>
      <w:sdtContent>
        <w:p>
          <w:pPr>
            <w:rPr>
              <w:color w:val="000000" w:themeColor="text1"/>
              <w14:textFill>
                <w14:solidFill>
                  <w14:schemeClr w14:val="tx1"/>
                </w14:solidFill>
              </w14:textFill>
            </w:rPr>
          </w:pPr>
        </w:p>
        <w:tbl>
          <w:tblPr>
            <w:tblStyle w:val="19"/>
            <w:tblW w:w="8620" w:type="dxa"/>
            <w:jc w:val="center"/>
            <w:tblLayout w:type="fixed"/>
            <w:tblCellMar>
              <w:top w:w="0" w:type="dxa"/>
              <w:left w:w="108" w:type="dxa"/>
              <w:bottom w:w="0" w:type="dxa"/>
              <w:right w:w="108" w:type="dxa"/>
            </w:tblCellMar>
          </w:tblPr>
          <w:tblGrid>
            <w:gridCol w:w="500"/>
            <w:gridCol w:w="3431"/>
            <w:gridCol w:w="2298"/>
            <w:gridCol w:w="772"/>
            <w:gridCol w:w="860"/>
            <w:gridCol w:w="759"/>
          </w:tblGrid>
          <w:tr>
            <w:tblPrEx>
              <w:tblCellMar>
                <w:top w:w="0" w:type="dxa"/>
                <w:left w:w="108" w:type="dxa"/>
                <w:bottom w:w="0" w:type="dxa"/>
                <w:right w:w="108" w:type="dxa"/>
              </w:tblCellMar>
            </w:tblPrEx>
            <w:trPr>
              <w:trHeight w:val="639" w:hRule="atLeast"/>
              <w:jc w:val="center"/>
            </w:trPr>
            <w:tc>
              <w:tcPr>
                <w:tcW w:w="8620" w:type="dxa"/>
                <w:gridSpan w:val="6"/>
                <w:vAlign w:val="center"/>
              </w:tcPr>
              <w:p>
                <w:pPr>
                  <w:adjustRightInd w:val="0"/>
                  <w:snapToGrid w:val="0"/>
                  <w:ind w:right="-107" w:rightChars="-51"/>
                  <w:rPr>
                    <w:rFonts w:ascii="仿宋_GB2312" w:hAnsi="仿宋_GB2312" w:eastAsia="仿宋_GB2312" w:cs="仿宋_GB2312"/>
                    <w:color w:val="000000" w:themeColor="text1"/>
                    <w:sz w:val="24"/>
                    <w14:textFill>
                      <w14:solidFill>
                        <w14:schemeClr w14:val="tx1"/>
                      </w14:solidFill>
                    </w14:textFill>
                  </w:rPr>
                </w:pPr>
                <w:r>
                  <w:rPr>
                    <w:rFonts w:hint="eastAsia" w:ascii="仿宋" w:hAnsi="仿宋" w:eastAsia="仿宋" w:cs="Lucida Sans Unicode"/>
                    <w:color w:val="000000" w:themeColor="text1"/>
                    <w:sz w:val="24"/>
                    <w14:textFill>
                      <w14:solidFill>
                        <w14:schemeClr w14:val="tx1"/>
                      </w14:solidFill>
                    </w14:textFill>
                  </w:rPr>
                  <w:fldChar w:fldCharType="begin"/>
                </w:r>
                <w:r>
                  <w:rPr>
                    <w:rFonts w:hint="eastAsia" w:ascii="仿宋" w:hAnsi="仿宋" w:eastAsia="仿宋" w:cs="Lucida Sans Unicode"/>
                    <w:color w:val="000000" w:themeColor="text1"/>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 w:val="24"/>
                    <w14:textFill>
                      <w14:solidFill>
                        <w14:schemeClr w14:val="tx1"/>
                      </w14:solidFill>
                    </w14:textFill>
                  </w:rPr>
                  <w:fldChar w:fldCharType="separate"/>
                </w:r>
                <w:r>
                  <w:rPr>
                    <w:rFonts w:hint="eastAsia" w:ascii="仿宋" w:hAnsi="仿宋" w:eastAsia="仿宋" w:cs="Lucida Sans Unicode"/>
                    <w:color w:val="000000" w:themeColor="text1"/>
                    <w:sz w:val="24"/>
                    <w14:textFill>
                      <w14:solidFill>
                        <w14:schemeClr w14:val="tx1"/>
                      </w14:solidFill>
                    </w14:textFill>
                  </w:rPr>
                  <w:t>包号</w:t>
                </w:r>
                <w:r>
                  <w:rPr>
                    <w:rFonts w:hint="eastAsia" w:ascii="仿宋" w:hAnsi="仿宋" w:eastAsia="仿宋" w:cs="Lucida Sans Unicode"/>
                    <w:color w:val="000000" w:themeColor="text1"/>
                    <w:sz w:val="24"/>
                    <w14:textFill>
                      <w14:solidFill>
                        <w14:schemeClr w14:val="tx1"/>
                      </w14:solidFill>
                    </w14:textFill>
                  </w:rPr>
                  <w:fldChar w:fldCharType="end"/>
                </w:r>
                <w:r>
                  <w:rPr>
                    <w:rFonts w:hint="eastAsia" w:ascii="仿宋" w:hAnsi="仿宋" w:eastAsia="仿宋" w:cs="Lucida Sans Unicode"/>
                    <w:color w:val="000000" w:themeColor="text1"/>
                    <w:sz w:val="24"/>
                    <w14:textFill>
                      <w14:solidFill>
                        <w14:schemeClr w14:val="tx1"/>
                      </w14:solidFill>
                    </w14:textFill>
                  </w:rPr>
                  <w:t>：</w:t>
                </w:r>
                <w:sdt>
                  <w:sdtPr>
                    <w:rPr>
                      <w:rFonts w:hint="eastAsia" w:ascii="仿宋" w:hAnsi="仿宋" w:eastAsia="仿宋"/>
                      <w:color w:val="000000" w:themeColor="text1"/>
                      <w:sz w:val="24"/>
                      <w14:textFill>
                        <w14:solidFill>
                          <w14:schemeClr w14:val="tx1"/>
                        </w14:solidFill>
                      </w14:textFill>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olor w:val="000000" w:themeColor="text1"/>
                      <w:sz w:val="24"/>
                      <w14:textFill>
                        <w14:solidFill>
                          <w14:schemeClr w14:val="tx1"/>
                        </w14:solidFill>
                      </w14:textFill>
                    </w:rPr>
                  </w:sdtEndPr>
                  <w:sdtContent>
                    <w:r>
                      <w:rPr>
                        <w:rFonts w:hint="eastAsia" w:ascii="仿宋" w:hAnsi="仿宋" w:eastAsia="仿宋"/>
                        <w:color w:val="000000" w:themeColor="text1"/>
                        <w:sz w:val="24"/>
                        <w14:textFill>
                          <w14:solidFill>
                            <w14:schemeClr w14:val="tx1"/>
                          </w14:solidFill>
                        </w14:textFill>
                      </w:rPr>
                      <w:t>全部</w:t>
                    </w:r>
                  </w:sdtContent>
                </w:sdt>
              </w:p>
            </w:tc>
          </w:tr>
          <w:tr>
            <w:tblPrEx>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序号</w:t>
                </w:r>
              </w:p>
            </w:tc>
            <w:tc>
              <w:tcPr>
                <w:tcW w:w="3431" w:type="dxa"/>
                <w:vAlign w:val="center"/>
              </w:tcPr>
              <w:p>
                <w:pPr>
                  <w:adjustRightInd w:val="0"/>
                  <w:snapToGrid w:val="0"/>
                  <w:ind w:right="-73" w:rightChars="-35"/>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招标文件的商务条款</w:t>
                </w:r>
              </w:p>
              <w:p>
                <w:pPr>
                  <w:adjustRightInd w:val="0"/>
                  <w:snapToGrid w:val="0"/>
                  <w:ind w:right="-73" w:rightChars="-35"/>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cs="宋体"/>
                    <w:color w:val="000000" w:themeColor="text1"/>
                    <w:szCs w:val="21"/>
                    <w14:textFill>
                      <w14:solidFill>
                        <w14:schemeClr w14:val="tx1"/>
                      </w14:solidFill>
                    </w14:textFill>
                  </w:rPr>
                  <w:t>（</w:t>
                </w:r>
                <w:r>
                  <w:rPr>
                    <w:rFonts w:hint="eastAsia" w:ascii="仿宋" w:hAnsi="仿宋" w:cs="宋体"/>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 w:hAnsi="仿宋" w:cs="宋体"/>
                    <w:color w:val="000000" w:themeColor="text1"/>
                    <w:szCs w:val="21"/>
                    <w14:textFill>
                      <w14:solidFill>
                        <w14:schemeClr w14:val="tx1"/>
                      </w14:solidFill>
                    </w14:textFill>
                  </w:rPr>
                  <w:t>）</w:t>
                </w:r>
              </w:p>
            </w:tc>
            <w:tc>
              <w:tcPr>
                <w:tcW w:w="2298" w:type="dxa"/>
                <w:vAlign w:val="center"/>
              </w:tcPr>
              <w:p>
                <w:pPr>
                  <w:adjustRightInd w:val="0"/>
                  <w:snapToGrid w:val="0"/>
                  <w:ind w:right="-107"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偏离程度</w:t>
                </w:r>
              </w:p>
            </w:tc>
            <w:tc>
              <w:tcPr>
                <w:tcW w:w="860" w:type="dxa"/>
                <w:vAlign w:val="center"/>
              </w:tcPr>
              <w:p>
                <w:pPr>
                  <w:adjustRightInd w:val="0"/>
                  <w:snapToGrid w:val="0"/>
                  <w:ind w:right="-107"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说明</w:t>
                </w:r>
              </w:p>
            </w:tc>
            <w:tc>
              <w:tcPr>
                <w:tcW w:w="759" w:type="dxa"/>
                <w:vAlign w:val="center"/>
              </w:tcPr>
              <w:p>
                <w:pPr>
                  <w:adjustRightInd w:val="0"/>
                  <w:snapToGrid w:val="0"/>
                  <w:ind w:right="-107"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证明</w:t>
                </w:r>
              </w:p>
              <w:p>
                <w:pPr>
                  <w:adjustRightInd w:val="0"/>
                  <w:snapToGrid w:val="0"/>
                  <w:ind w:right="-107" w:rightChars="-51"/>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材料</w:t>
                </w:r>
              </w:p>
            </w:tc>
          </w:tr>
          <w:tr>
            <w:tblPrEx>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交货/交付时间：1</w:t>
                </w:r>
                <w:r>
                  <w:rPr>
                    <w:rFonts w:ascii="仿宋_GB2312" w:hAnsi="仿宋_GB2312" w:eastAsia="仿宋_GB2312" w:cs="仿宋_GB2312"/>
                    <w:color w:val="000000" w:themeColor="text1"/>
                    <w:szCs w:val="21"/>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日</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交货/交付地点：大石桥市中医院（采购人指定地点）</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付款方式及条件：签订合同后一周内支付合同总价的3</w:t>
                </w:r>
                <w:r>
                  <w:rPr>
                    <w:rFonts w:ascii="仿宋_GB2312" w:hAnsi="仿宋_GB2312" w:eastAsia="仿宋_GB2312" w:cs="仿宋_GB2312"/>
                    <w:color w:val="000000" w:themeColor="text1"/>
                    <w:szCs w:val="21"/>
                    <w14:textFill>
                      <w14:solidFill>
                        <w14:schemeClr w14:val="tx1"/>
                      </w14:solidFill>
                    </w14:textFill>
                  </w:rPr>
                  <w:t>0</w:t>
                </w:r>
                <w:r>
                  <w:rPr>
                    <w:rFonts w:hint="eastAsia" w:ascii="仿宋_GB2312" w:hAnsi="仿宋_GB2312" w:eastAsia="仿宋_GB2312" w:cs="仿宋_GB2312"/>
                    <w:color w:val="000000" w:themeColor="text1"/>
                    <w:szCs w:val="21"/>
                    <w14:textFill>
                      <w14:solidFill>
                        <w14:schemeClr w14:val="tx1"/>
                      </w14:solidFill>
                    </w14:textFill>
                  </w:rPr>
                  <w:t>%，货到安装并验收合格后支付合同总价6</w:t>
                </w:r>
                <w:r>
                  <w:rPr>
                    <w:rFonts w:ascii="仿宋_GB2312" w:hAnsi="仿宋_GB2312" w:eastAsia="仿宋_GB2312" w:cs="仿宋_GB2312"/>
                    <w:color w:val="000000" w:themeColor="text1"/>
                    <w:szCs w:val="21"/>
                    <w14:textFill>
                      <w14:solidFill>
                        <w14:schemeClr w14:val="tx1"/>
                      </w14:solidFill>
                    </w14:textFill>
                  </w:rPr>
                  <w:t>5</w:t>
                </w:r>
                <w:r>
                  <w:rPr>
                    <w:rFonts w:hint="eastAsia" w:ascii="仿宋_GB2312" w:hAnsi="仿宋_GB2312" w:eastAsia="仿宋_GB2312" w:cs="仿宋_GB2312"/>
                    <w:color w:val="000000" w:themeColor="text1"/>
                    <w:szCs w:val="21"/>
                    <w14:textFill>
                      <w14:solidFill>
                        <w14:schemeClr w14:val="tx1"/>
                      </w14:solidFill>
                    </w14:textFill>
                  </w:rPr>
                  <w:t>%，剩余5%作为质保金，质保期满后无息付清。</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验收标准：</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验收程序：</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验收报告：</w:t>
                </w:r>
              </w:p>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组织验收主体：本项目的履约验收工作由采购人依法组织实施。</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质量保证期：（  </w:t>
                </w:r>
                <w:r>
                  <w:rPr>
                    <w:rFonts w:ascii="仿宋_GB2312" w:hAnsi="仿宋_GB2312" w:eastAsia="仿宋_GB2312" w:cs="仿宋_GB2312"/>
                    <w:color w:val="000000" w:themeColor="text1"/>
                    <w:szCs w:val="21"/>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）年</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保修期内上门免费服务，终身维修，提供配件：（    ）年</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824"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热线支持：2</w:t>
                </w:r>
                <w:r>
                  <w:rPr>
                    <w:rFonts w:ascii="仿宋_GB2312" w:hAnsi="仿宋_GB2312" w:eastAsia="仿宋_GB2312" w:cs="仿宋_GB2312"/>
                    <w:color w:val="000000" w:themeColor="text1"/>
                    <w:szCs w:val="21"/>
                    <w14:textFill>
                      <w14:solidFill>
                        <w14:schemeClr w14:val="tx1"/>
                      </w14:solidFill>
                    </w14:textFill>
                  </w:rPr>
                  <w:t>4</w:t>
                </w:r>
                <w:r>
                  <w:rPr>
                    <w:rFonts w:hint="eastAsia" w:ascii="仿宋_GB2312" w:hAnsi="仿宋_GB2312" w:eastAsia="仿宋_GB2312" w:cs="仿宋_GB2312"/>
                    <w:color w:val="000000" w:themeColor="text1"/>
                    <w:szCs w:val="21"/>
                    <w14:textFill>
                      <w14:solidFill>
                        <w14:schemeClr w14:val="tx1"/>
                      </w14:solidFill>
                    </w14:textFill>
                  </w:rPr>
                  <w:t>小时</w:t>
                </w:r>
              </w:p>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现场支持：（  </w:t>
                </w:r>
                <w:r>
                  <w:rPr>
                    <w:rFonts w:ascii="仿宋_GB2312" w:hAnsi="仿宋_GB2312" w:eastAsia="仿宋_GB2312" w:cs="仿宋_GB2312"/>
                    <w:color w:val="000000" w:themeColor="text1"/>
                    <w:szCs w:val="21"/>
                    <w14:textFill>
                      <w14:solidFill>
                        <w14:schemeClr w14:val="tx1"/>
                      </w14:solidFill>
                    </w14:textFill>
                  </w:rPr>
                  <w:t>0.5</w:t>
                </w:r>
                <w:r>
                  <w:rPr>
                    <w:rFonts w:hint="eastAsia" w:ascii="仿宋_GB2312" w:hAnsi="仿宋_GB2312" w:eastAsia="仿宋_GB2312" w:cs="仿宋_GB2312"/>
                    <w:color w:val="000000" w:themeColor="text1"/>
                    <w:szCs w:val="21"/>
                    <w14:textFill>
                      <w14:solidFill>
                        <w14:schemeClr w14:val="tx1"/>
                      </w14:solidFill>
                    </w14:textFill>
                  </w:rPr>
                  <w:t xml:space="preserve">  ）小时内响应；（  </w:t>
                </w:r>
                <w:r>
                  <w:rPr>
                    <w:rFonts w:ascii="仿宋_GB2312" w:hAnsi="仿宋_GB2312" w:eastAsia="仿宋_GB2312" w:cs="仿宋_GB2312"/>
                    <w:color w:val="000000" w:themeColor="text1"/>
                    <w:szCs w:val="21"/>
                    <w14:textFill>
                      <w14:solidFill>
                        <w14:schemeClr w14:val="tx1"/>
                      </w14:solidFill>
                    </w14:textFill>
                  </w:rPr>
                  <w:t>1</w:t>
                </w:r>
                <w:r>
                  <w:rPr>
                    <w:rFonts w:hint="eastAsia" w:ascii="仿宋_GB2312" w:hAnsi="仿宋_GB2312" w:eastAsia="仿宋_GB2312" w:cs="仿宋_GB2312"/>
                    <w:color w:val="000000" w:themeColor="text1"/>
                    <w:szCs w:val="21"/>
                    <w14:textFill>
                      <w14:solidFill>
                        <w14:schemeClr w14:val="tx1"/>
                      </w14:solidFill>
                    </w14:textFill>
                  </w:rPr>
                  <w:t xml:space="preserve">   ）小时内到达</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售后服务网络：</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维修技术人员及设备方面的保证措施及收费标准的要求：</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备品备件供应及优惠价格要求：</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培训人员现场培训（操作、维护等）：</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系统扩展、升级服务要求：</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3431" w:type="dxa"/>
                <w:vAlign w:val="center"/>
              </w:tcPr>
              <w:p>
                <w:pPr>
                  <w:adjustRightInd w:val="0"/>
                  <w:snapToGrid w:val="0"/>
                  <w:ind w:hanging="1"/>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其它</w:t>
                </w:r>
              </w:p>
            </w:tc>
            <w:tc>
              <w:tcPr>
                <w:tcW w:w="2298"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采购单位未提供需求而投标人认为需说明及补充的内容在此填列</w:t>
                </w:r>
              </w:p>
            </w:tc>
            <w:tc>
              <w:tcPr>
                <w:tcW w:w="772"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860"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c>
              <w:tcPr>
                <w:tcW w:w="759" w:type="dxa"/>
                <w:vAlign w:val="center"/>
              </w:tcPr>
              <w:p>
                <w:pPr>
                  <w:adjustRightInd w:val="0"/>
                  <w:snapToGrid w:val="0"/>
                  <w:ind w:right="105" w:rightChars="50"/>
                  <w:jc w:val="center"/>
                  <w:rPr>
                    <w:rFonts w:ascii="仿宋_GB2312" w:hAnsi="仿宋_GB2312" w:eastAsia="仿宋_GB2312" w:cs="仿宋_GB2312"/>
                    <w:color w:val="000000" w:themeColor="text1"/>
                    <w:szCs w:val="21"/>
                    <w14:textFill>
                      <w14:solidFill>
                        <w14:schemeClr w14:val="tx1"/>
                      </w14:solidFill>
                    </w14:textFill>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u w:val="single"/>
        </w:rPr>
      </w:pPr>
    </w:p>
    <w:p>
      <w:pPr>
        <w:widowControl/>
        <w:jc w:val="left"/>
        <w:rPr>
          <w:rFonts w:ascii="仿宋_GB2312" w:hAnsi="仿宋_GB2312" w:eastAsia="仿宋_GB2312" w:cs="仿宋_GB2312"/>
          <w:b/>
          <w:bCs/>
          <w:sz w:val="32"/>
          <w:szCs w:val="28"/>
        </w:rPr>
      </w:pP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1" w:name="_Toc9410_WPSOffice_Level2"/>
      <w:bookmarkStart w:id="122" w:name="_Toc20929_WPSOffice_Level2"/>
      <w:r>
        <w:rPr>
          <w:rFonts w:hint="eastAsia" w:ascii="仿宋_GB2312" w:hAnsi="仿宋_GB2312" w:eastAsia="仿宋_GB2312" w:cs="仿宋_GB2312"/>
          <w:b/>
          <w:bCs/>
          <w:sz w:val="32"/>
          <w:szCs w:val="32"/>
        </w:rPr>
        <w:t>投标人关联单位的说明</w:t>
      </w:r>
      <w:bookmarkEnd w:id="121"/>
      <w:bookmarkEnd w:id="122"/>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3" w:name="_Toc2074_WPSOffice_Level2"/>
      <w:bookmarkStart w:id="124" w:name="_Toc31070_WPSOffice_Level2"/>
      <w:r>
        <w:rPr>
          <w:rFonts w:hint="eastAsia" w:ascii="仿宋_GB2312" w:hAnsi="仿宋_GB2312" w:eastAsia="仿宋_GB2312" w:cs="仿宋_GB2312"/>
          <w:szCs w:val="21"/>
        </w:rPr>
        <w:t>（1）与投标人单位法定代表人（或非法人组织负责人）为同一人的其他单位；</w:t>
      </w:r>
      <w:bookmarkEnd w:id="123"/>
      <w:bookmarkEnd w:id="124"/>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5" w:name="_Toc27053_WPSOffice_Level2"/>
      <w:bookmarkStart w:id="126" w:name="_Toc889_WPSOffice_Level2"/>
      <w:r>
        <w:rPr>
          <w:rFonts w:hint="eastAsia" w:ascii="仿宋_GB2312" w:hAnsi="仿宋_GB2312" w:eastAsia="仿宋_GB2312" w:cs="仿宋_GB2312"/>
          <w:szCs w:val="21"/>
        </w:rPr>
        <w:t>（2）与投标人存在直接控股、管理关系的其他单位。</w:t>
      </w:r>
      <w:bookmarkEnd w:id="125"/>
      <w:bookmarkEnd w:id="126"/>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2" w:beforeLines="100" w:after="312" w:afterLines="100" w:line="360" w:lineRule="auto"/>
        <w:ind w:firstLine="643" w:firstLineChars="200"/>
        <w:jc w:val="center"/>
        <w:rPr>
          <w:rFonts w:ascii="仿宋_GB2312" w:hAnsi="仿宋_GB2312" w:eastAsia="仿宋_GB2312" w:cs="仿宋_GB2312"/>
          <w:b/>
          <w:bCs/>
          <w:sz w:val="32"/>
          <w:szCs w:val="32"/>
        </w:rPr>
      </w:pPr>
      <w:bookmarkStart w:id="127" w:name="_Toc13329_WPSOffice_Level2"/>
      <w:bookmarkStart w:id="128" w:name="_Toc6847_WPSOffice_Level2"/>
      <w:r>
        <w:rPr>
          <w:rFonts w:hint="eastAsia" w:ascii="仿宋_GB2312" w:hAnsi="仿宋_GB2312" w:eastAsia="仿宋_GB2312" w:cs="仿宋_GB2312"/>
          <w:b/>
          <w:bCs/>
          <w:sz w:val="32"/>
          <w:szCs w:val="32"/>
        </w:rPr>
        <w:t>进口产品制造厂家的授权书</w:t>
      </w:r>
      <w:bookmarkEnd w:id="127"/>
      <w:bookmarkEnd w:id="128"/>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9" w:name="_Toc19164_WPSOffice_Level2"/>
      <w:bookmarkStart w:id="130" w:name="_Toc4541_WPSOffice_Level2"/>
      <w:r>
        <w:rPr>
          <w:rFonts w:hint="eastAsia" w:ascii="仿宋_GB2312" w:hAnsi="仿宋_GB2312" w:eastAsia="仿宋_GB2312" w:cs="仿宋_GB2312"/>
          <w:b/>
          <w:bCs/>
          <w:sz w:val="32"/>
          <w:szCs w:val="32"/>
        </w:rPr>
        <w:t>中小企业声明函</w:t>
      </w:r>
      <w:bookmarkEnd w:id="129"/>
      <w:bookmarkEnd w:id="130"/>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1．根据《工业和信息化部、国家统计局、国家发展和改革委员会、财政部关于印发中小企业划型标准规定的通知》（工信部联企业[2011]300号）规定的划分标准，本公司为</w:t>
      </w:r>
    </w:p>
    <w:p>
      <w:pPr>
        <w:widowControl/>
        <w:spacing w:line="360" w:lineRule="auto"/>
        <w:jc w:val="left"/>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项目采购活动提供本企业制造的货物，由本企业承担工程、提供服务，或者提供其他</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（请填写：中型、小型、微型）企业制造的货物。本条所称货物不包括使用大型企业注册商标的货物。</w:t>
      </w:r>
    </w:p>
    <w:p>
      <w:pPr>
        <w:widowControl/>
        <w:spacing w:line="360" w:lineRule="auto"/>
        <w:ind w:firstLine="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本公司对上述声明的真实性负责。如有虚假，将依法承担相应责任。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8320" w:type="dxa"/>
            <w:gridSpan w:val="6"/>
            <w:vAlign w:val="center"/>
          </w:tcPr>
          <w:p>
            <w:pPr>
              <w:widowControl/>
              <w:ind w:firstLine="422" w:firstLineChars="200"/>
              <w:jc w:val="left"/>
              <w:rPr>
                <w:rFonts w:ascii="仿宋_GB2312" w:hAnsi="仿宋_GB2312" w:eastAsia="仿宋_GB2312" w:cs="仿宋_GB2312"/>
                <w:szCs w:val="21"/>
                <w:lang w:val="zh-CN"/>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p>
            <w:pPr>
              <w:widowControl/>
              <w:jc w:val="left"/>
              <w:rPr>
                <w:rFonts w:ascii="仿宋_GB2312" w:hAnsi="仿宋_GB2312" w:eastAsia="仿宋_GB2312" w:cs="仿宋_GB2312"/>
                <w:szCs w:val="21"/>
              </w:rPr>
            </w:pPr>
            <w:r>
              <w:rPr>
                <w:rFonts w:hint="eastAsia" w:ascii="仿宋_GB2312" w:hAnsi="仿宋_GB2312" w:eastAsia="仿宋_GB2312" w:cs="仿宋_GB2312"/>
                <w:b/>
                <w:bCs/>
                <w:kern w:val="0"/>
                <w:szCs w:val="21"/>
              </w:rPr>
              <w:t>（注：投标产品非投标人生产制造的，不须填写此表格）</w:t>
            </w:r>
          </w:p>
        </w:tc>
      </w:tr>
    </w:tbl>
    <w:p>
      <w:pPr>
        <w:autoSpaceDN w:val="0"/>
        <w:spacing w:line="440" w:lineRule="exact"/>
        <w:ind w:firstLine="420" w:firstLineChars="200"/>
        <w:rPr>
          <w:rFonts w:ascii="仿宋_GB2312" w:hAnsi="仿宋_GB2312" w:eastAsia="仿宋_GB2312" w:cs="仿宋_GB2312"/>
          <w:szCs w:val="21"/>
        </w:rPr>
      </w:pPr>
    </w:p>
    <w:p>
      <w:pPr>
        <w:autoSpaceDN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注：投标人为非中小企业的，无需填写此声明函。</w:t>
      </w: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utoSpaceDN w:val="0"/>
        <w:spacing w:line="440" w:lineRule="exact"/>
        <w:ind w:right="170"/>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31" w:name="_Toc25502_WPSOffice_Level2"/>
      <w:bookmarkStart w:id="132" w:name="_Toc21675_WPSOffice_Level2"/>
      <w:r>
        <w:rPr>
          <w:rFonts w:hint="eastAsia" w:ascii="仿宋_GB2312" w:hAnsi="仿宋_GB2312" w:eastAsia="仿宋_GB2312" w:cs="仿宋_GB2312"/>
          <w:b/>
          <w:bCs/>
          <w:sz w:val="32"/>
          <w:szCs w:val="32"/>
        </w:rPr>
        <w:t>制造商企业（单位）类型声明函</w:t>
      </w:r>
      <w:bookmarkEnd w:id="131"/>
      <w:bookmarkEnd w:id="132"/>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本次投标提供的货物（详见下表）是本企业（单位）制造的。</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tbl>
      <w:tblPr>
        <w:tblStyle w:val="19"/>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lang w:val="zh-CN"/>
              </w:rPr>
              <w:t>投标文件中所提供的以上产品为本企业生产的产品，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注：投标人所投产品为其它企业生产时须提供此声明函，仅作为价格扣除条件。</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格式19</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33" w:name="_Toc29880_WPSOffice_Level2"/>
      <w:bookmarkStart w:id="134" w:name="_Toc13566_WPSOffice_Level2"/>
      <w:r>
        <w:rPr>
          <w:rFonts w:hint="eastAsia" w:ascii="仿宋_GB2312" w:hAnsi="仿宋_GB2312" w:eastAsia="仿宋_GB2312" w:cs="仿宋_GB2312"/>
          <w:b/>
          <w:bCs/>
          <w:sz w:val="32"/>
          <w:szCs w:val="32"/>
        </w:rPr>
        <w:t>残疾人福利性单位声明函</w:t>
      </w:r>
      <w:bookmarkEnd w:id="133"/>
      <w:bookmarkEnd w:id="134"/>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b/>
          <w:kern w:val="44"/>
          <w:sz w:val="44"/>
        </w:rPr>
      </w:pPr>
      <w:r>
        <w:rPr>
          <w:rFonts w:hint="eastAsia" w:ascii="仿宋_GB2312" w:hAnsi="仿宋_GB2312" w:eastAsia="仿宋_GB2312" w:cs="仿宋_GB2312"/>
        </w:rPr>
        <w:br w:type="page"/>
      </w:r>
    </w:p>
    <w:p>
      <w:pPr>
        <w:widowControl/>
        <w:jc w:val="left"/>
        <w:rPr>
          <w:rFonts w:ascii="仿宋_GB2312" w:hAnsi="仿宋_GB2312" w:eastAsia="仿宋_GB2312" w:cs="仿宋_GB2312"/>
          <w:b/>
          <w:bCs/>
          <w:sz w:val="32"/>
          <w:szCs w:val="28"/>
        </w:rPr>
      </w:pPr>
    </w:p>
    <w:p>
      <w:pPr>
        <w:pStyle w:val="2"/>
        <w:jc w:val="center"/>
      </w:pPr>
      <w:bookmarkStart w:id="135" w:name="_Toc4498_WPSOffice_Level1"/>
      <w:r>
        <w:rPr>
          <w:rFonts w:hint="eastAsia"/>
        </w:rPr>
        <w:t>第三章 货物需求</w:t>
      </w:r>
      <w:bookmarkEnd w:id="135"/>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rPr>
              <w:rFonts w:ascii="仿宋" w:hAnsi="仿宋" w:eastAsia="仿宋"/>
              <w:sz w:val="24"/>
            </w:rPr>
          </w:pP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采购人应对招标货物提出详细的数量、技术规格及相关要求。</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交货时间及交货地点</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付款方式</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货物名称、数量、货物用途、需实现的功能或者目标，以及为落实政府采购政策需满足的要求</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技术规格及参数要求、需满足的质量、安全、技术规格、物理特性等要求</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需执行的国家相关标准、行业标准、地方标准或者其他标准、规范</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备品备件</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安装调试</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技术服务及培训</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4"/>
            </w:num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p>
          <w:pPr>
            <w:rPr>
              <w:rFonts w:ascii="仿宋" w:hAnsi="仿宋"/>
            </w:rPr>
          </w:pPr>
        </w:p>
        <w:p>
          <w:pPr>
            <w:rPr>
              <w:rFonts w:ascii="仿宋" w:hAnsi="仿宋"/>
            </w:rPr>
          </w:pPr>
        </w:p>
      </w:sdtContent>
    </w:sdt>
    <w:tbl>
      <w:tblPr>
        <w:tblStyle w:val="19"/>
        <w:tblW w:w="8502" w:type="dxa"/>
        <w:tblInd w:w="108" w:type="dxa"/>
        <w:tblLayout w:type="autofit"/>
        <w:tblCellMar>
          <w:top w:w="0" w:type="dxa"/>
          <w:left w:w="108" w:type="dxa"/>
          <w:bottom w:w="0" w:type="dxa"/>
          <w:right w:w="108" w:type="dxa"/>
        </w:tblCellMar>
      </w:tblPr>
      <w:tblGrid>
        <w:gridCol w:w="2622"/>
        <w:gridCol w:w="2990"/>
        <w:gridCol w:w="782"/>
        <w:gridCol w:w="1886"/>
        <w:gridCol w:w="222"/>
      </w:tblGrid>
      <w:tr>
        <w:tblPrEx>
          <w:tblCellMar>
            <w:top w:w="0" w:type="dxa"/>
            <w:left w:w="108" w:type="dxa"/>
            <w:bottom w:w="0" w:type="dxa"/>
            <w:right w:w="108" w:type="dxa"/>
          </w:tblCellMar>
        </w:tblPrEx>
        <w:trPr>
          <w:gridAfter w:val="1"/>
          <w:wAfter w:w="222" w:type="dxa"/>
          <w:trHeight w:val="312" w:hRule="atLeast"/>
        </w:trPr>
        <w:tc>
          <w:tcPr>
            <w:tcW w:w="8280" w:type="dxa"/>
            <w:gridSpan w:val="4"/>
            <w:vMerge w:val="restart"/>
            <w:tcBorders>
              <w:top w:val="nil"/>
              <w:left w:val="nil"/>
              <w:bottom w:val="nil"/>
              <w:right w:val="nil"/>
            </w:tcBorders>
            <w:shd w:val="clear" w:color="auto" w:fill="auto"/>
            <w:noWrap/>
            <w:vAlign w:val="center"/>
          </w:tcPr>
          <w:p>
            <w:pPr>
              <w:widowControl/>
              <w:jc w:val="center"/>
              <w:rPr>
                <w:rFonts w:ascii="宋体" w:hAnsi="宋体" w:cs="宋体"/>
                <w:color w:val="000000"/>
                <w:kern w:val="0"/>
                <w:sz w:val="44"/>
                <w:szCs w:val="44"/>
              </w:rPr>
            </w:pPr>
            <w:r>
              <w:rPr>
                <w:rFonts w:hint="eastAsia" w:ascii="宋体" w:hAnsi="宋体" w:cs="宋体"/>
                <w:color w:val="000000"/>
                <w:kern w:val="0"/>
                <w:sz w:val="44"/>
                <w:szCs w:val="44"/>
              </w:rPr>
              <w:t>棉纺织制品需用清单</w:t>
            </w:r>
          </w:p>
        </w:tc>
      </w:tr>
      <w:tr>
        <w:tblPrEx>
          <w:tblCellMar>
            <w:top w:w="0" w:type="dxa"/>
            <w:left w:w="108" w:type="dxa"/>
            <w:bottom w:w="0" w:type="dxa"/>
            <w:right w:w="108" w:type="dxa"/>
          </w:tblCellMar>
        </w:tblPrEx>
        <w:trPr>
          <w:trHeight w:val="285" w:hRule="atLeast"/>
        </w:trPr>
        <w:tc>
          <w:tcPr>
            <w:tcW w:w="8280" w:type="dxa"/>
            <w:gridSpan w:val="4"/>
            <w:vMerge w:val="continue"/>
            <w:tcBorders>
              <w:top w:val="nil"/>
              <w:left w:val="nil"/>
              <w:bottom w:val="nil"/>
              <w:right w:val="nil"/>
            </w:tcBorders>
            <w:vAlign w:val="center"/>
          </w:tcPr>
          <w:p>
            <w:pPr>
              <w:widowControl/>
              <w:jc w:val="left"/>
              <w:rPr>
                <w:rFonts w:ascii="宋体" w:hAnsi="宋体" w:cs="宋体"/>
                <w:color w:val="000000"/>
                <w:kern w:val="0"/>
                <w:sz w:val="44"/>
                <w:szCs w:val="44"/>
              </w:rPr>
            </w:pPr>
          </w:p>
        </w:tc>
        <w:tc>
          <w:tcPr>
            <w:tcW w:w="222" w:type="dxa"/>
            <w:tcBorders>
              <w:top w:val="nil"/>
              <w:left w:val="nil"/>
              <w:bottom w:val="nil"/>
              <w:right w:val="nil"/>
            </w:tcBorders>
            <w:shd w:val="clear" w:color="auto" w:fill="auto"/>
            <w:noWrap/>
            <w:vAlign w:val="center"/>
          </w:tcPr>
          <w:p>
            <w:pPr>
              <w:widowControl/>
              <w:jc w:val="center"/>
              <w:rPr>
                <w:rFonts w:hint="eastAsia" w:ascii="宋体" w:hAnsi="宋体" w:cs="宋体"/>
                <w:color w:val="000000"/>
                <w:kern w:val="0"/>
                <w:sz w:val="44"/>
                <w:szCs w:val="44"/>
              </w:rPr>
            </w:pPr>
          </w:p>
        </w:tc>
      </w:tr>
      <w:tr>
        <w:tblPrEx>
          <w:tblCellMar>
            <w:top w:w="0" w:type="dxa"/>
            <w:left w:w="108" w:type="dxa"/>
            <w:bottom w:w="0" w:type="dxa"/>
            <w:right w:w="108" w:type="dxa"/>
          </w:tblCellMar>
        </w:tblPrEx>
        <w:trPr>
          <w:trHeight w:val="540" w:hRule="atLeast"/>
        </w:trPr>
        <w:tc>
          <w:tcPr>
            <w:tcW w:w="5612" w:type="dxa"/>
            <w:gridSpan w:val="2"/>
            <w:tcBorders>
              <w:top w:val="nil"/>
              <w:left w:val="nil"/>
              <w:bottom w:val="single" w:color="000000" w:sz="4" w:space="0"/>
              <w:right w:val="nil"/>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护士用</w:t>
            </w:r>
          </w:p>
        </w:tc>
        <w:tc>
          <w:tcPr>
            <w:tcW w:w="782" w:type="dxa"/>
            <w:tcBorders>
              <w:top w:val="nil"/>
              <w:left w:val="nil"/>
              <w:bottom w:val="nil"/>
              <w:right w:val="nil"/>
            </w:tcBorders>
            <w:shd w:val="clear" w:color="auto" w:fill="auto"/>
            <w:noWrap/>
            <w:vAlign w:val="center"/>
          </w:tcPr>
          <w:p>
            <w:pPr>
              <w:widowControl/>
              <w:jc w:val="center"/>
              <w:rPr>
                <w:rFonts w:hint="eastAsia" w:ascii="宋体" w:hAnsi="宋体" w:cs="宋体"/>
                <w:color w:val="000000"/>
                <w:kern w:val="0"/>
                <w:sz w:val="32"/>
                <w:szCs w:val="32"/>
              </w:rPr>
            </w:pPr>
          </w:p>
        </w:tc>
        <w:tc>
          <w:tcPr>
            <w:tcW w:w="188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商品名称</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人员/用途</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需求总数量</w:t>
            </w:r>
          </w:p>
        </w:tc>
        <w:tc>
          <w:tcPr>
            <w:tcW w:w="222" w:type="dxa"/>
            <w:vAlign w:val="center"/>
          </w:tcPr>
          <w:p>
            <w:pPr>
              <w:widowControl/>
              <w:jc w:val="left"/>
              <w:rPr>
                <w:rFonts w:eastAsia="Times New Roman"/>
                <w:kern w:val="0"/>
                <w:sz w:val="20"/>
                <w:szCs w:val="20"/>
              </w:rPr>
            </w:pPr>
          </w:p>
        </w:tc>
      </w:tr>
      <w:tr>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护士服夏装</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女款140人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380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护士服冬装</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女款140人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380</w:t>
            </w:r>
          </w:p>
        </w:tc>
        <w:tc>
          <w:tcPr>
            <w:tcW w:w="222" w:type="dxa"/>
            <w:vAlign w:val="center"/>
          </w:tcPr>
          <w:p>
            <w:pPr>
              <w:widowControl/>
              <w:jc w:val="left"/>
              <w:rPr>
                <w:rFonts w:eastAsia="Times New Roman"/>
                <w:kern w:val="0"/>
                <w:sz w:val="20"/>
                <w:szCs w:val="20"/>
              </w:rPr>
            </w:pPr>
          </w:p>
        </w:tc>
      </w:tr>
      <w:tr>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护士服夏装</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男款10人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护士服冬装</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男款10人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护士鞋</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女款140人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护士鞋</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男款10人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c>
          <w:tcPr>
            <w:tcW w:w="222" w:type="dxa"/>
            <w:vAlign w:val="center"/>
          </w:tcPr>
          <w:p>
            <w:pPr>
              <w:widowControl/>
              <w:jc w:val="left"/>
              <w:rPr>
                <w:rFonts w:eastAsia="Times New Roman"/>
                <w:kern w:val="0"/>
                <w:sz w:val="20"/>
                <w:szCs w:val="20"/>
              </w:rPr>
            </w:pPr>
          </w:p>
        </w:tc>
      </w:tr>
      <w:tr>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护士帽夏款</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女款140人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护士帽冬款</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女款140人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330</w:t>
            </w:r>
          </w:p>
        </w:tc>
        <w:tc>
          <w:tcPr>
            <w:tcW w:w="222" w:type="dxa"/>
            <w:vAlign w:val="center"/>
          </w:tcPr>
          <w:p>
            <w:pPr>
              <w:widowControl/>
              <w:jc w:val="left"/>
              <w:rPr>
                <w:rFonts w:eastAsia="Times New Roman"/>
                <w:kern w:val="0"/>
                <w:sz w:val="20"/>
                <w:szCs w:val="20"/>
              </w:rPr>
            </w:pPr>
          </w:p>
        </w:tc>
      </w:tr>
      <w:tr>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护士头花</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女款140人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护士胸表</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5612" w:type="dxa"/>
            <w:gridSpan w:val="2"/>
            <w:tcBorders>
              <w:top w:val="nil"/>
              <w:left w:val="nil"/>
              <w:bottom w:val="nil"/>
              <w:right w:val="nil"/>
            </w:tcBorders>
            <w:shd w:val="clear" w:color="auto" w:fill="auto"/>
            <w:noWrap/>
            <w:vAlign w:val="center"/>
          </w:tcPr>
          <w:p>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rPr>
              <w:t>医生用</w:t>
            </w:r>
          </w:p>
        </w:tc>
        <w:tc>
          <w:tcPr>
            <w:tcW w:w="782" w:type="dxa"/>
            <w:tcBorders>
              <w:top w:val="nil"/>
              <w:left w:val="nil"/>
              <w:bottom w:val="nil"/>
              <w:right w:val="nil"/>
            </w:tcBorders>
            <w:shd w:val="clear" w:color="auto" w:fill="auto"/>
            <w:noWrap/>
            <w:vAlign w:val="center"/>
          </w:tcPr>
          <w:p>
            <w:pPr>
              <w:widowControl/>
              <w:jc w:val="center"/>
              <w:rPr>
                <w:rFonts w:hint="eastAsia" w:ascii="宋体" w:hAnsi="宋体" w:cs="宋体"/>
                <w:color w:val="000000"/>
                <w:kern w:val="0"/>
                <w:sz w:val="32"/>
                <w:szCs w:val="32"/>
              </w:rPr>
            </w:pPr>
          </w:p>
        </w:tc>
        <w:tc>
          <w:tcPr>
            <w:tcW w:w="188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医生服夏款</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男款150人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医生服冬款</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男款150人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医生服夏款</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女款250人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医生服冬款</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女款250人</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120棉服</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急救人员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120工装冬款</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急救人员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120工装夏款</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急救人员</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18</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5612" w:type="dxa"/>
            <w:gridSpan w:val="2"/>
            <w:tcBorders>
              <w:top w:val="nil"/>
              <w:left w:val="nil"/>
              <w:bottom w:val="nil"/>
              <w:right w:val="nil"/>
            </w:tcBorders>
            <w:shd w:val="clear" w:color="auto" w:fill="auto"/>
            <w:noWrap/>
            <w:vAlign w:val="center"/>
          </w:tcPr>
          <w:p>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rPr>
              <w:t>病房用</w:t>
            </w:r>
          </w:p>
        </w:tc>
        <w:tc>
          <w:tcPr>
            <w:tcW w:w="782" w:type="dxa"/>
            <w:tcBorders>
              <w:top w:val="nil"/>
              <w:left w:val="nil"/>
              <w:bottom w:val="nil"/>
              <w:right w:val="nil"/>
            </w:tcBorders>
            <w:shd w:val="clear" w:color="auto" w:fill="auto"/>
            <w:noWrap/>
            <w:vAlign w:val="center"/>
          </w:tcPr>
          <w:p>
            <w:pPr>
              <w:widowControl/>
              <w:jc w:val="center"/>
              <w:rPr>
                <w:rFonts w:hint="eastAsia" w:ascii="宋体" w:hAnsi="宋体" w:cs="宋体"/>
                <w:color w:val="000000"/>
                <w:kern w:val="0"/>
                <w:sz w:val="32"/>
                <w:szCs w:val="32"/>
              </w:rPr>
            </w:pPr>
          </w:p>
        </w:tc>
        <w:tc>
          <w:tcPr>
            <w:tcW w:w="188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棉被</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床位385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床</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棉褥子</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床位385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床</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枕头芯</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床位385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个</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被罩</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床位385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床单</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床位385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枕套</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床位385</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患者服（长袖）</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床位385男女同款</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5612" w:type="dxa"/>
            <w:gridSpan w:val="2"/>
            <w:tcBorders>
              <w:top w:val="nil"/>
              <w:left w:val="nil"/>
              <w:bottom w:val="nil"/>
              <w:right w:val="nil"/>
            </w:tcBorders>
            <w:shd w:val="clear" w:color="auto" w:fill="auto"/>
            <w:noWrap/>
            <w:vAlign w:val="center"/>
          </w:tcPr>
          <w:p>
            <w:pPr>
              <w:widowControl/>
              <w:jc w:val="center"/>
              <w:rPr>
                <w:rFonts w:hint="eastAsia" w:ascii="宋体" w:hAnsi="宋体" w:cs="宋体"/>
                <w:color w:val="000000"/>
                <w:kern w:val="0"/>
                <w:sz w:val="32"/>
                <w:szCs w:val="32"/>
              </w:rPr>
            </w:pPr>
            <w:r>
              <w:rPr>
                <w:rFonts w:hint="eastAsia" w:ascii="宋体" w:hAnsi="宋体" w:cs="宋体"/>
                <w:color w:val="000000"/>
                <w:kern w:val="0"/>
                <w:sz w:val="32"/>
                <w:szCs w:val="32"/>
              </w:rPr>
              <w:t>手术室用</w:t>
            </w:r>
          </w:p>
        </w:tc>
        <w:tc>
          <w:tcPr>
            <w:tcW w:w="782" w:type="dxa"/>
            <w:tcBorders>
              <w:top w:val="nil"/>
              <w:left w:val="nil"/>
              <w:bottom w:val="nil"/>
              <w:right w:val="nil"/>
            </w:tcBorders>
            <w:shd w:val="clear" w:color="auto" w:fill="auto"/>
            <w:noWrap/>
            <w:vAlign w:val="center"/>
          </w:tcPr>
          <w:p>
            <w:pPr>
              <w:widowControl/>
              <w:jc w:val="center"/>
              <w:rPr>
                <w:rFonts w:hint="eastAsia" w:ascii="宋体" w:hAnsi="宋体" w:cs="宋体"/>
                <w:color w:val="000000"/>
                <w:kern w:val="0"/>
                <w:sz w:val="32"/>
                <w:szCs w:val="32"/>
              </w:rPr>
            </w:pPr>
          </w:p>
        </w:tc>
        <w:tc>
          <w:tcPr>
            <w:tcW w:w="1886" w:type="dxa"/>
            <w:tcBorders>
              <w:top w:val="nil"/>
              <w:left w:val="nil"/>
              <w:bottom w:val="nil"/>
              <w:right w:val="nil"/>
            </w:tcBorders>
            <w:shd w:val="clear" w:color="auto" w:fill="auto"/>
            <w:noWrap/>
            <w:vAlign w:val="center"/>
          </w:tcPr>
          <w:p>
            <w:pPr>
              <w:widowControl/>
              <w:jc w:val="center"/>
              <w:rPr>
                <w:rFonts w:eastAsia="Times New Roman"/>
                <w:kern w:val="0"/>
                <w:sz w:val="20"/>
                <w:szCs w:val="20"/>
              </w:rPr>
            </w:pP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洗手衣</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男女同款</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手术大衣</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男女同款</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250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双层包布</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1.4*1.4M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330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1.0*1.0M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1.5*2.3M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双层洞巾</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1.2*1.2M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0.8*0.8M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剖腹单</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2.0*3.5M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件</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单层包布</w:t>
            </w: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1.5*2.3M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1.5*2.8M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1.5*1.5M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450</w:t>
            </w:r>
          </w:p>
        </w:tc>
        <w:tc>
          <w:tcPr>
            <w:tcW w:w="222" w:type="dxa"/>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19" w:hRule="atLeast"/>
        </w:trPr>
        <w:tc>
          <w:tcPr>
            <w:tcW w:w="26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2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0.6*0.6M</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块</w:t>
            </w:r>
          </w:p>
        </w:tc>
        <w:tc>
          <w:tcPr>
            <w:tcW w:w="1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300</w:t>
            </w:r>
          </w:p>
        </w:tc>
        <w:tc>
          <w:tcPr>
            <w:tcW w:w="222" w:type="dxa"/>
            <w:vAlign w:val="center"/>
          </w:tcPr>
          <w:p>
            <w:pPr>
              <w:widowControl/>
              <w:jc w:val="left"/>
              <w:rPr>
                <w:rFonts w:eastAsia="Times New Roman"/>
                <w:kern w:val="0"/>
                <w:sz w:val="20"/>
                <w:szCs w:val="20"/>
              </w:rPr>
            </w:pPr>
          </w:p>
        </w:tc>
      </w:tr>
    </w:tbl>
    <w:p>
      <w:pPr>
        <w:ind w:firstLine="2860" w:firstLineChars="650"/>
        <w:rPr>
          <w:sz w:val="44"/>
          <w:szCs w:val="44"/>
        </w:rPr>
      </w:pPr>
      <w:r>
        <w:rPr>
          <w:rFonts w:hint="eastAsia"/>
          <w:sz w:val="44"/>
          <w:szCs w:val="44"/>
        </w:rPr>
        <w:t>技术参数</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826"/>
        <w:gridCol w:w="6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名称</w:t>
            </w:r>
          </w:p>
        </w:tc>
        <w:tc>
          <w:tcPr>
            <w:tcW w:w="6038" w:type="dxa"/>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质量参数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护士服长袖</w:t>
            </w:r>
          </w:p>
        </w:tc>
        <w:tc>
          <w:tcPr>
            <w:tcW w:w="6038" w:type="dxa"/>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涤卡，JT/C23X21 138X71,成分：含35%棉 65%涤，分体：裤子松紧腰，上衣领口刺绣回形纹，左肩加卡带胸前加胸标鼻，刺绣Logo</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护士服短袖</w:t>
            </w:r>
          </w:p>
        </w:tc>
        <w:tc>
          <w:tcPr>
            <w:tcW w:w="6038" w:type="dxa"/>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涤棉纱绢，JT/C23X23 104X61，成分：含35%棉 65%涤，分体：裤子松紧腰，上衣领口刺绣回形纹，左肩加卡带胸前加胸标鼻，刺绣Logo</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护士帽冬款</w:t>
            </w:r>
          </w:p>
        </w:tc>
        <w:tc>
          <w:tcPr>
            <w:tcW w:w="6038" w:type="dxa"/>
          </w:tcPr>
          <w:p>
            <w:pPr>
              <w:rPr>
                <w:kern w:val="0"/>
                <w:sz w:val="28"/>
                <w:szCs w:val="28"/>
              </w:rPr>
            </w:pPr>
            <w:r>
              <w:rPr>
                <w:rFonts w:hint="eastAsia"/>
                <w:kern w:val="0"/>
                <w:sz w:val="28"/>
                <w:szCs w:val="28"/>
              </w:rPr>
              <w:t>涤卡</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护士帽夏款</w:t>
            </w:r>
          </w:p>
        </w:tc>
        <w:tc>
          <w:tcPr>
            <w:tcW w:w="6038" w:type="dxa"/>
          </w:tcPr>
          <w:p>
            <w:pPr>
              <w:rPr>
                <w:kern w:val="0"/>
                <w:sz w:val="28"/>
                <w:szCs w:val="28"/>
              </w:rPr>
            </w:pPr>
            <w:r>
              <w:rPr>
                <w:rFonts w:hint="eastAsia"/>
                <w:kern w:val="0"/>
                <w:sz w:val="28"/>
                <w:szCs w:val="28"/>
              </w:rPr>
              <w:t>涤棉</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护士鞋男款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头层牛皮</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头层牛皮：透气性好 优质皮料 </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天然橡胶大底防滑耐磨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护士鞋女款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头层牛皮</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头层牛皮：透气性好 优质皮料 </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天然橡胶大底防滑耐磨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护士头花</w:t>
            </w:r>
          </w:p>
        </w:tc>
        <w:tc>
          <w:tcPr>
            <w:tcW w:w="6038" w:type="dxa"/>
            <w:vAlign w:val="center"/>
          </w:tcPr>
          <w:p>
            <w:pP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混纺编制</w:t>
            </w:r>
          </w:p>
          <w:p>
            <w:pPr>
              <w:textAlignment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环保材料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护士胸表</w:t>
            </w:r>
          </w:p>
        </w:tc>
        <w:tc>
          <w:tcPr>
            <w:tcW w:w="6038" w:type="dxa"/>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合金壳、合金带、机芯耐用</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合金壳、合金带、机芯耐用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白大衣长袖</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涤卡，纱织密度，JT/C23X21 138X71，成分：含35%棉 65%涤，区分男女款西服领口，左肩加卡带，左胸刺绣Logo</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白大衣短袖</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涤棉纱绢，JT/C23X23 104X61，成分：含35%棉 65%涤区分男女款西服领口，左肩加卡带，左胸刺绣Logo</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120棉服</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防水面料，内胆：丝绒，佩戴标识</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120工装冬款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涤卡，纱织密度，JT/C23X21 138X71，分体，西服领开襟，标识齐全</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120工装夏款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涤棉纱绢，砂纸密度，JT/C23X23 104X61，成分：含35%棉 65%涤西服领开襟，标识齐全</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棉被</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总重量≥2500克，外皮尺寸≥1.5X2.0米，</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外皮涤棉缎条优质耐用</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内胆国家一级标准棉花</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采用大面缝合工艺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棉褥子</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总重量≥1500克，外皮尺寸≥1.0X2.0米</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外皮涤棉缎条优质耐用</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内胆国家一级标准棉花</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采用大面缝合工艺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16</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枕头芯</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外皮尺寸0.35X0.65米，</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外皮涤棉缎条</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内胆丝绒填充饱满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被罩</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缎条，32X32纱织，133X78密度，信封式尺寸：1.5X2.2米，成分：含50%棉 50%涤</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床单</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缎条，32X32纱织，133X78密度，平铺式尺寸：1.5X2.4米，成分：含50%棉 50%涤</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枕套</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缎条，32X32纱织，133X78密度，信封式尺寸：0.7X0.5米，成分：含50%棉 50%涤</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色泽牢度：3-4级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耐氯漂：2-3.5级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耐汗渍：4-5级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皂洗：3-4级</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以上符合国标GB/T411-93</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耐氯漂，耐高温，符合医用染色标椎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患者服</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成分：全棉，纱织密度：C32X32 130X70，长袖分体：上衣开襟，裤子抽绳腰</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纯棉织物，采用环保耐氯漂染料，按照国标全工艺生产，布料柔软舒适、吸湿排汗、透气良好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洗手衣</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100%全棉，纱织密度：C20X20 108X58，分体：上衣V形领裤子抽绳</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采用纯棉面料、国标40℃机洗30min条件下缩水率2-6％，80℃高温机洗条件下不高于10％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手术大衣</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100%全棉，纱织密度：C20X20 108X58 全包围</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采用纯棉面料、国标40℃机洗30min条件下缩水率2-6％，80℃高温机洗条件下不高于10％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双层手术巾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100%全棉，纱织密度：C20X20 108X58，做工平整不跳</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线，缩水前尺寸1.4*1.4M</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采用纯棉面料、国标40℃机洗30min条件下缩水率2-6％，80℃高温机洗条件下不高于10％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双层手术巾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100%全棉，纱织密度：C20X20 108X58，做工平整不跳线，缩水前尺寸1.0*1.0M</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采用纯棉面料、国标40℃机洗30min条件下缩水率2-6％，80℃高温机洗条件下不高于10％</w:t>
            </w:r>
          </w:p>
          <w:p>
            <w:pPr>
              <w:rPr>
                <w:rFonts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双层手术巾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100%全棉，纱织密度：C20X20 108X58，做工平整不跳线，缩水前尺寸1.5*2.3M</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采用纯棉面料、国标40℃机洗30min条件下缩水率2-6％，80℃高温机洗条件下不高于10％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双层洞巾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100%全棉，纱织密度：C20X20 108X58，做工平整不跳线,缩水前尺寸1.2*1.2M开洞位置及大小按图纸调整</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采用纯棉面料、国标40℃机洗30min条件下缩水率2-6％，80℃高温机洗条件下不高于10％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双层洞巾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100%全棉，纱织密度：C20X20 108X58，做工平整不跳线,缩水前尺寸0.8*0.8M开洞位置及大小按图纸调整</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采用纯棉面料、国标40℃机洗30min条件下缩水率2-6％，80℃高温机洗条件下不高于10％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28</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剖腹单</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100%全棉，纱织密度：C20X20 108X58，做工平整不跳线,缩水前尺寸2.0*3.5M开洞位置及大小按图纸调整</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采用纯棉面料、国标40℃机洗30min条件下缩水率2-6％，80℃高温机洗条件下不高于10％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29</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单层手术巾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100%全棉，纱织密度：C20X20 108X58，做工平整不跳线，缩水前尺寸1.5*2.3M</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采用纯棉面料、国标40℃机洗30min条件下缩水率2-6％，80℃高温机洗条件下不高于10％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30</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单层手术巾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100%全棉，纱织密度：C20X20 108X58，做工平整不跳线，缩水前尺寸1.5*2.8M</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采用纯棉面料、国标40℃机洗30min条件下缩水率2-6％，80℃高温机洗条件下不高于10％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单层手术巾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100%全棉，纱织密度：C20X20 108X58，做工平整不跳线，缩水前尺寸1.5*1.5M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w:t>
            </w:r>
          </w:p>
        </w:tc>
        <w:tc>
          <w:tcPr>
            <w:tcW w:w="0" w:type="auto"/>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单层手术巾</w:t>
            </w:r>
          </w:p>
        </w:tc>
        <w:tc>
          <w:tcPr>
            <w:tcW w:w="6038" w:type="dxa"/>
            <w:vAlign w:val="center"/>
          </w:tcPr>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全棉，加1.2M长绑带缩水前尺寸0.6*0.6M</w:t>
            </w:r>
          </w:p>
          <w:p>
            <w:pP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采用纯棉面料、国标40℃机洗30min条件下缩水率2-6％，80℃高温机洗条件下不高于10％</w:t>
            </w:r>
          </w:p>
        </w:tc>
      </w:tr>
    </w:tbl>
    <w:p>
      <w:pPr>
        <w:rPr>
          <w:sz w:val="28"/>
          <w:szCs w:val="28"/>
        </w:rPr>
      </w:pPr>
    </w:p>
    <w:p>
      <w:pPr>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2"/>
        <w:jc w:val="center"/>
      </w:pPr>
      <w:bookmarkStart w:id="136" w:name="_Toc2821_WPSOffice_Level1"/>
      <w:r>
        <w:rPr>
          <w:rFonts w:hint="eastAsia"/>
        </w:rPr>
        <w:t>第四章 评标方法</w:t>
      </w:r>
      <w:bookmarkEnd w:id="136"/>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37" w:name="_Toc22313_WPSOffice_Level2"/>
      <w:r>
        <w:rPr>
          <w:rFonts w:hint="eastAsia" w:ascii="仿宋_GB2312" w:hAnsi="仿宋_GB2312" w:eastAsia="仿宋_GB2312" w:cs="仿宋_GB2312"/>
          <w:b/>
          <w:kern w:val="0"/>
          <w:szCs w:val="21"/>
        </w:rPr>
        <w:t>一、评标方法</w:t>
      </w:r>
      <w:bookmarkEnd w:id="137"/>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38" w:name="_Toc21368_WPSOffice_Level2"/>
      <w:r>
        <w:rPr>
          <w:rFonts w:hint="eastAsia" w:ascii="仿宋_GB2312" w:hAnsi="仿宋_GB2312" w:eastAsia="仿宋_GB2312" w:cs="仿宋_GB2312"/>
          <w:b/>
          <w:kern w:val="0"/>
          <w:szCs w:val="21"/>
        </w:rPr>
        <w:t>二、评标原则及程序</w:t>
      </w:r>
      <w:bookmarkEnd w:id="138"/>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7"/>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39"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rPr>
      </w:pP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szCs w:val="28"/>
        </w:rPr>
      </w:pPr>
      <w:bookmarkStart w:id="140"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40"/>
    </w:p>
    <w:tbl>
      <w:tblPr>
        <w:tblStyle w:val="19"/>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837"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3837"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982"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13</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82"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pStyle w:val="17"/>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17"/>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141" w:name="_Toc11558_WPSOffice_Level2"/>
      <w:r>
        <w:rPr>
          <w:rFonts w:hint="eastAsia" w:ascii="仿宋_GB2312" w:hAnsi="仿宋_GB2312" w:eastAsia="仿宋_GB2312" w:cs="仿宋_GB2312"/>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41"/>
    </w:p>
    <w:tbl>
      <w:tblPr>
        <w:tblStyle w:val="19"/>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2606"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3004"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9</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rPr>
            </w:pPr>
          </w:p>
        </w:tc>
        <w:tc>
          <w:tcPr>
            <w:tcW w:w="2606"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bl>
    <w:p>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adjustRightInd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　　（一）基本评分标准</w:t>
      </w:r>
    </w:p>
    <w:sdt>
      <w:sdtPr>
        <w:alias w:val="评分标准和评分细则"/>
        <w:tag w:val="评分标准和评分细则"/>
        <w:id w:val="1216706615"/>
        <w:lock w:val="sdtLocked"/>
      </w:sdtPr>
      <w:sdtEndPr>
        <w:rPr>
          <w:rFonts w:ascii="仿宋" w:hAnsi="仿宋" w:eastAsia="仿宋"/>
          <w:szCs w:val="21"/>
        </w:rPr>
      </w:sdtEndPr>
      <w:sdtContent>
        <w:p>
          <w:pPr>
            <w:spacing w:line="360" w:lineRule="auto"/>
            <w:ind w:firstLine="359" w:firstLineChars="171"/>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附：评分标准及评分细则</w:t>
          </w:r>
        </w:p>
        <w:tbl>
          <w:tblPr>
            <w:tblStyle w:val="19"/>
            <w:tblpPr w:leftFromText="180" w:rightFromText="180" w:vertAnchor="text" w:horzAnchor="margin" w:tblpX="108" w:tblpY="10"/>
            <w:tblW w:w="48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1130"/>
            <w:gridCol w:w="4713"/>
            <w:gridCol w:w="70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instrText xml:space="preserve"> DOCPROPERTY  评分标准  \* MERGEFORMAT </w:instrTex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包号</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fldChar w:fldCharType="end"/>
                </w:r>
              </w:p>
            </w:tc>
            <w:sdt>
              <w:sdtPr>
                <w:rPr>
                  <w:rFonts w:hint="eastAsia" w:asciiTheme="minorEastAsia" w:hAnsiTheme="minorEastAsia" w:eastAsiaTheme="minorEastAsia" w:cstheme="minorEastAsia"/>
                  <w:b w:val="0"/>
                  <w:bCs w:val="0"/>
                  <w:sz w:val="24"/>
                  <w:szCs w:val="24"/>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Theme="minorEastAsia" w:hAnsiTheme="minorEastAsia" w:eastAsiaTheme="minorEastAsia" w:cstheme="minorEastAsia"/>
                  <w:b w:val="0"/>
                  <w:bCs w:val="0"/>
                  <w:sz w:val="24"/>
                  <w:szCs w:val="24"/>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分项名称</w:t>
                </w:r>
              </w:p>
            </w:tc>
            <w:tc>
              <w:tcPr>
                <w:tcW w:w="264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评分标准</w:t>
                </w:r>
              </w:p>
            </w:tc>
            <w:tc>
              <w:tcPr>
                <w:tcW w:w="39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满分</w:t>
                </w:r>
              </w:p>
            </w:tc>
            <w:tc>
              <w:tcPr>
                <w:tcW w:w="6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价格</w:t>
                </w:r>
              </w:p>
            </w:tc>
            <w:tc>
              <w:tcPr>
                <w:tcW w:w="2649"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⑴ 合理最低报价满分。</w:t>
                </w:r>
              </w:p>
              <w:p>
                <w:pPr>
                  <w:snapToGrid w:val="0"/>
                  <w:spacing w:line="36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⑵ 供应商报价得分为：</w:t>
                </w:r>
              </w:p>
              <w:p>
                <w:pPr>
                  <w:snapToGrid w:val="0"/>
                  <w:spacing w:line="36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T=Cmin/C×30</w:t>
                </w:r>
              </w:p>
              <w:p>
                <w:pPr>
                  <w:snapToGrid w:val="0"/>
                  <w:spacing w:line="36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T为供应商价格部分得分；</w:t>
                </w:r>
              </w:p>
              <w:p>
                <w:pPr>
                  <w:snapToGrid w:val="0"/>
                  <w:spacing w:line="36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C为供应商报价；</w:t>
                </w:r>
              </w:p>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Cmin为合理最低报价。</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30</w:t>
                </w:r>
              </w:p>
            </w:tc>
            <w:sdt>
              <w:sdtPr>
                <w:rPr>
                  <w:rFonts w:hint="eastAsia" w:asciiTheme="minorEastAsia" w:hAnsiTheme="minorEastAsia" w:eastAsiaTheme="minorEastAsia" w:cstheme="minorEastAsia"/>
                  <w:b w:val="0"/>
                  <w:bCs w:val="0"/>
                  <w:sz w:val="24"/>
                  <w:szCs w:val="24"/>
                </w:rPr>
                <w:alias w:val="主观"/>
                <w:tag w:val="主观"/>
                <w:id w:val="-1992159713"/>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主要产品布料原材料具有完整的省级以上（含省级）的相关部门检测机构出具的符合货物技术标准的检验报告原件，不合格或未提供的不得分。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10</w:t>
                </w:r>
              </w:p>
            </w:tc>
            <w:sdt>
              <w:sdtPr>
                <w:rPr>
                  <w:rFonts w:hint="eastAsia" w:asciiTheme="minorEastAsia" w:hAnsiTheme="minorEastAsia" w:eastAsiaTheme="minorEastAsia" w:cstheme="minorEastAsia"/>
                  <w:b w:val="0"/>
                  <w:bCs w:val="0"/>
                  <w:sz w:val="24"/>
                  <w:szCs w:val="24"/>
                </w:rPr>
                <w:alias w:val="主观"/>
                <w:tag w:val="主观"/>
                <w:id w:val="-698774149"/>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根据所提供产品样品进行打分，总分20分，品质和工艺较好的得11-20分，一般的得6-10分，较差的得1-5分。（品质和工艺具体指的是：1：针距：12—14针/3厘米；线路：顺直，圆滑。2：线迹：清晰，美观，底面线xc松紧适宜，正面无反线，反面不出套。3：缝制要求：整齐，牢固，平服，起落针处有回针，按线无双轨，链式线迹不允许跳针，接线，缝头宽窄一致，缝头为1厘米。4：印染要求：不脱色(手术室全棉纺织品除外)。5：整烫要求：成品内外整烫平服，整洁，干燥6：缩水率不超10％</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20</w:t>
                </w:r>
              </w:p>
            </w:tc>
            <w:sdt>
              <w:sdtPr>
                <w:rPr>
                  <w:rFonts w:hint="eastAsia" w:asciiTheme="minorEastAsia" w:hAnsiTheme="minorEastAsia" w:eastAsiaTheme="minorEastAsia" w:cstheme="minorEastAsia"/>
                  <w:b w:val="0"/>
                  <w:bCs w:val="0"/>
                  <w:sz w:val="24"/>
                  <w:szCs w:val="24"/>
                </w:rPr>
                <w:alias w:val="主观"/>
                <w:tag w:val="主观"/>
                <w:id w:val="-1514609672"/>
                <w14:checkbox>
                  <w14:checked w14:val="1"/>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4"/>
                        <w:szCs w:val="24"/>
                      </w:rPr>
                    </w:pPr>
                    <w:r>
                      <w:rPr>
                        <w:rFonts w:hint="eastAsia" w:ascii="MS Gothic" w:hAnsi="MS Gothic" w:eastAsiaTheme="minorEastAsia" w:cstheme="minorEastAsia"/>
                        <w:b w:val="0"/>
                        <w:bCs w:val="0"/>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技术参数：投标单位所投产品的技术参数有一项不符合扣0.5分，扣至 0分为止</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10</w:t>
                </w:r>
              </w:p>
            </w:tc>
            <w:sdt>
              <w:sdtPr>
                <w:rPr>
                  <w:rFonts w:hint="eastAsia" w:asciiTheme="minorEastAsia" w:hAnsiTheme="minorEastAsia" w:eastAsiaTheme="minorEastAsia" w:cstheme="minorEastAsia"/>
                  <w:b w:val="0"/>
                  <w:bCs w:val="0"/>
                  <w:sz w:val="24"/>
                  <w:szCs w:val="24"/>
                </w:rPr>
                <w:alias w:val="主观"/>
                <w:tag w:val="主观"/>
                <w:id w:val="328177713"/>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商务部分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sz w:val="24"/>
                    <w:szCs w:val="24"/>
                  </w:rPr>
                  <w:t>1.提供近三年类似项目业绩的得3分，每少一年减1分，未提供的不得分。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p>
            </w:tc>
            <w:sdt>
              <w:sdtPr>
                <w:rPr>
                  <w:rFonts w:hint="eastAsia" w:asciiTheme="minorEastAsia" w:hAnsiTheme="minorEastAsia" w:eastAsiaTheme="minorEastAsia" w:cstheme="minorEastAsia"/>
                  <w:b w:val="0"/>
                  <w:bCs w:val="0"/>
                  <w:sz w:val="24"/>
                  <w:szCs w:val="24"/>
                </w:rPr>
                <w:alias w:val="主观"/>
                <w:tag w:val="主观"/>
                <w:id w:val="1892773224"/>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sz w:val="24"/>
                    <w:szCs w:val="24"/>
                  </w:rPr>
                  <w:t>2.</w:t>
                </w:r>
                <w:bookmarkStart w:id="226" w:name="_GoBack"/>
                <w:bookmarkEnd w:id="226"/>
                <w:r>
                  <w:rPr>
                    <w:rFonts w:hint="eastAsia" w:asciiTheme="minorEastAsia" w:hAnsiTheme="minorEastAsia" w:eastAsiaTheme="minorEastAsia" w:cstheme="minorEastAsia"/>
                    <w:b w:val="0"/>
                    <w:bCs w:val="0"/>
                    <w:color w:val="000000"/>
                    <w:sz w:val="24"/>
                    <w:szCs w:val="24"/>
                  </w:rPr>
                  <w:t>根据所有供应商的情况进行对比，设备齐全、厂房和库房环境良好和规模较大的能提供完整资料得2分，一般得1分，未提供相关材料不得分。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Theme="minorEastAsia" w:hAnsiTheme="minorEastAsia" w:eastAsiaTheme="minorEastAsia" w:cstheme="minorEastAsia"/>
                    <w:b w:val="0"/>
                    <w:bCs w:val="0"/>
                    <w:sz w:val="24"/>
                    <w:szCs w:val="24"/>
                  </w:rPr>
                  <w:alias w:val="主观"/>
                  <w:tag w:val="主观"/>
                  <w:id w:val="1892773224"/>
                  <w14:checkbox>
                    <w14:checked w14:val="1"/>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p>
                    <w:pPr>
                      <w:jc w:val="center"/>
                      <w:rPr>
                        <w:rFonts w:hint="eastAsia" w:asciiTheme="minorEastAsia" w:hAnsiTheme="minorEastAsia" w:eastAsiaTheme="minorEastAsia" w:cstheme="minorEastAsia"/>
                        <w:b w:val="0"/>
                        <w:bCs w:val="0"/>
                        <w:sz w:val="24"/>
                        <w:szCs w:val="24"/>
                      </w:rPr>
                    </w:pPr>
                    <w:r>
                      <w:rPr>
                        <w:rFonts w:hint="eastAsia" w:ascii="MS Gothic" w:hAnsi="MS Gothic" w:eastAsiaTheme="minorEastAsia" w:cstheme="minorEastAsia"/>
                        <w:b w:val="0"/>
                        <w:bCs w:val="0"/>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sz w:val="24"/>
                    <w:szCs w:val="24"/>
                  </w:rPr>
                  <w:t>3.具有全国工业生产许可证的得2分，未提供的不得分。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Theme="minorEastAsia" w:hAnsiTheme="minorEastAsia" w:eastAsiaTheme="minorEastAsia" w:cstheme="minorEastAsia"/>
                    <w:b w:val="0"/>
                    <w:bCs w:val="0"/>
                    <w:sz w:val="24"/>
                    <w:szCs w:val="24"/>
                  </w:rPr>
                  <w:alias w:val="主观"/>
                  <w:tag w:val="主观"/>
                  <w:id w:val="1892773224"/>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4.具有规范的原材料采购制度及质量控制标准，制度、标准详细合理的得5分，一般的得2分，未提供相关材料不得分。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p>
            </w:tc>
            <w:tc>
              <w:tcPr>
                <w:tcW w:w="618" w:type="pct"/>
                <w:tcBorders>
                  <w:top w:val="single" w:color="auto" w:sz="4" w:space="0"/>
                  <w:left w:val="single" w:color="auto" w:sz="4" w:space="0"/>
                  <w:bottom w:val="single" w:color="auto" w:sz="4" w:space="0"/>
                  <w:right w:val="single" w:color="auto" w:sz="4" w:space="0"/>
                </w:tcBorders>
                <w:vAlign w:val="center"/>
              </w:tcPr>
              <w:sdt>
                <w:sdtPr>
                  <w:rPr>
                    <w:rFonts w:hint="eastAsia" w:asciiTheme="minorEastAsia" w:hAnsiTheme="minorEastAsia" w:eastAsiaTheme="minorEastAsia" w:cstheme="minorEastAsia"/>
                    <w:b w:val="0"/>
                    <w:bCs w:val="0"/>
                    <w:sz w:val="24"/>
                    <w:szCs w:val="24"/>
                  </w:rPr>
                  <w:alias w:val="主观"/>
                  <w:tag w:val="主观"/>
                  <w:id w:val="1892773224"/>
                  <w14:checkbox>
                    <w14:checked w14:val="1"/>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p>
                    <w:pPr>
                      <w:jc w:val="center"/>
                      <w:rPr>
                        <w:rFonts w:hint="eastAsia" w:asciiTheme="minorEastAsia" w:hAnsiTheme="minorEastAsia" w:eastAsiaTheme="minorEastAsia" w:cstheme="minorEastAsia"/>
                        <w:b w:val="0"/>
                        <w:bCs w:val="0"/>
                        <w:sz w:val="24"/>
                        <w:szCs w:val="24"/>
                      </w:rPr>
                    </w:pPr>
                    <w:r>
                      <w:rPr>
                        <w:rFonts w:hint="eastAsia" w:ascii="MS Gothic" w:hAnsi="MS Gothic" w:eastAsiaTheme="minorEastAsia" w:cstheme="minorEastAsia"/>
                        <w:b w:val="0"/>
                        <w:bCs w:val="0"/>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5.有规范的生产工艺流程的得5分，一般的得2分，未提供相关材料不得分。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p>
            </w:tc>
            <w:sdt>
              <w:sdtPr>
                <w:rPr>
                  <w:rFonts w:hint="eastAsia" w:asciiTheme="minorEastAsia" w:hAnsiTheme="minorEastAsia" w:eastAsiaTheme="minorEastAsia" w:cstheme="minorEastAsia"/>
                  <w:b w:val="0"/>
                  <w:bCs w:val="0"/>
                  <w:sz w:val="24"/>
                  <w:szCs w:val="24"/>
                </w:rPr>
                <w:alias w:val="主观"/>
                <w:tag w:val="主观"/>
                <w:id w:val="1340502773"/>
                <w14:checkbox>
                  <w14:checked w14:val="1"/>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4"/>
                        <w:szCs w:val="24"/>
                      </w:rPr>
                    </w:pPr>
                    <w:r>
                      <w:rPr>
                        <w:rFonts w:hint="eastAsia" w:ascii="MS Gothic" w:hAnsi="MS Gothic" w:eastAsiaTheme="minorEastAsia" w:cstheme="minorEastAsia"/>
                        <w:b w:val="0"/>
                        <w:bCs w:val="0"/>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6.标书规范、内容完整的得3分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p>
            </w:tc>
            <w:sdt>
              <w:sdtPr>
                <w:rPr>
                  <w:rFonts w:hint="eastAsia" w:asciiTheme="minorEastAsia" w:hAnsiTheme="minorEastAsia" w:eastAsiaTheme="minorEastAsia" w:cstheme="minorEastAsia"/>
                  <w:b w:val="0"/>
                  <w:bCs w:val="0"/>
                  <w:sz w:val="24"/>
                  <w:szCs w:val="24"/>
                </w:rPr>
                <w:alias w:val="主观"/>
                <w:tag w:val="主观"/>
                <w:id w:val="1167441689"/>
                <w14:checkbox>
                  <w14:checked w14:val="1"/>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4"/>
                        <w:szCs w:val="24"/>
                      </w:rPr>
                    </w:pPr>
                    <w:r>
                      <w:rPr>
                        <w:rFonts w:hint="eastAsia" w:ascii="MS Gothic" w:hAnsi="MS Gothic" w:eastAsiaTheme="minorEastAsia" w:cstheme="minorEastAsia"/>
                        <w:b w:val="0"/>
                        <w:bCs w:val="0"/>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7.企业有供货能力，有完整供货保证方案且方案最优的得3分，一般得2分，较差得1分，不提供不得分。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p>
            </w:tc>
            <w:sdt>
              <w:sdtPr>
                <w:rPr>
                  <w:rFonts w:hint="eastAsia" w:asciiTheme="minorEastAsia" w:hAnsiTheme="minorEastAsia" w:eastAsiaTheme="minorEastAsia" w:cstheme="minorEastAsia"/>
                  <w:b w:val="0"/>
                  <w:bCs w:val="0"/>
                  <w:sz w:val="24"/>
                  <w:szCs w:val="24"/>
                </w:rPr>
                <w:alias w:val="主观"/>
                <w:tag w:val="主观"/>
                <w:id w:val="619583740"/>
                <w14:checkbox>
                  <w14:checked w14:val="1"/>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4"/>
                        <w:szCs w:val="24"/>
                      </w:rPr>
                    </w:pPr>
                    <w:r>
                      <w:rPr>
                        <w:rFonts w:hint="eastAsia" w:ascii="MS Gothic" w:hAnsi="MS Gothic" w:eastAsiaTheme="minorEastAsia" w:cstheme="minorEastAsia"/>
                        <w:b w:val="0"/>
                        <w:bCs w:val="0"/>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sz w:val="24"/>
                    <w:szCs w:val="24"/>
                  </w:rPr>
                  <w:t>8.投标人有完善的服务体系，能提供7*24小时响应服务，接到更换、修补通知能及时到场解决问题。有完善的服务体系条例和服务流程得7分。服务体系不健全、流程不详细的得3分，无服务体系流程的不得分。</w:t>
                </w: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7</w:t>
                </w:r>
              </w:p>
            </w:tc>
            <w:sdt>
              <w:sdtPr>
                <w:rPr>
                  <w:rFonts w:hint="eastAsia" w:asciiTheme="minorEastAsia" w:hAnsiTheme="minorEastAsia" w:eastAsiaTheme="minorEastAsia" w:cstheme="minorEastAsia"/>
                  <w:b w:val="0"/>
                  <w:bCs w:val="0"/>
                  <w:sz w:val="24"/>
                  <w:szCs w:val="24"/>
                </w:rPr>
                <w:alias w:val="主观"/>
                <w:tag w:val="主观"/>
                <w:id w:val="157733150"/>
                <w14:checkbox>
                  <w14:checked w14:val="0"/>
                  <w14:checkedState w14:val="2612" w14:font="MS Gothic"/>
                  <w14:uncheckedState w14:val="2610" w14:font="MS Gothic"/>
                </w14:checkbox>
              </w:sdtPr>
              <w:sdtEndPr>
                <w:rPr>
                  <w:rFonts w:hint="eastAsia" w:asciiTheme="minorEastAsia" w:hAnsiTheme="minorEastAsia" w:eastAsiaTheme="minorEastAsia" w:cstheme="minorEastAsia"/>
                  <w:b w:val="0"/>
                  <w:bCs w:val="0"/>
                  <w:sz w:val="24"/>
                  <w:szCs w:val="24"/>
                </w:rPr>
              </w:sdtEndPr>
              <w:sdtContent>
                <w:tc>
                  <w:tcPr>
                    <w:tcW w:w="6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0"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2649"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c>
              <w:tcPr>
                <w:tcW w:w="39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100</w:t>
                </w:r>
              </w:p>
            </w:tc>
            <w:tc>
              <w:tcPr>
                <w:tcW w:w="618"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 w:val="0"/>
                    <w:bCs w:val="0"/>
                    <w:sz w:val="24"/>
                    <w:szCs w:val="24"/>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9"/>
        </w:numPr>
        <w:ind w:left="842" w:hanging="422"/>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9"/>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kern w:val="0"/>
                <w:szCs w:val="21"/>
                <w:u w:val="single"/>
              </w:rPr>
              <w:t>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bl>
    <w:p>
      <w:pPr>
        <w:widowControl/>
        <w:jc w:val="left"/>
      </w:pPr>
    </w:p>
    <w:p>
      <w:pPr>
        <w:widowControl/>
        <w:jc w:val="left"/>
      </w:pPr>
      <w:r>
        <w:br w:type="page"/>
      </w:r>
    </w:p>
    <w:p>
      <w:pPr>
        <w:pStyle w:val="2"/>
        <w:adjustRightInd w:val="0"/>
        <w:snapToGrid w:val="0"/>
        <w:spacing w:before="312" w:beforeLines="100" w:after="312" w:afterLines="100"/>
        <w:jc w:val="center"/>
        <w:rPr>
          <w:rFonts w:ascii="仿宋_GB2312" w:hAnsi="仿宋_GB2312" w:eastAsia="仿宋_GB2312" w:cs="仿宋_GB2312"/>
        </w:rPr>
      </w:pPr>
      <w:bookmarkStart w:id="142" w:name="_Toc19588"/>
      <w:r>
        <w:rPr>
          <w:rFonts w:hint="eastAsia" w:ascii="仿宋_GB2312" w:hAnsi="仿宋_GB2312" w:eastAsia="仿宋_GB2312" w:cs="仿宋_GB2312"/>
        </w:rPr>
        <w:t>第五章 政府采购合同条款及格式</w:t>
      </w:r>
      <w:bookmarkEnd w:id="142"/>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合同条款</w:t>
      </w:r>
    </w:p>
    <w:p>
      <w:pPr>
        <w:spacing w:before="312" w:beforeLines="100" w:after="312" w:afterLines="100" w:line="480" w:lineRule="exact"/>
        <w:jc w:val="center"/>
        <w:rPr>
          <w:rFonts w:ascii="仿宋_GB2312" w:hAnsi="仿宋_GB2312" w:eastAsia="仿宋_GB2312" w:cs="仿宋_GB2312"/>
          <w:b/>
          <w:sz w:val="44"/>
          <w:szCs w:val="44"/>
        </w:rPr>
      </w:pPr>
      <w:bookmarkStart w:id="143" w:name="_Toc30224_WPSOffice_Level1"/>
      <w:r>
        <w:rPr>
          <w:rFonts w:hint="eastAsia" w:ascii="仿宋_GB2312" w:hAnsi="仿宋_GB2312" w:eastAsia="仿宋_GB2312" w:cs="仿宋_GB2312"/>
          <w:b/>
          <w:sz w:val="44"/>
          <w:szCs w:val="44"/>
        </w:rPr>
        <w:t>政府采购合同条款</w:t>
      </w:r>
      <w:bookmarkEnd w:id="143"/>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44" w:name="_Toc10117_WPSOffice_Level1"/>
      <w:bookmarkStart w:id="145" w:name="_Toc25596_WPSOffice_Level1"/>
      <w:bookmarkStart w:id="146" w:name="_Toc398_WPSOffice_Level1"/>
      <w:r>
        <w:rPr>
          <w:rFonts w:hint="eastAsia" w:ascii="仿宋_GB2312" w:hAnsi="宋体" w:eastAsia="仿宋_GB2312"/>
          <w:b/>
          <w:bCs/>
          <w:szCs w:val="21"/>
        </w:rPr>
        <w:t>1.术语定义</w:t>
      </w:r>
      <w:bookmarkEnd w:id="144"/>
      <w:bookmarkEnd w:id="145"/>
      <w:bookmarkEnd w:id="1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bookmarkStart w:id="147" w:name="_Toc22454_WPSOffice_Level1"/>
      <w:bookmarkStart w:id="148" w:name="_Toc750_WPSOffice_Level1"/>
      <w:bookmarkStart w:id="149" w:name="_Toc29737_WPSOffice_Level1"/>
      <w:r>
        <w:rPr>
          <w:rFonts w:hint="eastAsia"/>
        </w:rPr>
        <w:t>2.技术指标</w:t>
      </w:r>
      <w:bookmarkEnd w:id="147"/>
      <w:bookmarkEnd w:id="148"/>
      <w:bookmarkEnd w:id="1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50" w:name="_Toc1538_WPSOffice_Level1"/>
      <w:bookmarkStart w:id="151" w:name="_Toc19640_WPSOffice_Level1"/>
      <w:bookmarkStart w:id="152" w:name="_Toc17648_WPSOffice_Level1"/>
      <w:r>
        <w:rPr>
          <w:rFonts w:hint="eastAsia" w:ascii="仿宋_GB2312" w:hAnsi="宋体" w:eastAsia="仿宋_GB2312"/>
          <w:b/>
          <w:szCs w:val="21"/>
        </w:rPr>
        <w:t>3.交货</w:t>
      </w:r>
      <w:bookmarkEnd w:id="150"/>
      <w:bookmarkEnd w:id="151"/>
      <w:bookmarkEnd w:id="15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53" w:name="_Toc15048_WPSOffice_Level1"/>
      <w:bookmarkStart w:id="154" w:name="_Toc1266_WPSOffice_Level1"/>
      <w:bookmarkStart w:id="155" w:name="_Toc11745_WPSOffice_Level1"/>
      <w:r>
        <w:rPr>
          <w:rFonts w:hint="eastAsia" w:ascii="仿宋_GB2312" w:hAnsi="宋体" w:eastAsia="仿宋_GB2312"/>
          <w:b/>
          <w:szCs w:val="21"/>
        </w:rPr>
        <w:t>4.合同金额</w:t>
      </w:r>
      <w:bookmarkEnd w:id="153"/>
      <w:bookmarkEnd w:id="154"/>
      <w:bookmarkEnd w:id="155"/>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56" w:name="_Toc941_WPSOffice_Level1"/>
      <w:bookmarkStart w:id="157" w:name="_Toc11969_WPSOffice_Level1"/>
      <w:bookmarkStart w:id="158" w:name="_Toc22359_WPSOffice_Level1"/>
      <w:r>
        <w:rPr>
          <w:rFonts w:hint="eastAsia" w:ascii="仿宋_GB2312" w:hAnsi="宋体" w:eastAsia="仿宋_GB2312"/>
          <w:b/>
          <w:szCs w:val="21"/>
        </w:rPr>
        <w:t>5.付款</w:t>
      </w:r>
      <w:bookmarkEnd w:id="156"/>
      <w:bookmarkEnd w:id="157"/>
      <w:bookmarkEnd w:id="158"/>
    </w:p>
    <w:p>
      <w:pPr>
        <w:adjustRightInd w:val="0"/>
        <w:snapToGrid w:val="0"/>
        <w:spacing w:line="360" w:lineRule="auto"/>
        <w:ind w:firstLine="411" w:firstLineChars="196"/>
        <w:rPr>
          <w:rFonts w:ascii="仿宋_GB2312" w:hAnsi="宋体" w:eastAsia="仿宋_GB2312"/>
          <w:szCs w:val="21"/>
          <w:u w:val="single"/>
        </w:rPr>
      </w:pPr>
      <w:bookmarkStart w:id="159" w:name="_Toc22351_WPSOffice_Level2"/>
      <w:r>
        <w:rPr>
          <w:rFonts w:hint="eastAsia" w:ascii="仿宋_GB2312" w:hAnsi="宋体" w:eastAsia="仿宋_GB2312"/>
          <w:szCs w:val="21"/>
        </w:rPr>
        <w:t>5.1付款方式、条件：需方按照合同约定的方式和条件付款。</w:t>
      </w:r>
      <w:bookmarkEnd w:id="159"/>
    </w:p>
    <w:p>
      <w:pPr>
        <w:adjustRightInd w:val="0"/>
        <w:snapToGrid w:val="0"/>
        <w:spacing w:line="360" w:lineRule="auto"/>
        <w:ind w:firstLine="413" w:firstLineChars="196"/>
        <w:rPr>
          <w:rFonts w:ascii="仿宋_GB2312" w:hAnsi="宋体" w:eastAsia="仿宋_GB2312"/>
          <w:b/>
          <w:szCs w:val="21"/>
        </w:rPr>
      </w:pPr>
      <w:bookmarkStart w:id="160" w:name="_Toc10526_WPSOffice_Level1"/>
      <w:bookmarkStart w:id="161" w:name="_Toc30478_WPSOffice_Level1"/>
      <w:bookmarkStart w:id="162" w:name="_Toc27769_WPSOffice_Level1"/>
      <w:r>
        <w:rPr>
          <w:rFonts w:hint="eastAsia" w:ascii="仿宋_GB2312" w:hAnsi="宋体" w:eastAsia="仿宋_GB2312"/>
          <w:b/>
          <w:szCs w:val="21"/>
        </w:rPr>
        <w:t>6.验收</w:t>
      </w:r>
      <w:bookmarkEnd w:id="160"/>
      <w:bookmarkEnd w:id="161"/>
      <w:bookmarkEnd w:id="16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63" w:name="_Toc31292_WPSOffice_Level1"/>
      <w:bookmarkStart w:id="164" w:name="_Toc21868_WPSOffice_Level1"/>
      <w:bookmarkStart w:id="165" w:name="_Toc23127_WPSOffice_Level1"/>
      <w:r>
        <w:rPr>
          <w:rFonts w:hint="eastAsia" w:ascii="仿宋_GB2312" w:hAnsi="宋体" w:eastAsia="仿宋_GB2312"/>
          <w:b/>
          <w:szCs w:val="21"/>
        </w:rPr>
        <w:t>7.知识产权及有关规定</w:t>
      </w:r>
      <w:bookmarkEnd w:id="163"/>
      <w:bookmarkEnd w:id="164"/>
      <w:bookmarkEnd w:id="16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66" w:name="_Toc26796_WPSOffice_Level1"/>
      <w:bookmarkStart w:id="167" w:name="_Toc21090_WPSOffice_Level1"/>
      <w:bookmarkStart w:id="168" w:name="_Toc24765_WPSOffice_Level1"/>
      <w:r>
        <w:rPr>
          <w:rFonts w:hint="eastAsia" w:ascii="仿宋_GB2312" w:hAnsi="宋体" w:eastAsia="仿宋_GB2312"/>
          <w:b/>
          <w:szCs w:val="21"/>
        </w:rPr>
        <w:t>8.包装要求</w:t>
      </w:r>
      <w:bookmarkEnd w:id="166"/>
      <w:bookmarkEnd w:id="167"/>
      <w:bookmarkEnd w:id="16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69" w:name="_Toc1308_WPSOffice_Level1"/>
      <w:bookmarkStart w:id="170" w:name="_Toc2304_WPSOffice_Level1"/>
      <w:bookmarkStart w:id="171" w:name="_Toc26447_WPSOffice_Level1"/>
      <w:r>
        <w:rPr>
          <w:rFonts w:hint="eastAsia" w:ascii="仿宋_GB2312" w:hAnsi="宋体" w:eastAsia="仿宋_GB2312"/>
          <w:b/>
          <w:szCs w:val="21"/>
        </w:rPr>
        <w:t>9.伴随服务</w:t>
      </w:r>
      <w:bookmarkEnd w:id="169"/>
      <w:bookmarkEnd w:id="170"/>
      <w:bookmarkEnd w:id="17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72" w:name="_Toc14320_WPSOffice_Level1"/>
      <w:bookmarkStart w:id="173" w:name="_Toc7636_WPSOffice_Level1"/>
      <w:bookmarkStart w:id="174" w:name="_Toc8205_WPSOffice_Level1"/>
      <w:r>
        <w:rPr>
          <w:rFonts w:hint="eastAsia" w:ascii="仿宋_GB2312" w:hAnsi="宋体" w:eastAsia="仿宋_GB2312"/>
          <w:b/>
          <w:szCs w:val="21"/>
        </w:rPr>
        <w:t>10.质量保证期</w:t>
      </w:r>
      <w:bookmarkEnd w:id="172"/>
      <w:bookmarkEnd w:id="173"/>
      <w:bookmarkEnd w:id="17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75" w:name="_Toc16220_WPSOffice_Level1"/>
      <w:bookmarkStart w:id="176" w:name="_Toc13950_WPSOffice_Level1"/>
      <w:bookmarkStart w:id="177" w:name="_Toc18427_WPSOffice_Level1"/>
      <w:r>
        <w:rPr>
          <w:rFonts w:hint="eastAsia" w:ascii="仿宋_GB2312" w:hAnsi="宋体" w:eastAsia="仿宋_GB2312"/>
          <w:b/>
          <w:szCs w:val="21"/>
        </w:rPr>
        <w:t>11.质量保证</w:t>
      </w:r>
      <w:bookmarkEnd w:id="175"/>
      <w:bookmarkEnd w:id="176"/>
      <w:bookmarkEnd w:id="17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78" w:name="_Toc9090_WPSOffice_Level1"/>
      <w:bookmarkStart w:id="179" w:name="_Toc29469_WPSOffice_Level1"/>
      <w:bookmarkStart w:id="180" w:name="_Toc24667_WPSOffice_Level1"/>
      <w:r>
        <w:rPr>
          <w:rFonts w:hint="eastAsia" w:ascii="仿宋_GB2312" w:hAnsi="宋体" w:eastAsia="仿宋_GB2312"/>
          <w:b/>
          <w:szCs w:val="21"/>
        </w:rPr>
        <w:t>12.技术服务和保修责任</w:t>
      </w:r>
      <w:bookmarkEnd w:id="178"/>
      <w:bookmarkEnd w:id="179"/>
      <w:bookmarkEnd w:id="18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81" w:name="_Toc16924_WPSOffice_Level1"/>
      <w:bookmarkStart w:id="182" w:name="_Toc8548_WPSOffice_Level1"/>
      <w:bookmarkStart w:id="183" w:name="_Toc11781_WPSOffice_Level1"/>
      <w:r>
        <w:rPr>
          <w:rFonts w:hint="eastAsia" w:ascii="仿宋_GB2312" w:hAnsi="宋体" w:eastAsia="仿宋_GB2312"/>
          <w:b/>
          <w:szCs w:val="21"/>
        </w:rPr>
        <w:t>13.违约责任</w:t>
      </w:r>
      <w:bookmarkEnd w:id="181"/>
      <w:bookmarkEnd w:id="182"/>
      <w:bookmarkEnd w:id="18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84" w:name="_Toc21833_WPSOffice_Level1"/>
      <w:bookmarkStart w:id="185" w:name="_Toc32310_WPSOffice_Level1"/>
      <w:bookmarkStart w:id="186" w:name="_Toc28610_WPSOffice_Level1"/>
      <w:r>
        <w:rPr>
          <w:rFonts w:hint="eastAsia" w:ascii="仿宋_GB2312" w:hAnsi="宋体" w:eastAsia="仿宋_GB2312"/>
          <w:b/>
          <w:szCs w:val="21"/>
        </w:rPr>
        <w:t>14.不可抗力</w:t>
      </w:r>
      <w:bookmarkEnd w:id="184"/>
      <w:bookmarkEnd w:id="185"/>
      <w:bookmarkEnd w:id="18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87" w:name="_Toc3262_WPSOffice_Level1"/>
      <w:bookmarkStart w:id="188" w:name="_Toc13390_WPSOffice_Level1"/>
      <w:bookmarkStart w:id="189" w:name="_Toc12037_WPSOffice_Level1"/>
      <w:r>
        <w:rPr>
          <w:rFonts w:hint="eastAsia" w:ascii="仿宋_GB2312" w:hAnsi="宋体" w:eastAsia="仿宋_GB2312"/>
          <w:b/>
          <w:szCs w:val="21"/>
        </w:rPr>
        <w:t>15.争端的解决</w:t>
      </w:r>
      <w:bookmarkEnd w:id="187"/>
      <w:bookmarkEnd w:id="188"/>
      <w:bookmarkEnd w:id="18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90" w:name="_Toc1917_WPSOffice_Level1"/>
      <w:bookmarkStart w:id="191" w:name="_Toc7773_WPSOffice_Level1"/>
      <w:bookmarkStart w:id="192" w:name="_Toc27539_WPSOffice_Level1"/>
      <w:r>
        <w:rPr>
          <w:rFonts w:hint="eastAsia" w:ascii="仿宋_GB2312" w:hAnsi="宋体" w:eastAsia="仿宋_GB2312"/>
          <w:b/>
          <w:szCs w:val="21"/>
        </w:rPr>
        <w:t>16.违约终止政府采购合同</w:t>
      </w:r>
      <w:bookmarkEnd w:id="190"/>
      <w:bookmarkEnd w:id="191"/>
      <w:bookmarkEnd w:id="19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3" w:name="_Toc4220_WPSOffice_Level1"/>
      <w:bookmarkStart w:id="194" w:name="_Toc27976_WPSOffice_Level1"/>
      <w:bookmarkStart w:id="195" w:name="_Toc11967_WPSOffice_Level1"/>
      <w:r>
        <w:rPr>
          <w:rFonts w:hint="eastAsia" w:ascii="仿宋_GB2312" w:hAnsi="宋体" w:eastAsia="仿宋_GB2312"/>
          <w:b/>
          <w:szCs w:val="21"/>
        </w:rPr>
        <w:t>17.政府采购合同转让和分包</w:t>
      </w:r>
      <w:bookmarkEnd w:id="193"/>
      <w:bookmarkEnd w:id="194"/>
      <w:bookmarkEnd w:id="19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6" w:name="_Toc16873_WPSOffice_Level1"/>
      <w:bookmarkStart w:id="197" w:name="_Toc737_WPSOffice_Level1"/>
      <w:bookmarkStart w:id="198" w:name="_Toc30020_WPSOffice_Level1"/>
      <w:r>
        <w:rPr>
          <w:rFonts w:hint="eastAsia" w:ascii="仿宋_GB2312" w:hAnsi="宋体" w:eastAsia="仿宋_GB2312"/>
          <w:b/>
          <w:szCs w:val="21"/>
        </w:rPr>
        <w:t>18.适用法律：</w:t>
      </w:r>
      <w:bookmarkEnd w:id="196"/>
      <w:bookmarkEnd w:id="197"/>
      <w:bookmarkEnd w:id="19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99" w:name="_Toc29009_WPSOffice_Level1"/>
      <w:bookmarkStart w:id="200" w:name="_Toc23749_WPSOffice_Level1"/>
      <w:bookmarkStart w:id="201" w:name="_Toc20985_WPSOffice_Level1"/>
      <w:r>
        <w:rPr>
          <w:rFonts w:hint="eastAsia" w:ascii="仿宋_GB2312" w:hAnsi="宋体" w:eastAsia="仿宋_GB2312"/>
          <w:b/>
          <w:szCs w:val="21"/>
        </w:rPr>
        <w:t>19.政府采购合同生效</w:t>
      </w:r>
      <w:bookmarkEnd w:id="199"/>
      <w:bookmarkEnd w:id="200"/>
      <w:bookmarkEnd w:id="20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202" w:name="_Toc20274_WPSOffice_Level1"/>
      <w:bookmarkStart w:id="203" w:name="_Toc405_WPSOffice_Level1"/>
      <w:bookmarkStart w:id="204" w:name="_Toc12339_WPSOffice_Level1"/>
      <w:r>
        <w:rPr>
          <w:rFonts w:hint="eastAsia" w:ascii="仿宋_GB2312" w:hAnsi="宋体" w:eastAsia="仿宋_GB2312"/>
          <w:b/>
          <w:szCs w:val="21"/>
        </w:rPr>
        <w:t>20.政府采购合同附件</w:t>
      </w:r>
      <w:bookmarkEnd w:id="202"/>
      <w:bookmarkEnd w:id="203"/>
      <w:bookmarkEnd w:id="20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205" w:name="_Toc3518_WPSOffice_Level2"/>
      <w:r>
        <w:rPr>
          <w:rFonts w:hint="eastAsia" w:ascii="仿宋_GB2312" w:hAnsi="宋体" w:eastAsia="仿宋_GB2312"/>
          <w:szCs w:val="21"/>
        </w:rPr>
        <w:t>20.1招标文件；</w:t>
      </w:r>
      <w:bookmarkEnd w:id="205"/>
    </w:p>
    <w:p>
      <w:pPr>
        <w:adjustRightInd w:val="0"/>
        <w:snapToGrid w:val="0"/>
        <w:spacing w:line="360" w:lineRule="auto"/>
        <w:ind w:firstLine="411" w:firstLineChars="196"/>
        <w:rPr>
          <w:rFonts w:ascii="仿宋_GB2312" w:hAnsi="宋体" w:eastAsia="仿宋_GB2312"/>
          <w:szCs w:val="21"/>
        </w:rPr>
      </w:pPr>
      <w:bookmarkStart w:id="206" w:name="_Toc7342_WPSOffice_Level2"/>
      <w:r>
        <w:rPr>
          <w:rFonts w:hint="eastAsia" w:ascii="仿宋_GB2312" w:hAnsi="宋体" w:eastAsia="仿宋_GB2312"/>
          <w:szCs w:val="21"/>
        </w:rPr>
        <w:t>20.2招标文件的更正公告、变更公告；</w:t>
      </w:r>
      <w:bookmarkEnd w:id="206"/>
    </w:p>
    <w:p>
      <w:pPr>
        <w:adjustRightInd w:val="0"/>
        <w:snapToGrid w:val="0"/>
        <w:spacing w:line="360" w:lineRule="auto"/>
        <w:ind w:firstLine="411" w:firstLineChars="196"/>
        <w:rPr>
          <w:rFonts w:ascii="仿宋_GB2312" w:hAnsi="宋体" w:eastAsia="仿宋_GB2312"/>
          <w:szCs w:val="21"/>
        </w:rPr>
      </w:pPr>
      <w:bookmarkStart w:id="207" w:name="_Toc576_WPSOffice_Level2"/>
      <w:r>
        <w:rPr>
          <w:rFonts w:hint="eastAsia" w:ascii="仿宋_GB2312" w:hAnsi="宋体" w:eastAsia="仿宋_GB2312"/>
          <w:szCs w:val="21"/>
        </w:rPr>
        <w:t>20.3中标人提交的投标文件；</w:t>
      </w:r>
      <w:bookmarkEnd w:id="207"/>
    </w:p>
    <w:p>
      <w:pPr>
        <w:adjustRightInd w:val="0"/>
        <w:snapToGrid w:val="0"/>
        <w:spacing w:line="360" w:lineRule="auto"/>
        <w:ind w:firstLine="411" w:firstLineChars="196"/>
        <w:rPr>
          <w:rFonts w:ascii="仿宋_GB2312" w:hAnsi="宋体" w:eastAsia="仿宋_GB2312"/>
          <w:szCs w:val="21"/>
        </w:rPr>
      </w:pPr>
      <w:bookmarkStart w:id="208" w:name="_Toc25464_WPSOffice_Level2"/>
      <w:r>
        <w:rPr>
          <w:rFonts w:hint="eastAsia" w:ascii="仿宋_GB2312" w:hAnsi="宋体" w:eastAsia="仿宋_GB2312"/>
          <w:szCs w:val="21"/>
        </w:rPr>
        <w:t>20.4政府采购合同条款；</w:t>
      </w:r>
      <w:bookmarkEnd w:id="208"/>
    </w:p>
    <w:p>
      <w:pPr>
        <w:adjustRightInd w:val="0"/>
        <w:snapToGrid w:val="0"/>
        <w:spacing w:line="360" w:lineRule="auto"/>
        <w:ind w:firstLine="411" w:firstLineChars="196"/>
        <w:rPr>
          <w:rFonts w:ascii="仿宋_GB2312" w:hAnsi="宋体" w:eastAsia="仿宋_GB2312"/>
          <w:szCs w:val="21"/>
        </w:rPr>
      </w:pPr>
      <w:bookmarkStart w:id="209" w:name="_Toc25590_WPSOffice_Level2"/>
      <w:r>
        <w:rPr>
          <w:rFonts w:hint="eastAsia" w:ascii="仿宋_GB2312" w:hAnsi="宋体" w:eastAsia="仿宋_GB2312"/>
          <w:szCs w:val="21"/>
        </w:rPr>
        <w:t>20.5中标通知书；</w:t>
      </w:r>
      <w:bookmarkEnd w:id="209"/>
    </w:p>
    <w:p>
      <w:pPr>
        <w:adjustRightInd w:val="0"/>
        <w:snapToGrid w:val="0"/>
        <w:spacing w:line="360" w:lineRule="auto"/>
        <w:ind w:firstLine="411" w:firstLineChars="196"/>
        <w:rPr>
          <w:rFonts w:ascii="仿宋_GB2312" w:hAnsi="宋体" w:eastAsia="仿宋_GB2312"/>
          <w:szCs w:val="21"/>
        </w:rPr>
      </w:pPr>
      <w:bookmarkStart w:id="210" w:name="_Toc10297_WPSOffice_Level2"/>
      <w:r>
        <w:rPr>
          <w:rFonts w:hint="eastAsia" w:ascii="仿宋_GB2312" w:hAnsi="宋体" w:eastAsia="仿宋_GB2312"/>
          <w:szCs w:val="21"/>
        </w:rPr>
        <w:t>20.6政府采购合同的其它附件。</w:t>
      </w:r>
      <w:bookmarkEnd w:id="210"/>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211" w:name="_Toc372_WPSOffice_Level1"/>
      <w:bookmarkStart w:id="212" w:name="_Toc3044_WPSOffice_Level1"/>
      <w:bookmarkStart w:id="213" w:name="_Toc7342_WPSOffice_Level1"/>
      <w:r>
        <w:rPr>
          <w:rFonts w:hint="eastAsia" w:ascii="仿宋_GB2312" w:hAnsi="仿宋_GB2312" w:eastAsia="仿宋_GB2312" w:cs="仿宋_GB2312"/>
          <w:szCs w:val="28"/>
        </w:rPr>
        <w:t>合同格式</w:t>
      </w:r>
      <w:bookmarkEnd w:id="211"/>
      <w:bookmarkEnd w:id="212"/>
      <w:bookmarkEnd w:id="213"/>
    </w:p>
    <w:p>
      <w:pPr>
        <w:adjustRightInd w:val="0"/>
        <w:snapToGrid w:val="0"/>
        <w:spacing w:line="360" w:lineRule="auto"/>
        <w:jc w:val="center"/>
        <w:rPr>
          <w:rFonts w:ascii="仿宋_GB2312" w:hAnsi="宋体" w:eastAsia="仿宋_GB2312"/>
          <w:b/>
          <w:bCs/>
          <w:sz w:val="44"/>
          <w:szCs w:val="44"/>
        </w:rPr>
      </w:pPr>
      <w:bookmarkStart w:id="214" w:name="_Toc7832_WPSOffice_Level1"/>
      <w:bookmarkStart w:id="215" w:name="_Toc11644_WPSOffice_Level1"/>
      <w:r>
        <w:rPr>
          <w:rFonts w:hint="eastAsia" w:ascii="仿宋_GB2312" w:hAnsi="宋体" w:eastAsia="仿宋_GB2312"/>
          <w:b/>
          <w:bCs/>
          <w:sz w:val="44"/>
          <w:szCs w:val="44"/>
        </w:rPr>
        <w:t>政府采购合同格式</w:t>
      </w:r>
      <w:bookmarkEnd w:id="214"/>
      <w:bookmarkEnd w:id="215"/>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6" w:name="_Toc13230_WPSOffice_Level2"/>
      <w:r>
        <w:rPr>
          <w:rFonts w:hint="eastAsia" w:ascii="黑体" w:hAnsi="宋体" w:eastAsia="黑体"/>
          <w:b/>
          <w:szCs w:val="21"/>
        </w:rPr>
        <w:t>一、政府采购合同文件</w:t>
      </w:r>
      <w:bookmarkEnd w:id="216"/>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7" w:name="_Toc19527_WPSOffice_Level2"/>
      <w:r>
        <w:rPr>
          <w:rFonts w:hint="eastAsia" w:ascii="黑体" w:hAnsi="宋体" w:eastAsia="黑体"/>
          <w:b/>
          <w:szCs w:val="21"/>
        </w:rPr>
        <w:t>二、政府采购合同范围和条件</w:t>
      </w:r>
      <w:bookmarkEnd w:id="217"/>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8" w:name="_Toc18050_WPSOffice_Level2"/>
      <w:r>
        <w:rPr>
          <w:rFonts w:hint="eastAsia" w:ascii="黑体" w:hAnsi="宋体" w:eastAsia="黑体"/>
          <w:b/>
          <w:szCs w:val="21"/>
        </w:rPr>
        <w:t>三、政府采购合同标的</w:t>
      </w:r>
      <w:bookmarkEnd w:id="218"/>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9" w:name="_Toc27886_WPSOffice_Level2"/>
      <w:r>
        <w:rPr>
          <w:rFonts w:hint="eastAsia" w:ascii="黑体" w:hAnsi="宋体" w:eastAsia="黑体"/>
          <w:b/>
          <w:szCs w:val="21"/>
        </w:rPr>
        <w:t>四、政府采购合同金额</w:t>
      </w:r>
      <w:bookmarkEnd w:id="219"/>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20" w:name="_Toc22211_WPSOffice_Level2"/>
      <w:r>
        <w:rPr>
          <w:rFonts w:hint="eastAsia" w:ascii="黑体" w:hAnsi="宋体" w:eastAsia="黑体"/>
          <w:b/>
          <w:szCs w:val="21"/>
        </w:rPr>
        <w:t>五、付款方式及条件</w:t>
      </w:r>
      <w:bookmarkEnd w:id="220"/>
    </w:p>
    <w:p>
      <w:pPr>
        <w:adjustRightInd w:val="0"/>
        <w:snapToGrid w:val="0"/>
        <w:spacing w:line="360" w:lineRule="auto"/>
        <w:jc w:val="left"/>
        <w:rPr>
          <w:rFonts w:ascii="黑体" w:hAnsi="宋体" w:eastAsia="黑体"/>
          <w:b/>
          <w:szCs w:val="21"/>
        </w:rPr>
      </w:pP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21" w:name="_Toc27813_WPSOffice_Level2"/>
      <w:r>
        <w:rPr>
          <w:rFonts w:hint="eastAsia" w:ascii="黑体" w:hAnsi="宋体" w:eastAsia="黑体"/>
          <w:b/>
          <w:szCs w:val="21"/>
        </w:rPr>
        <w:t>六、交货时间和交货地点</w:t>
      </w:r>
      <w:bookmarkEnd w:id="221"/>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22" w:name="_Toc12497_WPSOffice_Level2"/>
      <w:r>
        <w:rPr>
          <w:rFonts w:hint="eastAsia" w:ascii="黑体" w:hAnsi="宋体" w:eastAsia="黑体"/>
          <w:b/>
          <w:szCs w:val="21"/>
        </w:rPr>
        <w:t>七、验收要求</w:t>
      </w:r>
      <w:bookmarkEnd w:id="222"/>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bookmarkStart w:id="223" w:name="_Toc4868_WPSOffice_Level2"/>
      <w:r>
        <w:rPr>
          <w:rFonts w:hint="eastAsia" w:ascii="黑体" w:hAnsi="宋体" w:eastAsia="黑体"/>
          <w:b/>
          <w:szCs w:val="21"/>
        </w:rPr>
        <w:t>八、违约责任</w:t>
      </w:r>
      <w:bookmarkEnd w:id="223"/>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bookmarkStart w:id="224" w:name="_Toc24496_WPSOffice_Level2"/>
      <w:r>
        <w:rPr>
          <w:rFonts w:hint="eastAsia" w:ascii="黑体" w:hAnsi="宋体" w:eastAsia="黑体"/>
          <w:b/>
          <w:szCs w:val="21"/>
        </w:rPr>
        <w:t>九、争议解决</w:t>
      </w:r>
      <w:bookmarkEnd w:id="224"/>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bookmarkStart w:id="225" w:name="_Toc24974_WPSOffice_Level2"/>
      <w:r>
        <w:rPr>
          <w:rFonts w:hint="eastAsia" w:ascii="黑体" w:hAnsi="宋体" w:eastAsia="黑体"/>
          <w:b/>
          <w:szCs w:val="21"/>
        </w:rPr>
        <w:t>十、合同生效</w:t>
      </w:r>
      <w:bookmarkEnd w:id="22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p>
      <w:pPr>
        <w:wordWrap w:val="0"/>
        <w:adjustRightInd w:val="0"/>
        <w:snapToGrid w:val="0"/>
        <w:spacing w:line="360" w:lineRule="auto"/>
        <w:ind w:right="420"/>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headerReference r:id="rId3" w:type="first"/>
      <w:footerReference r:id="rId4" w:type="default"/>
      <w:pgSz w:w="11906" w:h="16838"/>
      <w:pgMar w:top="1531" w:right="1474" w:bottom="1531" w:left="153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docPartObj>
        <w:docPartGallery w:val="autotext"/>
      </w:docPartObj>
    </w:sdtPr>
    <w:sdtContent>
      <w:sdt>
        <w:sdtPr>
          <w:id w:val="1210456982"/>
          <w:docPartObj>
            <w:docPartGallery w:val="autotext"/>
          </w:docPartObj>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E8E3184"/>
    <w:multiLevelType w:val="singleLevel"/>
    <w:tmpl w:val="EE8E3184"/>
    <w:lvl w:ilvl="0" w:tentative="0">
      <w:start w:val="1"/>
      <w:numFmt w:val="decimal"/>
      <w:suff w:val="nothing"/>
      <w:lvlText w:val="（%1）"/>
      <w:lvlJc w:val="left"/>
    </w:lvl>
  </w:abstractNum>
  <w:abstractNum w:abstractNumId="4">
    <w:nsid w:val="03FC9388"/>
    <w:multiLevelType w:val="singleLevel"/>
    <w:tmpl w:val="03FC9388"/>
    <w:lvl w:ilvl="0" w:tentative="0">
      <w:start w:val="6"/>
      <w:numFmt w:val="chineseCounting"/>
      <w:suff w:val="nothing"/>
      <w:lvlText w:val="%1、"/>
      <w:lvlJc w:val="left"/>
      <w:rPr>
        <w:rFonts w:hint="eastAsia"/>
      </w:r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468ACDF8"/>
    <w:multiLevelType w:val="singleLevel"/>
    <w:tmpl w:val="468ACDF8"/>
    <w:lvl w:ilvl="0" w:tentative="0">
      <w:start w:val="2"/>
      <w:numFmt w:val="chineseCounting"/>
      <w:suff w:val="nothing"/>
      <w:lvlText w:val="（%1）"/>
      <w:lvlJc w:val="left"/>
      <w:rPr>
        <w:rFonts w:hint="eastAsia"/>
      </w:rPr>
    </w:lvl>
  </w:abstractNum>
  <w:abstractNum w:abstractNumId="8">
    <w:nsid w:val="7B4156D0"/>
    <w:multiLevelType w:val="singleLevel"/>
    <w:tmpl w:val="7B4156D0"/>
    <w:lvl w:ilvl="0" w:tentative="0">
      <w:start w:val="1"/>
      <w:numFmt w:val="decimal"/>
      <w:suff w:val="nothing"/>
      <w:lvlText w:val="（%1）"/>
      <w:lvlJc w:val="left"/>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AB0DE9"/>
    <w:rsid w:val="00B703A9"/>
    <w:rsid w:val="00B808BB"/>
    <w:rsid w:val="00BA4F70"/>
    <w:rsid w:val="00CC10BA"/>
    <w:rsid w:val="00D47FF5"/>
    <w:rsid w:val="00D55C7E"/>
    <w:rsid w:val="00EA0331"/>
    <w:rsid w:val="00F36289"/>
    <w:rsid w:val="00F50D6A"/>
    <w:rsid w:val="00F51F23"/>
    <w:rsid w:val="00F56402"/>
    <w:rsid w:val="00FB3531"/>
    <w:rsid w:val="05936513"/>
    <w:rsid w:val="05FB3CED"/>
    <w:rsid w:val="23102DDF"/>
    <w:rsid w:val="67A25913"/>
    <w:rsid w:val="69566B5F"/>
    <w:rsid w:val="6C2E4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rPr>
      <w:szCs w:val="20"/>
    </w:rPr>
  </w:style>
  <w:style w:type="paragraph" w:styleId="7">
    <w:name w:val="Document Map"/>
    <w:basedOn w:val="1"/>
    <w:link w:val="40"/>
    <w:semiHidden/>
    <w:unhideWhenUsed/>
    <w:qFormat/>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qFormat/>
    <w:uiPriority w:val="0"/>
    <w:pPr>
      <w:spacing w:after="120"/>
    </w:pPr>
  </w:style>
  <w:style w:type="paragraph" w:styleId="10">
    <w:name w:val="Body Text Indent"/>
    <w:basedOn w:val="1"/>
    <w:link w:val="38"/>
    <w:unhideWhenUsed/>
    <w:qFormat/>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qFormat/>
    <w:uiPriority w:val="0"/>
    <w:rPr>
      <w:sz w:val="24"/>
      <w:szCs w:val="20"/>
    </w:rPr>
  </w:style>
  <w:style w:type="paragraph" w:styleId="13">
    <w:name w:val="Balloon Text"/>
    <w:basedOn w:val="1"/>
    <w:link w:val="44"/>
    <w:unhideWhenUsed/>
    <w:qFormat/>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qFormat/>
    <w:uiPriority w:val="0"/>
    <w:rPr>
      <w:b/>
      <w:bCs/>
    </w:rPr>
  </w:style>
  <w:style w:type="table" w:styleId="20">
    <w:name w:val="Table Grid"/>
    <w:basedOn w:val="1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Elegant"/>
    <w:basedOn w:val="19"/>
    <w:unhideWhenUsed/>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caps/>
        <w:color w:val="auto"/>
      </w:rPr>
      <w:tblPr/>
      <w:tcPr>
        <w:tcBorders>
          <w:tl2br w:val="nil"/>
          <w:tr2bl w:val="nil"/>
        </w:tcBorders>
      </w:tcPr>
    </w:tblStyle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字符"/>
    <w:basedOn w:val="22"/>
    <w:link w:val="15"/>
    <w:qFormat/>
    <w:uiPriority w:val="99"/>
    <w:rPr>
      <w:sz w:val="18"/>
      <w:szCs w:val="18"/>
    </w:rPr>
  </w:style>
  <w:style w:type="character" w:customStyle="1" w:styleId="29">
    <w:name w:val="页脚 字符"/>
    <w:basedOn w:val="22"/>
    <w:link w:val="14"/>
    <w:qFormat/>
    <w:uiPriority w:val="99"/>
    <w:rPr>
      <w:sz w:val="18"/>
      <w:szCs w:val="18"/>
    </w:rPr>
  </w:style>
  <w:style w:type="character" w:customStyle="1" w:styleId="30">
    <w:name w:val="标题 1 字符"/>
    <w:basedOn w:val="22"/>
    <w:link w:val="2"/>
    <w:qFormat/>
    <w:uiPriority w:val="0"/>
    <w:rPr>
      <w:rFonts w:ascii="Times New Roman" w:hAnsi="Times New Roman" w:eastAsia="宋体" w:cs="Times New Roman"/>
      <w:b/>
      <w:bCs/>
      <w:kern w:val="44"/>
      <w:sz w:val="44"/>
      <w:szCs w:val="44"/>
    </w:rPr>
  </w:style>
  <w:style w:type="character" w:customStyle="1" w:styleId="31">
    <w:name w:val="标题 2 字符"/>
    <w:basedOn w:val="22"/>
    <w:link w:val="3"/>
    <w:qFormat/>
    <w:uiPriority w:val="0"/>
    <w:rPr>
      <w:rFonts w:ascii="Arial" w:hAnsi="Arial" w:eastAsia="黑体" w:cs="Times New Roman"/>
      <w:b/>
      <w:bCs/>
      <w:sz w:val="32"/>
      <w:szCs w:val="32"/>
    </w:rPr>
  </w:style>
  <w:style w:type="character" w:customStyle="1" w:styleId="32">
    <w:name w:val="标题 3 Char"/>
    <w:basedOn w:val="22"/>
    <w:qFormat/>
    <w:uiPriority w:val="0"/>
    <w:rPr>
      <w:rFonts w:ascii="Times New Roman" w:hAnsi="Times New Roman" w:eastAsia="宋体" w:cs="Times New Roman"/>
      <w:b/>
      <w:bCs/>
      <w:sz w:val="32"/>
      <w:szCs w:val="32"/>
    </w:rPr>
  </w:style>
  <w:style w:type="character" w:customStyle="1" w:styleId="33">
    <w:name w:val="标题 4 字符"/>
    <w:basedOn w:val="22"/>
    <w:link w:val="5"/>
    <w:qFormat/>
    <w:uiPriority w:val="0"/>
    <w:rPr>
      <w:rFonts w:ascii="宋体" w:hAnsi="宋体" w:eastAsia="宋体" w:cs="宋体"/>
      <w:kern w:val="0"/>
      <w:sz w:val="24"/>
      <w:szCs w:val="24"/>
    </w:rPr>
  </w:style>
  <w:style w:type="character" w:customStyle="1" w:styleId="34">
    <w:name w:val="标题 3 字符"/>
    <w:basedOn w:val="22"/>
    <w:link w:val="4"/>
    <w:qFormat/>
    <w:locked/>
    <w:uiPriority w:val="0"/>
    <w:rPr>
      <w:rFonts w:ascii="Times New Roman" w:hAnsi="Times New Roman" w:eastAsia="宋体" w:cs="Times New Roman"/>
      <w:sz w:val="32"/>
      <w:szCs w:val="32"/>
    </w:rPr>
  </w:style>
  <w:style w:type="character" w:customStyle="1" w:styleId="35">
    <w:name w:val="HTML 预设格式 字符"/>
    <w:basedOn w:val="22"/>
    <w:link w:val="16"/>
    <w:qFormat/>
    <w:uiPriority w:val="0"/>
    <w:rPr>
      <w:rFonts w:ascii="宋体" w:hAnsi="宋体" w:eastAsia="宋体" w:cs="宋体"/>
      <w:kern w:val="0"/>
      <w:sz w:val="24"/>
      <w:szCs w:val="24"/>
    </w:rPr>
  </w:style>
  <w:style w:type="character" w:customStyle="1" w:styleId="36">
    <w:name w:val="批注文字 字符1"/>
    <w:basedOn w:val="22"/>
    <w:link w:val="8"/>
    <w:semiHidden/>
    <w:qFormat/>
    <w:uiPriority w:val="99"/>
    <w:rPr>
      <w:rFonts w:ascii="Times New Roman" w:hAnsi="Times New Roman" w:eastAsia="宋体" w:cs="Times New Roman"/>
      <w:szCs w:val="24"/>
    </w:rPr>
  </w:style>
  <w:style w:type="character" w:customStyle="1" w:styleId="37">
    <w:name w:val="正文文本 字符"/>
    <w:basedOn w:val="22"/>
    <w:link w:val="9"/>
    <w:qFormat/>
    <w:uiPriority w:val="0"/>
    <w:rPr>
      <w:rFonts w:ascii="Times New Roman" w:hAnsi="Times New Roman" w:eastAsia="宋体" w:cs="Times New Roman"/>
      <w:szCs w:val="24"/>
    </w:rPr>
  </w:style>
  <w:style w:type="character" w:customStyle="1" w:styleId="38">
    <w:name w:val="正文文本缩进 字符"/>
    <w:basedOn w:val="22"/>
    <w:link w:val="10"/>
    <w:qFormat/>
    <w:uiPriority w:val="0"/>
    <w:rPr>
      <w:rFonts w:ascii="宋体" w:hAnsi="Times New Roman" w:eastAsia="宋体" w:cs="Times New Roman"/>
      <w:sz w:val="24"/>
      <w:szCs w:val="20"/>
    </w:rPr>
  </w:style>
  <w:style w:type="character" w:customStyle="1" w:styleId="39">
    <w:name w:val="日期 字符"/>
    <w:basedOn w:val="22"/>
    <w:link w:val="12"/>
    <w:qFormat/>
    <w:uiPriority w:val="0"/>
    <w:rPr>
      <w:rFonts w:ascii="Times New Roman" w:hAnsi="Times New Roman" w:eastAsia="宋体" w:cs="Times New Roman"/>
      <w:sz w:val="24"/>
      <w:szCs w:val="20"/>
    </w:rPr>
  </w:style>
  <w:style w:type="character" w:customStyle="1" w:styleId="40">
    <w:name w:val="文档结构图 字符"/>
    <w:basedOn w:val="22"/>
    <w:link w:val="7"/>
    <w:semiHidden/>
    <w:qFormat/>
    <w:uiPriority w:val="0"/>
    <w:rPr>
      <w:rFonts w:ascii="Times New Roman" w:hAnsi="Times New Roman" w:eastAsia="宋体" w:cs="Times New Roman"/>
      <w:szCs w:val="24"/>
      <w:shd w:val="clear" w:color="auto" w:fill="000080"/>
    </w:rPr>
  </w:style>
  <w:style w:type="character" w:customStyle="1" w:styleId="41">
    <w:name w:val="纯文本 字符"/>
    <w:basedOn w:val="22"/>
    <w:link w:val="11"/>
    <w:qFormat/>
    <w:locked/>
    <w:uiPriority w:val="0"/>
    <w:rPr>
      <w:rFonts w:ascii="宋体" w:hAnsi="Courier New" w:eastAsia="宋体" w:cs="Courier New"/>
      <w:szCs w:val="21"/>
    </w:rPr>
  </w:style>
  <w:style w:type="character" w:customStyle="1" w:styleId="42">
    <w:name w:val="纯文本 Char1"/>
    <w:basedOn w:val="22"/>
    <w:semiHidden/>
    <w:qFormat/>
    <w:uiPriority w:val="99"/>
    <w:rPr>
      <w:rFonts w:ascii="宋体" w:hAnsi="Courier New" w:eastAsia="宋体" w:cs="Courier New"/>
      <w:szCs w:val="21"/>
    </w:rPr>
  </w:style>
  <w:style w:type="character" w:customStyle="1" w:styleId="43">
    <w:name w:val="批注主题 字符"/>
    <w:basedOn w:val="36"/>
    <w:link w:val="18"/>
    <w:semiHidden/>
    <w:qFormat/>
    <w:uiPriority w:val="0"/>
    <w:rPr>
      <w:rFonts w:ascii="Times New Roman" w:hAnsi="Times New Roman" w:eastAsia="宋体" w:cs="Times New Roman"/>
      <w:b/>
      <w:bCs/>
      <w:szCs w:val="24"/>
    </w:rPr>
  </w:style>
  <w:style w:type="character" w:customStyle="1" w:styleId="44">
    <w:name w:val="批注框文本 字符"/>
    <w:basedOn w:val="22"/>
    <w:link w:val="13"/>
    <w:qFormat/>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qFormat/>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qFormat/>
    <w:uiPriority w:val="0"/>
    <w:pPr>
      <w:adjustRightInd w:val="0"/>
      <w:spacing w:line="360" w:lineRule="auto"/>
    </w:pPr>
    <w:rPr>
      <w:kern w:val="0"/>
      <w:sz w:val="24"/>
      <w:szCs w:val="20"/>
    </w:rPr>
  </w:style>
  <w:style w:type="paragraph" w:customStyle="1" w:styleId="49">
    <w:name w:val="Char1 Char Char Char"/>
    <w:basedOn w:val="1"/>
    <w:qFormat/>
    <w:uiPriority w:val="0"/>
    <w:rPr>
      <w:rFonts w:ascii="Tahoma" w:hAnsi="Tahoma" w:eastAsia="仿宋_GB2312"/>
      <w:b/>
      <w:sz w:val="24"/>
      <w:szCs w:val="20"/>
    </w:rPr>
  </w:style>
  <w:style w:type="paragraph" w:customStyle="1" w:styleId="50">
    <w:name w:val="Char Char Char"/>
    <w:basedOn w:val="7"/>
    <w:qFormat/>
    <w:uiPriority w:val="0"/>
    <w:pPr>
      <w:jc w:val="center"/>
    </w:pPr>
    <w:rPr>
      <w:rFonts w:ascii="宋体" w:hAnsi="宋体"/>
      <w:sz w:val="24"/>
    </w:rPr>
  </w:style>
  <w:style w:type="paragraph" w:customStyle="1" w:styleId="51">
    <w:name w:val="Char Char Char Char Char Char1 Char"/>
    <w:basedOn w:val="1"/>
    <w:uiPriority w:val="0"/>
    <w:pPr>
      <w:widowControl/>
      <w:spacing w:after="160" w:line="240" w:lineRule="exact"/>
      <w:jc w:val="left"/>
    </w:pPr>
    <w:rPr>
      <w:szCs w:val="20"/>
    </w:rPr>
  </w:style>
  <w:style w:type="paragraph" w:customStyle="1" w:styleId="52">
    <w:name w:val="pa-3"/>
    <w:basedOn w:val="1"/>
    <w:uiPriority w:val="0"/>
    <w:pPr>
      <w:widowControl/>
      <w:spacing w:before="150" w:after="150"/>
      <w:jc w:val="left"/>
    </w:pPr>
    <w:rPr>
      <w:rFonts w:ascii="宋体" w:hAnsi="宋体" w:cs="宋体"/>
      <w:kern w:val="0"/>
      <w:sz w:val="24"/>
    </w:rPr>
  </w:style>
  <w:style w:type="paragraph" w:customStyle="1" w:styleId="53">
    <w:name w:val="pa-4"/>
    <w:basedOn w:val="1"/>
    <w:uiPriority w:val="0"/>
    <w:pPr>
      <w:widowControl/>
      <w:spacing w:before="150" w:after="150"/>
      <w:jc w:val="left"/>
    </w:pPr>
    <w:rPr>
      <w:rFonts w:ascii="宋体" w:hAnsi="宋体" w:cs="宋体"/>
      <w:kern w:val="0"/>
      <w:sz w:val="24"/>
    </w:rPr>
  </w:style>
  <w:style w:type="paragraph" w:customStyle="1" w:styleId="54">
    <w:name w:val="pa-2"/>
    <w:basedOn w:val="1"/>
    <w:qFormat/>
    <w:uiPriority w:val="0"/>
    <w:pPr>
      <w:widowControl/>
      <w:spacing w:before="150" w:after="150"/>
      <w:jc w:val="left"/>
    </w:pPr>
    <w:rPr>
      <w:rFonts w:ascii="宋体" w:hAnsi="宋体" w:cs="宋体"/>
      <w:kern w:val="0"/>
      <w:sz w:val="24"/>
    </w:rPr>
  </w:style>
  <w:style w:type="paragraph" w:customStyle="1" w:styleId="55">
    <w:name w:val="pa-6"/>
    <w:basedOn w:val="1"/>
    <w:qFormat/>
    <w:uiPriority w:val="0"/>
    <w:pPr>
      <w:widowControl/>
      <w:spacing w:before="150" w:after="150"/>
      <w:jc w:val="left"/>
    </w:pPr>
    <w:rPr>
      <w:rFonts w:ascii="宋体" w:hAnsi="宋体" w:cs="宋体"/>
      <w:kern w:val="0"/>
      <w:sz w:val="24"/>
    </w:rPr>
  </w:style>
  <w:style w:type="paragraph" w:customStyle="1" w:styleId="56">
    <w:name w:val="pa-1"/>
    <w:basedOn w:val="1"/>
    <w:uiPriority w:val="0"/>
    <w:pPr>
      <w:widowControl/>
      <w:spacing w:before="150" w:after="150"/>
      <w:jc w:val="left"/>
    </w:pPr>
    <w:rPr>
      <w:rFonts w:ascii="宋体" w:hAnsi="宋体" w:cs="宋体"/>
      <w:kern w:val="0"/>
      <w:sz w:val="24"/>
    </w:rPr>
  </w:style>
  <w:style w:type="paragraph" w:customStyle="1" w:styleId="57">
    <w:name w:val="1 Char Char Char Char Char"/>
    <w:basedOn w:val="1"/>
    <w:uiPriority w:val="0"/>
    <w:pPr>
      <w:tabs>
        <w:tab w:val="left" w:pos="360"/>
      </w:tabs>
      <w:ind w:left="360" w:hanging="360" w:hangingChars="200"/>
    </w:pPr>
    <w:rPr>
      <w:sz w:val="24"/>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5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qFormat/>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qFormat/>
    <w:uiPriority w:val="0"/>
    <w:rPr>
      <w:rFonts w:ascii="Tahoma" w:hAnsi="Tahoma"/>
      <w:sz w:val="24"/>
      <w:szCs w:val="20"/>
    </w:rPr>
  </w:style>
  <w:style w:type="character" w:styleId="62">
    <w:name w:val="Placeholder Text"/>
    <w:basedOn w:val="22"/>
    <w:semiHidden/>
    <w:qFormat/>
    <w:uiPriority w:val="99"/>
    <w:rPr>
      <w:color w:val="808080"/>
    </w:rPr>
  </w:style>
  <w:style w:type="character" w:customStyle="1" w:styleId="63">
    <w:name w:val="ca-2"/>
    <w:basedOn w:val="22"/>
    <w:qFormat/>
    <w:uiPriority w:val="0"/>
  </w:style>
  <w:style w:type="character" w:customStyle="1" w:styleId="64">
    <w:name w:val="ca-0"/>
    <w:basedOn w:val="22"/>
    <w:qFormat/>
    <w:uiPriority w:val="0"/>
  </w:style>
  <w:style w:type="character" w:customStyle="1" w:styleId="65">
    <w:name w:val="ca-1"/>
    <w:basedOn w:val="22"/>
    <w:qFormat/>
    <w:uiPriority w:val="0"/>
  </w:style>
  <w:style w:type="character" w:customStyle="1" w:styleId="66">
    <w:name w:val="ca-3"/>
    <w:basedOn w:val="22"/>
    <w:qFormat/>
    <w:uiPriority w:val="0"/>
  </w:style>
  <w:style w:type="character" w:customStyle="1" w:styleId="67">
    <w:name w:val="ca-4"/>
    <w:basedOn w:val="22"/>
    <w:qFormat/>
    <w:uiPriority w:val="0"/>
  </w:style>
  <w:style w:type="character" w:customStyle="1" w:styleId="68">
    <w:name w:val="ca-5"/>
    <w:basedOn w:val="22"/>
    <w:qFormat/>
    <w:uiPriority w:val="0"/>
  </w:style>
  <w:style w:type="character" w:customStyle="1" w:styleId="69">
    <w:name w:val="ca-6"/>
    <w:basedOn w:val="22"/>
    <w:qFormat/>
    <w:uiPriority w:val="0"/>
  </w:style>
  <w:style w:type="character" w:customStyle="1" w:styleId="70">
    <w:name w:val="style"/>
    <w:basedOn w:val="22"/>
    <w:qFormat/>
    <w:uiPriority w:val="0"/>
  </w:style>
  <w:style w:type="character" w:customStyle="1" w:styleId="71">
    <w:name w:val="yiyi21"/>
    <w:basedOn w:val="22"/>
    <w:qFormat/>
    <w:uiPriority w:val="0"/>
    <w:rPr>
      <w:color w:val="003300"/>
      <w:sz w:val="18"/>
      <w:szCs w:val="18"/>
      <w:u w:val="none"/>
    </w:rPr>
  </w:style>
  <w:style w:type="character" w:customStyle="1" w:styleId="72">
    <w:name w:val="javascript"/>
    <w:basedOn w:val="22"/>
    <w:qFormat/>
    <w:uiPriority w:val="0"/>
  </w:style>
  <w:style w:type="character" w:customStyle="1" w:styleId="73">
    <w:name w:val="ft141"/>
    <w:basedOn w:val="22"/>
    <w:qFormat/>
    <w:uiPriority w:val="0"/>
    <w:rPr>
      <w:sz w:val="14"/>
      <w:szCs w:val="14"/>
    </w:rPr>
  </w:style>
  <w:style w:type="character" w:customStyle="1" w:styleId="74">
    <w:name w:val="productfont_style"/>
    <w:basedOn w:val="22"/>
    <w:qFormat/>
    <w:uiPriority w:val="0"/>
  </w:style>
  <w:style w:type="character" w:customStyle="1" w:styleId="75">
    <w:name w:val="style5"/>
    <w:basedOn w:val="22"/>
    <w:qFormat/>
    <w:uiPriority w:val="0"/>
  </w:style>
  <w:style w:type="character" w:customStyle="1" w:styleId="76">
    <w:name w:val="style6"/>
    <w:basedOn w:val="22"/>
    <w:qFormat/>
    <w:uiPriority w:val="0"/>
  </w:style>
  <w:style w:type="character" w:customStyle="1" w:styleId="77">
    <w:name w:val="t22"/>
    <w:qFormat/>
    <w:uiPriority w:val="0"/>
    <w:rPr>
      <w:rFonts w:hint="eastAsia" w:ascii="宋体" w:hAnsi="宋体" w:eastAsia="宋体"/>
      <w:color w:val="002B55"/>
      <w:sz w:val="18"/>
      <w:szCs w:val="18"/>
      <w:u w:val="none"/>
    </w:rPr>
  </w:style>
  <w:style w:type="character" w:customStyle="1" w:styleId="78">
    <w:name w:val="info"/>
    <w:basedOn w:val="22"/>
    <w:qFormat/>
    <w:uiPriority w:val="0"/>
  </w:style>
  <w:style w:type="character" w:customStyle="1" w:styleId="79">
    <w:name w:val="apple-converted-space"/>
    <w:basedOn w:val="22"/>
    <w:qFormat/>
    <w:uiPriority w:val="0"/>
  </w:style>
  <w:style w:type="character" w:customStyle="1" w:styleId="80">
    <w:name w:val="占位符文本1"/>
    <w:semiHidden/>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8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kern w:val="0"/>
      <w:sz w:val="20"/>
      <w:szCs w:val="20"/>
      <w:lang w:val="en-US" w:eastAsia="zh-CN" w:bidi="ar-SA"/>
    </w:rPr>
  </w:style>
  <w:style w:type="paragraph" w:customStyle="1" w:styleId="87">
    <w:name w:val="WPSOffice手动目录 3"/>
    <w:qFormat/>
    <w:uiPriority w:val="0"/>
    <w:pPr>
      <w:ind w:left="400" w:leftChars="400"/>
    </w:pPr>
    <w:rPr>
      <w:rFonts w:ascii="Calibri" w:hAnsi="Calibri" w:eastAsia="宋体" w:cs="Times New Roman"/>
      <w:kern w:val="0"/>
      <w:sz w:val="20"/>
      <w:szCs w:val="20"/>
      <w:lang w:val="en-US" w:eastAsia="zh-CN" w:bidi="ar-SA"/>
    </w:rPr>
  </w:style>
  <w:style w:type="character" w:customStyle="1" w:styleId="88">
    <w:name w:val="批注文字 字符"/>
    <w:qFormat/>
    <w:uiPriority w:val="99"/>
    <w:rPr>
      <w:rFonts w:ascii="Calibri" w:hAnsi="Calibri" w:eastAsia="仿宋"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6"/>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7"/>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8"/>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20"/>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21"/>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23"/>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24"/>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25"/>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6"/>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7"/>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8"/>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9"/>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30"/>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31"/>
          </w:pPr>
          <w:r>
            <w:rPr>
              <w:rStyle w:val="4"/>
              <w:rFonts w:hint="eastAsia"/>
            </w:rPr>
            <w:t>单击此处输入文字。</w:t>
          </w:r>
        </w:p>
      </w:docPartBody>
    </w:docPart>
    <w:docPart>
      <w:docPartPr>
        <w:name w:val="115C111C555E488581E79C9B208D74F0"/>
        <w:style w:val=""/>
        <w:category>
          <w:name w:val="常规"/>
          <w:gallery w:val="placeholder"/>
        </w:category>
        <w:types>
          <w:type w:val="bbPlcHdr"/>
        </w:types>
        <w:behaviors>
          <w:behavior w:val="content"/>
        </w:behaviors>
        <w:description w:val=""/>
        <w:guid w:val="{4A5C60C7-7D23-4BAE-A82C-50E23902B15D}"/>
      </w:docPartPr>
      <w:docPartBody>
        <w:p>
          <w:pPr>
            <w:pStyle w:val="32"/>
          </w:pPr>
          <w:r>
            <w:rPr>
              <w:rStyle w:val="4"/>
              <w:rFonts w:hint="eastAsia"/>
            </w:rPr>
            <w:t>单击此处输入文字。</w:t>
          </w:r>
        </w:p>
      </w:docPartBody>
    </w:docPart>
    <w:docPart>
      <w:docPartPr>
        <w:name w:val="672972618C6641768BC9389DB1F4944A"/>
        <w:style w:val=""/>
        <w:category>
          <w:name w:val="常规"/>
          <w:gallery w:val="placeholder"/>
        </w:category>
        <w:types>
          <w:type w:val="bbPlcHdr"/>
        </w:types>
        <w:behaviors>
          <w:behavior w:val="content"/>
        </w:behaviors>
        <w:description w:val=""/>
        <w:guid w:val="{5111BAC9-79A8-4C43-981A-65C361FBEBE3}"/>
      </w:docPartPr>
      <w:docPartBody>
        <w:p>
          <w:pPr>
            <w:pStyle w:val="33"/>
          </w:pPr>
          <w:r>
            <w:rPr>
              <w:rStyle w:val="4"/>
              <w:rFonts w:hint="eastAsia"/>
            </w:rPr>
            <w:t>单击此处输入文字。</w:t>
          </w:r>
        </w:p>
      </w:docPartBody>
    </w:docPart>
    <w:docPart>
      <w:docPartPr>
        <w:name w:val="6C50639D4F054046845D1F14287028BB"/>
        <w:style w:val=""/>
        <w:category>
          <w:name w:val="常规"/>
          <w:gallery w:val="placeholder"/>
        </w:category>
        <w:types>
          <w:type w:val="bbPlcHdr"/>
        </w:types>
        <w:behaviors>
          <w:behavior w:val="content"/>
        </w:behaviors>
        <w:description w:val=""/>
        <w:guid w:val="{657479E6-9489-44EF-8152-930B842C670F}"/>
      </w:docPartPr>
      <w:docPartBody>
        <w:p>
          <w:pPr>
            <w:pStyle w:val="34"/>
          </w:pPr>
          <w:r>
            <w:rPr>
              <w:rStyle w:val="4"/>
              <w:rFonts w:hint="eastAsia"/>
            </w:rPr>
            <w:t>单击此处输入文字。</w:t>
          </w:r>
        </w:p>
      </w:docPartBody>
    </w:docPart>
    <w:docPart>
      <w:docPartPr>
        <w:name w:val="33043B1F675D439F83648786B140C8B6"/>
        <w:style w:val=""/>
        <w:category>
          <w:name w:val="常规"/>
          <w:gallery w:val="placeholder"/>
        </w:category>
        <w:types>
          <w:type w:val="bbPlcHdr"/>
        </w:types>
        <w:behaviors>
          <w:behavior w:val="content"/>
        </w:behaviors>
        <w:description w:val=""/>
        <w:guid w:val="{000170D2-918B-46D4-8EC1-AA67ACCA12A4}"/>
      </w:docPartPr>
      <w:docPartBody>
        <w:p>
          <w:pPr>
            <w:pStyle w:val="35"/>
          </w:pPr>
          <w:r>
            <w:rPr>
              <w:rStyle w:val="4"/>
              <w:rFonts w:hint="eastAsia"/>
            </w:rPr>
            <w:t>单击此处输入文字。</w:t>
          </w:r>
        </w:p>
      </w:docPartBody>
    </w:docPart>
    <w:docPart>
      <w:docPartPr>
        <w:name w:val="4CDB40F88A5447ADBD20A1F7A079FAF6"/>
        <w:style w:val=""/>
        <w:category>
          <w:name w:val="常规"/>
          <w:gallery w:val="placeholder"/>
        </w:category>
        <w:types>
          <w:type w:val="bbPlcHdr"/>
        </w:types>
        <w:behaviors>
          <w:behavior w:val="content"/>
        </w:behaviors>
        <w:description w:val=""/>
        <w:guid w:val="{051DFA89-2918-444E-8E78-46D476FC63AE}"/>
      </w:docPartPr>
      <w:docPartBody>
        <w:p>
          <w:pPr>
            <w:pStyle w:val="36"/>
          </w:pPr>
          <w:r>
            <w:rPr>
              <w:rStyle w:val="4"/>
              <w:rFonts w:hint="eastAsia"/>
            </w:rPr>
            <w:t>单击此处输入文字。</w:t>
          </w:r>
        </w:p>
      </w:docPartBody>
    </w:docPart>
    <w:docPart>
      <w:docPartPr>
        <w:name w:val="31385756B3B341ADBAAA10D7738FC8D4"/>
        <w:style w:val=""/>
        <w:category>
          <w:name w:val="常规"/>
          <w:gallery w:val="placeholder"/>
        </w:category>
        <w:types>
          <w:type w:val="bbPlcHdr"/>
        </w:types>
        <w:behaviors>
          <w:behavior w:val="content"/>
        </w:behaviors>
        <w:description w:val=""/>
        <w:guid w:val="{7ECF3A70-5890-4116-ADB1-0088BBEEEB5C}"/>
      </w:docPartPr>
      <w:docPartBody>
        <w:p>
          <w:pPr>
            <w:pStyle w:val="37"/>
          </w:pPr>
          <w:r>
            <w:rPr>
              <w:rStyle w:val="4"/>
              <w:rFonts w:hint="eastAsia"/>
            </w:rPr>
            <w:t>单击此处输入文字。</w:t>
          </w:r>
        </w:p>
      </w:docPartBody>
    </w:docPart>
    <w:docPart>
      <w:docPartPr>
        <w:name w:val="{4d0dd25e-878a-43f7-8d2a-d0ace1afb046}"/>
        <w:style w:val=""/>
        <w:category>
          <w:name w:val="常规"/>
          <w:gallery w:val="placeholder"/>
        </w:category>
        <w:types>
          <w:type w:val="bbPlcHdr"/>
        </w:types>
        <w:behaviors>
          <w:behavior w:val="content"/>
        </w:behaviors>
        <w:description w:val=""/>
        <w:guid w:val="{4d0dd25e-878a-43f7-8d2a-d0ace1afb046}"/>
      </w:docPartPr>
      <w:docPartBody>
        <w:p>
          <w:pPr>
            <w:pStyle w:val="19"/>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220F9B2839844278BC0CAA7884D70F9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E30F6B0477D4BE09149CCFA15D64D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7BE7A04492564D06AD106CA872A178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488D4157FE084DBB8682D96386C48B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350658B8328946E7B26B381CFEEE702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E67FB18979BD450FBD5ACB32E18DDB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778F6BEB2A84438A8D333F2C36BBBE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FCE69EB2E7604204AF37B07B67ADB5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D2E4CDE4D63C44458A4BD69E77D1C4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3937DDF6754E4DC8949BA1C07EC122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8519DA9DE774588A2C10CD84F9B4B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503F4FB70634506BCEB449FFDF779C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4D843EE7A246474EBC7475302E476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8F148327C99140CDB330408E23A15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35C797DD53C41DF804608D4D289A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C1040C7A7CB94F83A774A9BE4065BD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99C896E883A44E47B9F732C751611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AA6124D4AA9A44728F363CBFE378A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FE08D8E468E45EE8D683DF070EF9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6DA984DF850644F397D91553C340D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398D65ED530541FB81CD198EEB9D7F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BB761D50EB054AD997F6722EF09A1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AEAAF402C6C94FD4A318CE816AFEED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115C111C555E488581E79C9B208D7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672972618C6641768BC9389DB1F49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6C50639D4F054046845D1F14287028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33043B1F675D439F83648786B140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4CDB40F88A5447ADBD20A1F7A079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31385756B3B341ADBAAA10D7738FC8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2C702C2D54FF4E7082EF825D070385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A2BBD-63A2-4C95-A9C6-9E1F4E13FFFA}">
  <ds:schemaRefs/>
</ds:datastoreItem>
</file>

<file path=docProps/app.xml><?xml version="1.0" encoding="utf-8"?>
<Properties xmlns="http://schemas.openxmlformats.org/officeDocument/2006/extended-properties" xmlns:vt="http://schemas.openxmlformats.org/officeDocument/2006/docPropsVTypes">
  <Template>Normal</Template>
  <Pages>70</Pages>
  <Words>35034</Words>
  <Characters>37747</Characters>
  <Lines>1721</Lines>
  <Paragraphs>1747</Paragraphs>
  <TotalTime>1</TotalTime>
  <ScaleCrop>false</ScaleCrop>
  <LinksUpToDate>false</LinksUpToDate>
  <CharactersWithSpaces>40569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len3</cp:lastModifiedBy>
  <cp:lastPrinted>2021-11-18T06:32:00Z</cp:lastPrinted>
  <dcterms:modified xsi:type="dcterms:W3CDTF">2021-11-18T07:13:46Z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DSQZC2021-028</vt:lpwstr>
  </property>
  <property fmtid="{D5CDD505-2E9C-101B-9397-08002B2CF9AE}" pid="3" name="KSOProductBuildVer">
    <vt:lpwstr>2052-11.1.0.11115</vt:lpwstr>
  </property>
  <property fmtid="{D5CDD505-2E9C-101B-9397-08002B2CF9AE}" pid="4" name="ICV">
    <vt:lpwstr>DAC296EC7DDC4D11A66EE2F57144BA2D</vt:lpwstr>
  </property>
</Properties>
</file>