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盖州市重大项目招聘有资质的第三方中介机构采购项目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GZC2021-034(1)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695BFB"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695BFB"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695BFB"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695BFB"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盖州市重大项目招聘有资质的第三方中介机构采购项目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盖州市重大项目招聘有资质的第三方中介机构采购项目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GZC2021-034(1)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2021/12/21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GZC2021-034(1)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盖州市重大项目招聘有资质的第三方中介机构采购项目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244CEA" w:rsidRDefault="00695BF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44CEA"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244CEA" w:rsidRPr="00F547BB" w:rsidRDefault="00695BFB"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695BFB"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695BFB"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695BFB"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695BFB"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695BFB" w:rsidP="00F547BB">
                <w:pPr>
                  <w:spacing w:line="240" w:lineRule="auto"/>
                  <w:rPr>
                    <w:rFonts w:ascii="仿宋" w:hAnsi="仿宋"/>
                  </w:rPr>
                </w:pPr>
                <w:r w:rsidRPr="00F547BB">
                  <w:rPr>
                    <w:rFonts w:ascii="仿宋" w:hAnsi="仿宋" w:hint="eastAsia"/>
                  </w:rPr>
                  <w:t>价格打分方法</w:t>
                </w:r>
              </w:p>
            </w:tc>
          </w:tr>
          <w:tr w:rsidR="00244CEA"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44CEA" w:rsidRPr="00F547BB" w:rsidRDefault="00695BFB"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244CEA" w:rsidRPr="00F547BB" w:rsidRDefault="00695BFB" w:rsidP="00F547BB">
                <w:pPr>
                  <w:spacing w:line="240" w:lineRule="auto"/>
                  <w:rPr>
                    <w:rFonts w:ascii="仿宋" w:hAnsi="仿宋"/>
                  </w:rPr>
                </w:pPr>
                <w:r w:rsidRPr="00244CEA">
                  <w:rPr>
                    <w:rFonts w:ascii="仿宋" w:hAnsi="仿宋" w:hint="eastAsia"/>
                  </w:rPr>
                  <w:t>政府投资项目咨询与评审选聘中介机构</w:t>
                </w:r>
              </w:p>
            </w:tc>
            <w:tc>
              <w:tcPr>
                <w:tcW w:w="1134" w:type="dxa"/>
                <w:tcBorders>
                  <w:top w:val="single" w:sz="4" w:space="0" w:color="auto"/>
                  <w:left w:val="single" w:sz="4" w:space="0" w:color="auto"/>
                  <w:bottom w:val="single" w:sz="4" w:space="0" w:color="auto"/>
                  <w:right w:val="single" w:sz="4" w:space="0" w:color="auto"/>
                </w:tcBorders>
                <w:vAlign w:val="center"/>
              </w:tcPr>
              <w:p w:rsidR="00244CEA" w:rsidRPr="00F547BB" w:rsidRDefault="00695BFB" w:rsidP="00F547BB">
                <w:pPr>
                  <w:spacing w:line="240" w:lineRule="auto"/>
                  <w:rPr>
                    <w:rFonts w:ascii="仿宋" w:hAnsi="仿宋"/>
                  </w:rPr>
                </w:pPr>
                <w:r>
                  <w:rPr>
                    <w:rFonts w:ascii="仿宋" w:hAnsi="仿宋"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244CEA" w:rsidRPr="00F547BB" w:rsidRDefault="00695BFB"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244CEA" w:rsidRPr="00F547BB" w:rsidRDefault="00695BFB"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244CEA" w:rsidRPr="00F547BB" w:rsidRDefault="00695BFB" w:rsidP="00F547BB">
                    <w:pPr>
                      <w:spacing w:line="240" w:lineRule="auto"/>
                      <w:rPr>
                        <w:rFonts w:ascii="仿宋" w:hAnsi="仿宋"/>
                      </w:rPr>
                    </w:pPr>
                    <w:r>
                      <w:rPr>
                        <w:rFonts w:ascii="仿宋" w:hAnsi="仿宋" w:hint="eastAsia"/>
                      </w:rPr>
                      <w:t>综合优惠率法</w:t>
                    </w:r>
                  </w:p>
                </w:tc>
              </w:sdtContent>
            </w:sdt>
          </w:tr>
        </w:tbl>
        <w:p w:rsidR="002637AB" w:rsidRDefault="00695BFB"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2021年12月01日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695BFB"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2021/12/21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695BFB">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盖州市财政局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盖州市市府大街西段</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13941797770</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0417-7088008</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开 户 行：</w:t>
      </w:r>
      <w:r w:rsidR="00695BFB" w:rsidRPr="00695BFB">
        <w:rPr>
          <w:rFonts w:ascii="仿宋" w:hAnsi="仿宋" w:cs="宋体" w:hint="eastAsia"/>
          <w:bCs/>
          <w:sz w:val="21"/>
          <w:szCs w:val="21"/>
          <w:u w:val="single"/>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695BFB" w:rsidRPr="00695BFB">
        <w:rPr>
          <w:rFonts w:ascii="仿宋" w:hAnsi="仿宋" w:cs="宋体" w:hint="eastAsia"/>
          <w:bCs/>
          <w:sz w:val="21"/>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695BFB" w:rsidRPr="00695BFB">
        <w:rPr>
          <w:rFonts w:ascii="仿宋" w:hAnsi="仿宋" w:cs="宋体"/>
          <w:bCs/>
          <w:sz w:val="21"/>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毛思鸣</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0417-7088008</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244CEA" w:rsidRDefault="00695BFB" w:rsidP="00695BFB">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244CEA"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695BFB">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244CEA"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盖州市财政局</w:t>
                </w:r>
              </w:p>
              <w:p w:rsidR="00244CEA" w:rsidRPr="00403449" w:rsidRDefault="00695BFB"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w:t>
                </w:r>
              </w:p>
              <w:p w:rsidR="00244CEA" w:rsidRPr="00403449" w:rsidRDefault="00695BFB"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穆女士</w:t>
                </w:r>
              </w:p>
              <w:p w:rsidR="00244CEA" w:rsidRPr="00403449" w:rsidRDefault="00695BFB" w:rsidP="00244CEA">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13941797770</w:t>
                </w:r>
              </w:p>
            </w:tc>
          </w:tr>
          <w:tr w:rsidR="00244CEA"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244CEA" w:rsidRPr="00403449" w:rsidRDefault="00695BFB"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color w:val="FF0000"/>
                    <w:kern w:val="0"/>
                    <w:szCs w:val="21"/>
                    <w:u w:val="single"/>
                  </w:rPr>
                  <w:t>盖州市市府大街西段盖州市财政事务中心</w:t>
                </w:r>
              </w:p>
              <w:p w:rsidR="00244CEA" w:rsidRPr="00403449" w:rsidRDefault="00695BFB"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毛先生</w:t>
                </w:r>
              </w:p>
              <w:p w:rsidR="00244CEA" w:rsidRPr="00403449" w:rsidRDefault="00695BFB" w:rsidP="00244CEA">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7088008</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left"/>
                  <w:rPr>
                    <w:rFonts w:ascii="仿宋_GB2312" w:eastAsia="仿宋_GB2312" w:hAnsi="仿宋_GB2312" w:cs="仿宋_GB2312"/>
                    <w:kern w:val="0"/>
                    <w:szCs w:val="21"/>
                  </w:rPr>
                </w:pP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244CEA" w:rsidRPr="00403449" w:rsidRDefault="00695BFB"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244CEA"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bCs/>
                    <w:kern w:val="0"/>
                    <w:szCs w:val="21"/>
                  </w:rPr>
                </w:pPr>
              </w:p>
            </w:tc>
          </w:tr>
          <w:tr w:rsidR="00244CEA"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0</w:t>
                </w:r>
                <w:r w:rsidRPr="00403449">
                  <w:rPr>
                    <w:rFonts w:ascii="仿宋_GB2312" w:eastAsia="仿宋_GB2312" w:hAnsi="仿宋_GB2312" w:cs="仿宋_GB2312" w:hint="eastAsia"/>
                    <w:bCs/>
                    <w:kern w:val="0"/>
                    <w:szCs w:val="21"/>
                  </w:rPr>
                  <w:t>元</w:t>
                </w:r>
              </w:p>
              <w:p w:rsidR="00244CEA" w:rsidRPr="00403449" w:rsidRDefault="00695BFB" w:rsidP="00244CEA">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0</w:t>
                </w:r>
                <w:r w:rsidRPr="00403449">
                  <w:rPr>
                    <w:rFonts w:ascii="仿宋_GB2312" w:eastAsia="仿宋_GB2312" w:hAnsi="仿宋_GB2312" w:cs="仿宋_GB2312" w:hint="eastAsia"/>
                    <w:bCs/>
                    <w:kern w:val="0"/>
                    <w:szCs w:val="21"/>
                  </w:rPr>
                  <w:t>元</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244CEA" w:rsidRPr="00403449" w:rsidRDefault="00695BFB"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244CEA"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244CEA" w:rsidRPr="00403449" w:rsidRDefault="00695BFB" w:rsidP="00695BFB">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244CEA" w:rsidRPr="00403449" w:rsidRDefault="00695BFB" w:rsidP="00695BFB">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244CEA" w:rsidRPr="00403449" w:rsidRDefault="00695BFB" w:rsidP="00695BFB">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244CEA"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244CEA" w:rsidRPr="00403449" w:rsidRDefault="00695BFB"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244CEA" w:rsidRPr="00403449" w:rsidRDefault="00695BFB" w:rsidP="00695BFB">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244CEA" w:rsidRPr="00403449" w:rsidRDefault="00695BFB"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244CEA" w:rsidRPr="00403449" w:rsidRDefault="00695BFB"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244CEA" w:rsidRPr="00403449" w:rsidRDefault="00695BFB"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244CEA" w:rsidRPr="00403449" w:rsidRDefault="00695BFB" w:rsidP="00695BFB">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244CEA" w:rsidRPr="00403449" w:rsidRDefault="00695BFB"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244CEA"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244CEA" w:rsidRPr="00403449" w:rsidRDefault="00695BFB"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244CEA" w:rsidRPr="00403449" w:rsidRDefault="00695BFB"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244CEA" w:rsidRPr="00403449" w:rsidRDefault="00695BFB"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12</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21</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时止</w:t>
                </w:r>
              </w:p>
              <w:p w:rsidR="00244CEA" w:rsidRPr="00403449" w:rsidRDefault="00695BFB"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244CEA" w:rsidRPr="00403449" w:rsidRDefault="00695BFB"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244CEA" w:rsidRDefault="00695BFB" w:rsidP="00695BFB">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44CEA" w:rsidRDefault="00695BFB" w:rsidP="00695BFB">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44CEA" w:rsidRDefault="00695BFB" w:rsidP="00695BFB">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44CEA" w:rsidRDefault="00695BFB" w:rsidP="00695BFB">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44CEA" w:rsidRPr="00403449" w:rsidRDefault="00695BFB"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244CEA" w:rsidRPr="00403449" w:rsidRDefault="00695BFB"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244CEA" w:rsidRPr="00403449" w:rsidRDefault="00695BFB"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244CEA"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244CEA" w:rsidRPr="00403449" w:rsidRDefault="00695BFB"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244CEA" w:rsidRPr="00403449" w:rsidRDefault="00695BFB"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244CEA"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244CEA" w:rsidRPr="00403449" w:rsidRDefault="00695BFB"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244CEA" w:rsidRPr="00403449" w:rsidRDefault="00695BFB"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244CEA"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695BFB"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244CEA" w:rsidRPr="00403449" w:rsidRDefault="00695BFB"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244CEA"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695BFB"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244CEA" w:rsidRPr="00403449" w:rsidRDefault="00695BFB"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244CEA"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244CEA" w:rsidRPr="00403449" w:rsidRDefault="00695BFB"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244CEA" w:rsidRPr="00403449" w:rsidRDefault="00695BFB" w:rsidP="00244CEA">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244CEA"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244CEA" w:rsidRPr="00403449" w:rsidRDefault="00695BFB"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244CEA" w:rsidRPr="00403449" w:rsidRDefault="00695BFB"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244CEA" w:rsidRPr="00403449" w:rsidRDefault="00695BFB" w:rsidP="00403449">
                <w:pPr>
                  <w:rPr>
                    <w:rFonts w:ascii="仿宋_GB2312" w:eastAsia="仿宋_GB2312" w:hAnsi="仿宋_GB2312" w:cs="仿宋_GB2312"/>
                    <w:kern w:val="0"/>
                    <w:szCs w:val="21"/>
                    <w:u w:val="single"/>
                  </w:rPr>
                </w:pP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244CEA" w:rsidRPr="00403449" w:rsidRDefault="00695BFB"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244CEA" w:rsidRPr="00403449" w:rsidRDefault="00695BFB"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244CEA" w:rsidRPr="00403449" w:rsidRDefault="00695BFB"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244CEA"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244CEA"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244CEA" w:rsidRPr="00403449" w:rsidRDefault="00695BFB"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244CEA" w:rsidRPr="00403449" w:rsidRDefault="00695BFB"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244CEA"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244CEA" w:rsidRPr="00403449" w:rsidRDefault="00695BFB"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244CEA" w:rsidRPr="00403449" w:rsidRDefault="00695BFB"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244CEA" w:rsidRPr="00403449" w:rsidRDefault="00695BFB" w:rsidP="00695BFB">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244CEA" w:rsidRPr="00403449" w:rsidRDefault="00695BFB" w:rsidP="00695BFB">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244CEA" w:rsidRPr="00403449" w:rsidRDefault="00695BFB" w:rsidP="00695BFB">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244CEA" w:rsidRPr="00403449" w:rsidRDefault="00695BFB" w:rsidP="00695BFB">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244CEA" w:rsidRDefault="00695BFB" w:rsidP="00695BFB">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44CEA" w:rsidRDefault="00695BFB" w:rsidP="00695BFB">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44CEA" w:rsidRDefault="00695BFB" w:rsidP="00695BFB">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44CEA" w:rsidRDefault="00695BFB" w:rsidP="00695BFB">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44CEA" w:rsidRPr="00403449" w:rsidRDefault="00695BFB" w:rsidP="00695BFB">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244CEA"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244CEA" w:rsidRPr="00403449" w:rsidRDefault="00695BFB"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244CEA" w:rsidRPr="00403449" w:rsidRDefault="00695BFB"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244CEA" w:rsidRPr="00403449" w:rsidRDefault="00695BFB" w:rsidP="00695BFB">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244CEA" w:rsidRPr="00403449" w:rsidRDefault="00695BFB" w:rsidP="00695BFB">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244CEA" w:rsidRPr="00403449" w:rsidRDefault="00695BFB" w:rsidP="00695BFB">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244CEA" w:rsidRPr="00403449" w:rsidRDefault="00695BFB" w:rsidP="00695BFB">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244CEA"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244CEA" w:rsidRPr="00403449" w:rsidRDefault="00695BFB"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244CEA" w:rsidRPr="00403449" w:rsidRDefault="00695BFB"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244CEA" w:rsidRPr="00403449" w:rsidRDefault="00695BFB"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244CEA" w:rsidRPr="00403449" w:rsidRDefault="00695BFB" w:rsidP="00695BFB">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244CEA" w:rsidRPr="00403449" w:rsidRDefault="00695BFB" w:rsidP="00695BFB">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r w:rsidRPr="00403449">
                  <w:rPr>
                    <w:rFonts w:ascii="仿宋_GB2312" w:eastAsia="仿宋_GB2312" w:hAnsi="仿宋_GB2312" w:cs="仿宋_GB2312"/>
                    <w:szCs w:val="21"/>
                  </w:rPr>
                  <w:t xml:space="preserve"> </w:t>
                </w:r>
              </w:p>
              <w:p w:rsidR="00244CEA" w:rsidRPr="00403449" w:rsidRDefault="00695BFB" w:rsidP="00695BFB">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244CEA" w:rsidRPr="00403449" w:rsidRDefault="00695BFB" w:rsidP="00695BFB">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244CEA" w:rsidRPr="00403449" w:rsidRDefault="00695BFB"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44CEA" w:rsidRPr="00403449" w:rsidRDefault="00695BFB"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695BFB" w:rsidP="00695BFB">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695BFB"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695BFB"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695BFB"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695BFB" w:rsidP="005E651A">
                <w:pPr>
                  <w:jc w:val="center"/>
                  <w:rPr>
                    <w:rFonts w:ascii="仿宋" w:hAnsi="仿宋"/>
                    <w:kern w:val="0"/>
                    <w:sz w:val="20"/>
                    <w:szCs w:val="21"/>
                  </w:rPr>
                </w:pPr>
              </w:p>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695BFB"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695BFB"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695BFB" w:rsidP="005E651A">
                    <w:pPr>
                      <w:rPr>
                        <w:rFonts w:ascii="仿宋" w:hAnsi="仿宋"/>
                      </w:rPr>
                    </w:pPr>
                    <w:r w:rsidRPr="00C26124">
                      <w:rPr>
                        <w:rFonts w:ascii="仿宋" w:hAnsi="仿宋" w:hint="eastAsia"/>
                      </w:rPr>
                      <w:t>全部</w:t>
                    </w:r>
                  </w:p>
                </w:tc>
              </w:sdtContent>
            </w:sdt>
            <w:tc>
              <w:tcPr>
                <w:tcW w:w="851" w:type="dxa"/>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bl>
        <w:p w:rsidR="00DB7EAB" w:rsidRPr="00F547BB" w:rsidRDefault="00695BFB"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695BFB"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695BFB"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695BFB"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695BFB"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695BFB" w:rsidP="005E651A">
                    <w:pPr>
                      <w:rPr>
                        <w:rFonts w:ascii="仿宋" w:hAnsi="仿宋"/>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695BFB"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695BFB"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695BFB"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695BFB"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695BFB"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695BFB"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695BFB"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695BFB"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695BFB"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695BFB"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695BFB"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695BFB"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695BFB" w:rsidP="005E651A">
                <w:pPr>
                  <w:jc w:val="center"/>
                  <w:rPr>
                    <w:rFonts w:ascii="仿宋" w:hAnsi="仿宋"/>
                    <w:kern w:val="0"/>
                    <w:sz w:val="20"/>
                    <w:szCs w:val="21"/>
                  </w:rPr>
                </w:pPr>
              </w:p>
            </w:tc>
          </w:tr>
        </w:tbl>
        <w:p w:rsidR="00F547BB" w:rsidRDefault="00695BFB" w:rsidP="00DB7EAB">
          <w:pPr>
            <w:rPr>
              <w:rFonts w:asciiTheme="majorEastAsia" w:eastAsiaTheme="majorEastAsia" w:hAnsiTheme="majorEastAsia"/>
              <w:color w:val="000000" w:themeColor="text1"/>
            </w:rPr>
          </w:pPr>
        </w:p>
        <w:p w:rsidR="00DB7EAB" w:rsidRDefault="00695BFB"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695BFB"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695BFB"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695BFB"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695BFB"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695BFB"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695BFB"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695BFB"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695BFB"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695BFB"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695BFB"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95BFB"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695BFB"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695BFB"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695BFB" w:rsidP="00695BFB">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695BFB"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695BFB"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695BFB" w:rsidP="005E651A">
                <w:pPr>
                  <w:jc w:val="center"/>
                  <w:rPr>
                    <w:rFonts w:ascii="仿宋" w:hAnsi="仿宋"/>
                  </w:rPr>
                </w:pPr>
              </w:p>
            </w:tc>
          </w:tr>
        </w:tbl>
        <w:p w:rsidR="00DB7EAB" w:rsidRDefault="00695BFB"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695BFB" w:rsidP="00C26124">
          <w:pPr>
            <w:rPr>
              <w:rFonts w:ascii="仿宋_GB2312" w:eastAsia="仿宋_GB2312" w:hAnsi="仿宋_GB2312" w:cs="仿宋_GB2312"/>
              <w:b/>
              <w:bCs/>
              <w:szCs w:val="2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C26124" w:rsidTr="00695BFB">
            <w:trPr>
              <w:trHeight w:val="654"/>
              <w:jc w:val="center"/>
            </w:trPr>
            <w:tc>
              <w:tcPr>
                <w:tcW w:w="8620" w:type="dxa"/>
                <w:gridSpan w:val="6"/>
                <w:vAlign w:val="center"/>
              </w:tcPr>
              <w:p w:rsidR="00C26124" w:rsidRPr="00C26124" w:rsidRDefault="00695BFB" w:rsidP="00695BFB">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695BFB">
            <w:trPr>
              <w:trHeight w:val="654"/>
              <w:jc w:val="center"/>
            </w:trPr>
            <w:tc>
              <w:tcPr>
                <w:tcW w:w="500" w:type="dxa"/>
                <w:vAlign w:val="center"/>
              </w:tcPr>
              <w:p w:rsidR="00C26124" w:rsidRDefault="00695BFB" w:rsidP="00695BF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695BFB" w:rsidP="00695BFB">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695BFB" w:rsidP="00695BFB">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695BFB" w:rsidP="00695BF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695BFB" w:rsidP="00695BF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695BFB" w:rsidP="00695BF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695BFB" w:rsidP="00695BF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695BFB" w:rsidP="00695BF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695BFB"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244CEA">
                  <w:rPr>
                    <w:rFonts w:ascii="仿宋_GB2312" w:eastAsia="仿宋_GB2312" w:hAnsi="仿宋_GB2312" w:cs="仿宋_GB2312" w:hint="eastAsia"/>
                    <w:color w:val="000000"/>
                    <w:szCs w:val="21"/>
                  </w:rPr>
                  <w:t>三年，自签订合同之日起。</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695BFB"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244CEA">
                  <w:rPr>
                    <w:rFonts w:ascii="仿宋_GB2312" w:eastAsia="仿宋_GB2312" w:hAnsi="仿宋_GB2312" w:cs="仿宋_GB2312" w:hint="eastAsia"/>
                    <w:color w:val="000000"/>
                    <w:szCs w:val="21"/>
                  </w:rPr>
                  <w:t>盖州市。</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695BFB"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244CEA">
                  <w:rPr>
                    <w:rFonts w:ascii="仿宋_GB2312" w:eastAsia="仿宋_GB2312" w:hAnsi="仿宋_GB2312" w:cs="仿宋_GB2312" w:hint="eastAsia"/>
                    <w:color w:val="000000"/>
                    <w:szCs w:val="21"/>
                  </w:rPr>
                  <w:t>提供咨询成果文件并经委托方验收合格后三十日内付款。</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bookmarkStart w:id="115" w:name="_GoBack"/>
                <w:bookmarkEnd w:id="115"/>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1366"/>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695BFB"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695BFB"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695BFB"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244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552"/>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244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824"/>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695BFB" w:rsidP="00244CEA">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552"/>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552"/>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337"/>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r w:rsidR="00C26124" w:rsidTr="00695BFB">
            <w:trPr>
              <w:trHeight w:val="1105"/>
              <w:jc w:val="center"/>
            </w:trPr>
            <w:tc>
              <w:tcPr>
                <w:tcW w:w="50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695BFB"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695BFB" w:rsidP="00695BFB">
                <w:pPr>
                  <w:adjustRightInd w:val="0"/>
                  <w:snapToGrid w:val="0"/>
                  <w:ind w:rightChars="50" w:right="120"/>
                  <w:jc w:val="center"/>
                  <w:rPr>
                    <w:rFonts w:ascii="仿宋_GB2312" w:eastAsia="仿宋_GB2312" w:hAnsi="仿宋_GB2312" w:cs="仿宋_GB2312"/>
                    <w:szCs w:val="21"/>
                  </w:rPr>
                </w:pPr>
              </w:p>
            </w:tc>
          </w:tr>
        </w:tbl>
        <w:p w:rsidR="00C26124" w:rsidRPr="00C26124" w:rsidRDefault="00695BFB" w:rsidP="00D62CB1">
          <w:pPr>
            <w:rPr>
              <w:rFonts w:ascii="仿宋" w:hAnsi="仿宋"/>
            </w:rPr>
          </w:pPr>
        </w:p>
        <w:p w:rsidR="00D62CB1" w:rsidRDefault="00695BFB"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695BFB"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695BFB" w:rsidP="00695BFB">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695BFB"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695BFB" w:rsidP="00695BFB">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695BFB" w:rsidP="00695BFB">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695BFB" w:rsidP="00695BFB">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244CEA" w:rsidRDefault="00695BFB" w:rsidP="0050268E">
          <w:pPr>
            <w:rPr>
              <w:rFonts w:ascii="仿宋" w:hAnsi="仿宋"/>
            </w:rPr>
          </w:pPr>
        </w:p>
        <w:p w:rsidR="00244CEA" w:rsidRDefault="00695BFB" w:rsidP="0050268E">
          <w:pPr>
            <w:rPr>
              <w:rFonts w:ascii="仿宋" w:hAnsi="仿宋"/>
            </w:rPr>
          </w:pPr>
        </w:p>
        <w:p w:rsidR="00244CEA" w:rsidRDefault="00695BFB" w:rsidP="00244CEA">
          <w:pPr>
            <w:jc w:val="center"/>
            <w:textAlignment w:val="baseline"/>
            <w:rPr>
              <w:b/>
              <w:bCs/>
              <w:sz w:val="32"/>
              <w:szCs w:val="32"/>
            </w:rPr>
          </w:pPr>
          <w:r>
            <w:rPr>
              <w:rFonts w:ascii="仿宋" w:hAnsi="仿宋" w:hint="eastAsia"/>
            </w:rPr>
            <w:t xml:space="preserve">   </w:t>
          </w:r>
          <w:r>
            <w:rPr>
              <w:rFonts w:hint="eastAsia"/>
              <w:b/>
              <w:bCs/>
              <w:sz w:val="36"/>
              <w:szCs w:val="36"/>
            </w:rPr>
            <w:t>盖州市政府投资项目咨询与评审选聘中介机构</w:t>
          </w:r>
        </w:p>
        <w:p w:rsidR="00244CEA" w:rsidRDefault="00695BFB" w:rsidP="00244CEA">
          <w:pPr>
            <w:ind w:firstLineChars="200" w:firstLine="883"/>
            <w:jc w:val="center"/>
            <w:textAlignment w:val="baseline"/>
            <w:rPr>
              <w:b/>
              <w:bCs/>
              <w:sz w:val="44"/>
              <w:szCs w:val="44"/>
            </w:rPr>
          </w:pPr>
        </w:p>
        <w:p w:rsidR="00244CEA" w:rsidRDefault="00695BFB" w:rsidP="00244CEA">
          <w:pPr>
            <w:ind w:firstLineChars="200" w:firstLine="482"/>
            <w:textAlignment w:val="baseline"/>
          </w:pPr>
          <w:r>
            <w:rPr>
              <w:rFonts w:hint="eastAsia"/>
              <w:b/>
              <w:bCs/>
            </w:rPr>
            <w:t>一、项目名称</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盖州市政府投资项目咨询与评审选聘中介机构。</w:t>
          </w:r>
          <w:r>
            <w:rPr>
              <w:rFonts w:hint="eastAsia"/>
            </w:rPr>
            <w:t xml:space="preserve"> </w:t>
          </w:r>
        </w:p>
        <w:p w:rsidR="00244CEA" w:rsidRDefault="00695BFB" w:rsidP="00244CEA">
          <w:pPr>
            <w:ind w:firstLineChars="200" w:firstLine="482"/>
            <w:textAlignment w:val="baseline"/>
          </w:pPr>
          <w:r>
            <w:rPr>
              <w:rFonts w:hint="eastAsia"/>
              <w:b/>
              <w:bCs/>
            </w:rPr>
            <w:t>二、项目地点</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盖州市。</w:t>
          </w:r>
          <w:r>
            <w:rPr>
              <w:rFonts w:hint="eastAsia"/>
            </w:rPr>
            <w:t xml:space="preserve"> </w:t>
          </w:r>
        </w:p>
        <w:p w:rsidR="00244CEA" w:rsidRDefault="00695BFB" w:rsidP="00244CEA">
          <w:pPr>
            <w:ind w:firstLineChars="200" w:firstLine="482"/>
            <w:textAlignment w:val="baseline"/>
          </w:pPr>
          <w:r>
            <w:rPr>
              <w:rFonts w:hint="eastAsia"/>
              <w:b/>
              <w:bCs/>
            </w:rPr>
            <w:t>三、服务期限</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三年，自签订合同之日起。</w:t>
          </w:r>
          <w:r>
            <w:rPr>
              <w:rFonts w:hint="eastAsia"/>
            </w:rPr>
            <w:t xml:space="preserve"> </w:t>
          </w:r>
        </w:p>
        <w:p w:rsidR="00244CEA" w:rsidRDefault="00695BFB" w:rsidP="00244CEA">
          <w:pPr>
            <w:ind w:firstLineChars="200" w:firstLine="482"/>
            <w:textAlignment w:val="baseline"/>
          </w:pPr>
          <w:r>
            <w:rPr>
              <w:rFonts w:hint="eastAsia"/>
              <w:b/>
              <w:bCs/>
            </w:rPr>
            <w:t>四、付款条件</w:t>
          </w:r>
          <w:r>
            <w:rPr>
              <w:rFonts w:hint="eastAsia"/>
              <w:b/>
              <w:bCs/>
            </w:rPr>
            <w:t xml:space="preserve"> </w:t>
          </w:r>
          <w:r>
            <w:rPr>
              <w:rFonts w:hint="eastAsia"/>
            </w:rPr>
            <w:t xml:space="preserve"> </w:t>
          </w:r>
        </w:p>
        <w:p w:rsidR="00244CEA" w:rsidRDefault="00695BFB" w:rsidP="00244CEA">
          <w:pPr>
            <w:ind w:firstLineChars="200" w:firstLine="480"/>
            <w:textAlignment w:val="baseline"/>
          </w:pPr>
          <w:r>
            <w:rPr>
              <w:rFonts w:hint="eastAsia"/>
            </w:rPr>
            <w:t>提供咨询成果文件并经委托方验收合格后三十日内付款。</w:t>
          </w:r>
          <w:r>
            <w:rPr>
              <w:rFonts w:hint="eastAsia"/>
            </w:rPr>
            <w:t xml:space="preserve"> </w:t>
          </w:r>
        </w:p>
        <w:p w:rsidR="00244CEA" w:rsidRDefault="00695BFB" w:rsidP="00244CEA">
          <w:pPr>
            <w:ind w:firstLineChars="200" w:firstLine="482"/>
            <w:textAlignment w:val="baseline"/>
          </w:pPr>
          <w:r>
            <w:rPr>
              <w:rFonts w:hint="eastAsia"/>
              <w:b/>
              <w:bCs/>
            </w:rPr>
            <w:t>五、服务需求</w:t>
          </w:r>
          <w:r>
            <w:rPr>
              <w:rFonts w:hint="eastAsia"/>
            </w:rPr>
            <w:t xml:space="preserve">  </w:t>
          </w:r>
        </w:p>
        <w:p w:rsidR="00244CEA" w:rsidRDefault="00695BFB" w:rsidP="00244CEA">
          <w:pPr>
            <w:ind w:firstLineChars="200" w:firstLine="480"/>
            <w:textAlignment w:val="baseline"/>
          </w:pPr>
          <w:r>
            <w:rPr>
              <w:rFonts w:hint="eastAsia"/>
            </w:rPr>
            <w:t>1.</w:t>
          </w:r>
          <w:r>
            <w:rPr>
              <w:rFonts w:hint="eastAsia"/>
            </w:rPr>
            <w:t>工程项目管理程序咨询和评审。为工</w:t>
          </w:r>
          <w:r>
            <w:rPr>
              <w:rFonts w:hint="eastAsia"/>
            </w:rPr>
            <w:t>程项目建设的合法性、合理性和效益性提供咨询和评审。</w:t>
          </w:r>
        </w:p>
        <w:p w:rsidR="00244CEA" w:rsidRDefault="00695BFB" w:rsidP="00244CEA">
          <w:pPr>
            <w:ind w:firstLineChars="200" w:firstLine="480"/>
            <w:textAlignment w:val="baseline"/>
          </w:pPr>
          <w:r>
            <w:rPr>
              <w:rFonts w:hint="eastAsia"/>
            </w:rPr>
            <w:t>2.</w:t>
          </w:r>
          <w:r>
            <w:rPr>
              <w:rFonts w:hint="eastAsia"/>
            </w:rPr>
            <w:t>工程预结算以及招标控制</w:t>
          </w:r>
          <w:proofErr w:type="gramStart"/>
          <w:r>
            <w:rPr>
              <w:rFonts w:hint="eastAsia"/>
            </w:rPr>
            <w:t>价咨询</w:t>
          </w:r>
          <w:proofErr w:type="gramEnd"/>
          <w:r>
            <w:rPr>
              <w:rFonts w:hint="eastAsia"/>
            </w:rPr>
            <w:t>和评审。为投资项目预算的确定提供参考依据，评审项目预结算或招标控制价中工程量、计价以及各项取费标准，合理地确定工程预结算或招标控制价；评审项目招标标底及建筑安装承包工程造价的合理性。</w:t>
          </w:r>
        </w:p>
        <w:p w:rsidR="00244CEA" w:rsidRDefault="00695BFB" w:rsidP="00244CEA">
          <w:pPr>
            <w:ind w:firstLineChars="200" w:firstLine="480"/>
            <w:textAlignment w:val="baseline"/>
          </w:pPr>
          <w:r>
            <w:rPr>
              <w:rFonts w:hint="eastAsia"/>
            </w:rPr>
            <w:t>3.</w:t>
          </w:r>
          <w:r>
            <w:rPr>
              <w:rFonts w:hint="eastAsia"/>
            </w:rPr>
            <w:t>项目全过程造价咨询。为建设项目提供从投</w:t>
          </w:r>
          <w:proofErr w:type="gramStart"/>
          <w:r>
            <w:rPr>
              <w:rFonts w:hint="eastAsia"/>
            </w:rPr>
            <w:t>咨</w:t>
          </w:r>
          <w:proofErr w:type="gramEnd"/>
          <w:r>
            <w:rPr>
              <w:rFonts w:hint="eastAsia"/>
            </w:rPr>
            <w:t>估算、设计概算、项目建设过程中造价有关政策依据、价格信息及变更签证、合同签订中计价条款及实施的合理合法性提供依据，主要包括投资立项管理、勘察设计管理、招投标及合同管理、施工管理、竣工验收结（决）</w:t>
          </w:r>
          <w:proofErr w:type="gramStart"/>
          <w:r>
            <w:rPr>
              <w:rFonts w:hint="eastAsia"/>
            </w:rPr>
            <w:t>算及后评价</w:t>
          </w:r>
          <w:proofErr w:type="gramEnd"/>
          <w:r>
            <w:rPr>
              <w:rFonts w:hint="eastAsia"/>
            </w:rPr>
            <w:t>阶段的管理咨询。</w:t>
          </w:r>
        </w:p>
        <w:p w:rsidR="00244CEA" w:rsidRDefault="00695BFB" w:rsidP="00244CEA">
          <w:pPr>
            <w:ind w:firstLineChars="200" w:firstLine="480"/>
            <w:textAlignment w:val="baseline"/>
          </w:pPr>
          <w:r>
            <w:rPr>
              <w:rFonts w:hint="eastAsia"/>
            </w:rPr>
            <w:t>4.</w:t>
          </w:r>
          <w:r>
            <w:rPr>
              <w:rFonts w:hint="eastAsia"/>
            </w:rPr>
            <w:t>项目财务管理与财务决算咨询和评审。为项目建设资金来源是否合</w:t>
          </w:r>
          <w:proofErr w:type="gramStart"/>
          <w:r>
            <w:rPr>
              <w:rFonts w:hint="eastAsia"/>
            </w:rPr>
            <w:t>规</w:t>
          </w:r>
          <w:proofErr w:type="gramEnd"/>
          <w:r>
            <w:rPr>
              <w:rFonts w:hint="eastAsia"/>
            </w:rPr>
            <w:t>、各项资金的到位情况、建设成本是否合</w:t>
          </w:r>
          <w:proofErr w:type="gramStart"/>
          <w:r>
            <w:rPr>
              <w:rFonts w:hint="eastAsia"/>
            </w:rPr>
            <w:t>规</w:t>
          </w:r>
          <w:proofErr w:type="gramEnd"/>
          <w:r>
            <w:rPr>
              <w:rFonts w:hint="eastAsia"/>
            </w:rPr>
            <w:t>、建设单位建立健全建设资金管理制度，及建设资金的拨付、支出是否经过审批等程序，经过审批、财务决算报表编制合</w:t>
          </w:r>
          <w:proofErr w:type="gramStart"/>
          <w:r>
            <w:rPr>
              <w:rFonts w:hint="eastAsia"/>
            </w:rPr>
            <w:t>规</w:t>
          </w:r>
          <w:proofErr w:type="gramEnd"/>
          <w:r>
            <w:rPr>
              <w:rFonts w:hint="eastAsia"/>
            </w:rPr>
            <w:t>性提供咨询或评审。</w:t>
          </w:r>
        </w:p>
        <w:p w:rsidR="00244CEA" w:rsidRDefault="00695BFB" w:rsidP="00244CEA">
          <w:pPr>
            <w:ind w:firstLineChars="200" w:firstLine="480"/>
            <w:textAlignment w:val="baseline"/>
          </w:pPr>
          <w:r>
            <w:rPr>
              <w:rFonts w:hint="eastAsia"/>
            </w:rPr>
            <w:t>5.</w:t>
          </w:r>
          <w:r>
            <w:rPr>
              <w:rFonts w:hint="eastAsia"/>
            </w:rPr>
            <w:t>要求造价咨询机构出具书面咨询意见书或咨询（评审）报告，报告内容、格式符合国家相关规定，接受委托方监督。</w:t>
          </w:r>
        </w:p>
        <w:p w:rsidR="0050268E" w:rsidRDefault="00695BFB"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802909" w:rsidRPr="00F547BB" w:rsidRDefault="00695BFB"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sz w:val="21"/>
                        <w:szCs w:val="21"/>
                      </w:rPr>
                    </w:pPr>
                    <w:r>
                      <w:rPr>
                        <w:rFonts w:ascii="仿宋" w:hAnsi="仿宋" w:hint="eastAsia"/>
                        <w:sz w:val="21"/>
                        <w:szCs w:val="21"/>
                      </w:rPr>
                      <w:t>全部</w:t>
                    </w:r>
                  </w:p>
                </w:tc>
              </w:sdtContent>
            </w:sdt>
          </w:tr>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802909" w:rsidRPr="00244CEA" w:rsidRDefault="00695BFB" w:rsidP="00244CEA">
                <w:pPr>
                  <w:rPr>
                    <w:rFonts w:ascii="仿宋" w:hAnsi="仿宋"/>
                    <w:szCs w:val="21"/>
                  </w:rPr>
                </w:pPr>
                <w:r w:rsidRPr="00244CEA">
                  <w:rPr>
                    <w:rFonts w:ascii="仿宋" w:hAnsi="仿宋" w:hint="eastAsia"/>
                    <w:szCs w:val="21"/>
                  </w:rPr>
                  <w:t>1</w:t>
                </w:r>
                <w:r w:rsidRPr="00244CEA">
                  <w:rPr>
                    <w:rFonts w:ascii="仿宋" w:hAnsi="仿宋" w:hint="eastAsia"/>
                    <w:szCs w:val="21"/>
                  </w:rPr>
                  <w:t>、项目管理程序咨询和审计报价按项目投资额的</w:t>
                </w:r>
                <w:r w:rsidRPr="00244CEA">
                  <w:rPr>
                    <w:rFonts w:ascii="仿宋" w:hAnsi="仿宋" w:hint="eastAsia"/>
                    <w:szCs w:val="21"/>
                  </w:rPr>
                  <w:t>1</w:t>
                </w:r>
                <w:r w:rsidRPr="00244CEA">
                  <w:rPr>
                    <w:rFonts w:ascii="仿宋" w:hAnsi="仿宋" w:hint="eastAsia"/>
                    <w:szCs w:val="21"/>
                  </w:rPr>
                  <w:t>％计算；</w:t>
                </w:r>
              </w:p>
              <w:p w:rsidR="00802909" w:rsidRPr="00244CEA" w:rsidRDefault="00695BFB" w:rsidP="00244CEA">
                <w:pPr>
                  <w:rPr>
                    <w:rFonts w:ascii="仿宋" w:hAnsi="仿宋"/>
                    <w:szCs w:val="21"/>
                  </w:rPr>
                </w:pPr>
                <w:r w:rsidRPr="00244CEA">
                  <w:rPr>
                    <w:rFonts w:ascii="仿宋" w:hAnsi="仿宋" w:hint="eastAsia"/>
                    <w:szCs w:val="21"/>
                  </w:rPr>
                  <w:t>2</w:t>
                </w:r>
                <w:r w:rsidRPr="00244CEA">
                  <w:rPr>
                    <w:rFonts w:ascii="仿宋" w:hAnsi="仿宋" w:hint="eastAsia"/>
                    <w:szCs w:val="21"/>
                  </w:rPr>
                  <w:t>、工程预结算（招标控制价）审计、全过程造价咨询参照《辽宁省工程造价咨询企业服务收费管理办法》辽价发</w:t>
                </w:r>
                <w:r w:rsidRPr="00244CEA">
                  <w:rPr>
                    <w:rFonts w:ascii="仿宋" w:hAnsi="仿宋" w:hint="eastAsia"/>
                    <w:szCs w:val="21"/>
                  </w:rPr>
                  <w:t>[2013]005</w:t>
                </w:r>
                <w:r w:rsidRPr="00244CEA">
                  <w:rPr>
                    <w:rFonts w:ascii="仿宋" w:hAnsi="仿宋" w:hint="eastAsia"/>
                    <w:szCs w:val="21"/>
                  </w:rPr>
                  <w:t>号文件；</w:t>
                </w:r>
              </w:p>
              <w:p w:rsidR="00802909" w:rsidRPr="00244CEA" w:rsidRDefault="00695BFB" w:rsidP="00244CEA">
                <w:pPr>
                  <w:rPr>
                    <w:rFonts w:ascii="仿宋" w:hAnsi="仿宋"/>
                    <w:szCs w:val="21"/>
                  </w:rPr>
                </w:pPr>
                <w:r w:rsidRPr="00244CEA">
                  <w:rPr>
                    <w:rFonts w:ascii="仿宋" w:hAnsi="仿宋" w:hint="eastAsia"/>
                    <w:szCs w:val="21"/>
                  </w:rPr>
                  <w:t>3</w:t>
                </w:r>
                <w:r w:rsidRPr="00244CEA">
                  <w:rPr>
                    <w:rFonts w:ascii="仿宋" w:hAnsi="仿宋" w:hint="eastAsia"/>
                    <w:szCs w:val="21"/>
                  </w:rPr>
                  <w:t>、财务管理与财务决算咨询和审计参照《辽宁省会计师事务所服务收费标准》辽价发</w:t>
                </w:r>
                <w:r w:rsidRPr="00244CEA">
                  <w:rPr>
                    <w:rFonts w:ascii="仿宋" w:hAnsi="仿宋" w:hint="eastAsia"/>
                    <w:szCs w:val="21"/>
                  </w:rPr>
                  <w:t>[2011]113</w:t>
                </w:r>
                <w:r w:rsidRPr="00244CEA">
                  <w:rPr>
                    <w:rFonts w:ascii="仿宋" w:hAnsi="仿宋" w:hint="eastAsia"/>
                    <w:szCs w:val="21"/>
                  </w:rPr>
                  <w:t>号文件。</w:t>
                </w:r>
              </w:p>
              <w:p w:rsidR="00802909" w:rsidRPr="00244CEA" w:rsidRDefault="00695BFB" w:rsidP="00244CEA">
                <w:pPr>
                  <w:rPr>
                    <w:rFonts w:ascii="仿宋" w:hAnsi="仿宋"/>
                    <w:szCs w:val="21"/>
                  </w:rPr>
                </w:pPr>
                <w:r w:rsidRPr="00244CEA">
                  <w:rPr>
                    <w:rFonts w:ascii="仿宋" w:hAnsi="仿宋" w:hint="eastAsia"/>
                    <w:szCs w:val="21"/>
                  </w:rPr>
                  <w:t>在上述基础上综合报价费率的折扣率不得超过</w:t>
                </w:r>
                <w:r w:rsidRPr="00244CEA">
                  <w:rPr>
                    <w:rFonts w:ascii="仿宋" w:hAnsi="仿宋" w:hint="eastAsia"/>
                    <w:szCs w:val="21"/>
                  </w:rPr>
                  <w:t>7</w:t>
                </w:r>
                <w:r w:rsidRPr="00244CEA">
                  <w:rPr>
                    <w:rFonts w:ascii="仿宋" w:hAnsi="仿宋" w:hint="eastAsia"/>
                    <w:szCs w:val="21"/>
                  </w:rPr>
                  <w:t>‰，综合报价费率超过</w:t>
                </w:r>
                <w:r w:rsidRPr="00244CEA">
                  <w:rPr>
                    <w:rFonts w:ascii="仿宋" w:hAnsi="仿宋" w:hint="eastAsia"/>
                    <w:szCs w:val="21"/>
                  </w:rPr>
                  <w:t>7</w:t>
                </w:r>
                <w:r w:rsidRPr="00244CEA">
                  <w:rPr>
                    <w:rFonts w:ascii="仿宋" w:hAnsi="仿宋" w:hint="eastAsia"/>
                    <w:szCs w:val="21"/>
                  </w:rPr>
                  <w:t>‰的</w:t>
                </w:r>
                <w:proofErr w:type="gramStart"/>
                <w:r w:rsidRPr="00244CEA">
                  <w:rPr>
                    <w:rFonts w:ascii="仿宋" w:hAnsi="仿宋" w:hint="eastAsia"/>
                    <w:szCs w:val="21"/>
                  </w:rPr>
                  <w:t>按废标处理</w:t>
                </w:r>
                <w:proofErr w:type="gramEnd"/>
                <w:r w:rsidRPr="00244CEA">
                  <w:rPr>
                    <w:rFonts w:ascii="仿宋" w:hAnsi="仿宋" w:hint="eastAsia"/>
                    <w:szCs w:val="21"/>
                  </w:rPr>
                  <w:t>，以最低投标折扣率为评标基准价。</w:t>
                </w:r>
              </w:p>
              <w:p w:rsidR="00802909" w:rsidRPr="00244CEA" w:rsidRDefault="00695BFB" w:rsidP="00244CEA">
                <w:pPr>
                  <w:rPr>
                    <w:rFonts w:ascii="仿宋" w:hAnsi="仿宋"/>
                    <w:szCs w:val="21"/>
                  </w:rPr>
                </w:pPr>
                <w:r w:rsidRPr="00244CEA">
                  <w:rPr>
                    <w:rFonts w:ascii="仿宋" w:hAnsi="仿宋" w:hint="eastAsia"/>
                    <w:szCs w:val="21"/>
                  </w:rPr>
                  <w:t>注：投标报价得分采用低价折扣率优先法计算，即满足招标文件要求且投标价格最低的投标报价为评标基准价，其价格得分为满分。其他投标人的价格得分统一按照下列公式计算：</w:t>
                </w:r>
              </w:p>
              <w:p w:rsidR="00802909" w:rsidRDefault="00695BFB" w:rsidP="00244CEA">
                <w:pPr>
                  <w:rPr>
                    <w:rFonts w:ascii="仿宋" w:hAnsi="仿宋" w:cs="宋体"/>
                    <w:color w:val="000000"/>
                    <w:kern w:val="0"/>
                    <w:szCs w:val="21"/>
                  </w:rPr>
                </w:pPr>
                <w:r w:rsidRPr="00244CEA">
                  <w:rPr>
                    <w:rFonts w:ascii="仿宋" w:hAnsi="仿宋" w:hint="eastAsia"/>
                    <w:szCs w:val="21"/>
                  </w:rPr>
                  <w:t>投标报价得分</w:t>
                </w:r>
                <w:r w:rsidRPr="00244CEA">
                  <w:rPr>
                    <w:rFonts w:ascii="仿宋" w:hAnsi="仿宋" w:hint="eastAsia"/>
                    <w:szCs w:val="21"/>
                  </w:rPr>
                  <w:t>=</w:t>
                </w:r>
                <w:r w:rsidRPr="00244CEA">
                  <w:rPr>
                    <w:rFonts w:ascii="仿宋" w:hAnsi="仿宋" w:hint="eastAsia"/>
                    <w:szCs w:val="21"/>
                  </w:rPr>
                  <w:t>（评标基准价</w:t>
                </w:r>
                <w:r w:rsidRPr="00244CEA">
                  <w:rPr>
                    <w:rFonts w:ascii="仿宋" w:hAnsi="仿宋" w:hint="eastAsia"/>
                    <w:szCs w:val="21"/>
                  </w:rPr>
                  <w:t>/</w:t>
                </w:r>
                <w:r w:rsidRPr="00244CEA">
                  <w:rPr>
                    <w:rFonts w:ascii="仿宋" w:hAnsi="仿宋" w:hint="eastAsia"/>
                    <w:szCs w:val="21"/>
                  </w:rPr>
                  <w:t>投标报价）×</w:t>
                </w:r>
                <w:r w:rsidRPr="00244CEA">
                  <w:rPr>
                    <w:rFonts w:ascii="仿宋" w:hAnsi="仿宋" w:hint="eastAsia"/>
                    <w:szCs w:val="21"/>
                  </w:rPr>
                  <w:t>100</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vMerge w:val="restart"/>
                <w:tcBorders>
                  <w:top w:val="single" w:sz="4" w:space="0" w:color="auto"/>
                  <w:left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sidRPr="00244CEA">
                  <w:rPr>
                    <w:rFonts w:ascii="仿宋" w:hAnsi="仿宋" w:cs="宋体" w:hint="eastAsia"/>
                    <w:color w:val="000000"/>
                    <w:kern w:val="0"/>
                    <w:szCs w:val="21"/>
                  </w:rPr>
                  <w:t>审计服务方案：服务方案齐全、严谨、可操作性全面、内容完整、方法合理、具有针对性、工作流程清晰，最高得</w:t>
                </w:r>
                <w:r w:rsidRPr="00244CEA">
                  <w:rPr>
                    <w:rFonts w:ascii="仿宋" w:hAnsi="仿宋" w:cs="宋体" w:hint="eastAsia"/>
                    <w:color w:val="000000"/>
                    <w:kern w:val="0"/>
                    <w:szCs w:val="21"/>
                  </w:rPr>
                  <w:t>20</w:t>
                </w:r>
                <w:r w:rsidRPr="00244CEA">
                  <w:rPr>
                    <w:rFonts w:ascii="仿宋" w:hAnsi="仿宋" w:cs="宋体" w:hint="eastAsia"/>
                    <w:color w:val="000000"/>
                    <w:kern w:val="0"/>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02909" w:rsidRDefault="00695BFB"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进度保障体系：工作进度计划措施得力，计划合理、服务进度、响应速度、工作效率合理，最高得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02909" w:rsidRDefault="00695BFB"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质量保障体系：服务质量保证体系完整、措施得力、保证措施具体、具有较强实施性的，最高得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802909" w:rsidRDefault="00695BFB"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后续服务承诺：承诺内容合理可行有针对性、能够提出专门的服务计划、承诺优先为采购人提供服务、设有专门服务的热线，最高得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76757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企业管理制度：业务管理制度、行政、财务、人事、档案、职业道德、企业文化等管理制度全面，最高得</w:t>
                </w:r>
                <w:r w:rsidRPr="00244CEA">
                  <w:rPr>
                    <w:rFonts w:ascii="仿宋" w:hAnsi="仿宋" w:hint="eastAsia"/>
                    <w:szCs w:val="21"/>
                  </w:rPr>
                  <w:t>5</w:t>
                </w:r>
                <w:r w:rsidRPr="00244CEA">
                  <w:rPr>
                    <w:rFonts w:ascii="仿宋" w:hAnsi="仿宋" w:hint="eastAsia"/>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项目业绩</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1</w:t>
                </w:r>
                <w:r w:rsidRPr="00244CEA">
                  <w:rPr>
                    <w:rFonts w:ascii="仿宋" w:hAnsi="仿宋" w:cs="宋体" w:hint="eastAsia"/>
                    <w:color w:val="000000"/>
                    <w:kern w:val="0"/>
                    <w:szCs w:val="21"/>
                  </w:rPr>
                  <w:t>、政府投资和国有投资项目竣工决算审计（包括项目管理程序全过程的审计），每</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8</w:t>
                </w:r>
                <w:r w:rsidRPr="00244CEA">
                  <w:rPr>
                    <w:rFonts w:ascii="仿宋" w:hAnsi="仿宋" w:cs="宋体" w:hint="eastAsia"/>
                    <w:color w:val="000000"/>
                    <w:kern w:val="0"/>
                    <w:szCs w:val="21"/>
                  </w:rPr>
                  <w:t>分。</w:t>
                </w:r>
              </w:p>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2</w:t>
                </w:r>
                <w:r w:rsidRPr="00244CEA">
                  <w:rPr>
                    <w:rFonts w:ascii="仿宋" w:hAnsi="仿宋" w:cs="宋体" w:hint="eastAsia"/>
                    <w:color w:val="000000"/>
                    <w:kern w:val="0"/>
                    <w:szCs w:val="21"/>
                  </w:rPr>
                  <w:t>、政府投资、国有投资工程概、预、结算审计项目，每</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8</w:t>
                </w:r>
                <w:r w:rsidRPr="00244CEA">
                  <w:rPr>
                    <w:rFonts w:ascii="仿宋" w:hAnsi="仿宋" w:cs="宋体" w:hint="eastAsia"/>
                    <w:color w:val="000000"/>
                    <w:kern w:val="0"/>
                    <w:szCs w:val="21"/>
                  </w:rPr>
                  <w:t>分。</w:t>
                </w:r>
              </w:p>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3</w:t>
                </w:r>
                <w:r w:rsidRPr="00244CEA">
                  <w:rPr>
                    <w:rFonts w:ascii="仿宋" w:hAnsi="仿宋" w:cs="宋体" w:hint="eastAsia"/>
                    <w:color w:val="000000"/>
                    <w:kern w:val="0"/>
                    <w:szCs w:val="21"/>
                  </w:rPr>
                  <w:t>、政府投资、</w:t>
                </w:r>
                <w:proofErr w:type="gramStart"/>
                <w:r w:rsidRPr="00244CEA">
                  <w:rPr>
                    <w:rFonts w:ascii="仿宋" w:hAnsi="仿宋" w:cs="宋体" w:hint="eastAsia"/>
                    <w:color w:val="000000"/>
                    <w:kern w:val="0"/>
                    <w:szCs w:val="21"/>
                  </w:rPr>
                  <w:t>囯</w:t>
                </w:r>
                <w:proofErr w:type="gramEnd"/>
                <w:r w:rsidRPr="00244CEA">
                  <w:rPr>
                    <w:rFonts w:ascii="仿宋" w:hAnsi="仿宋" w:cs="宋体" w:hint="eastAsia"/>
                    <w:color w:val="000000"/>
                    <w:kern w:val="0"/>
                    <w:szCs w:val="21"/>
                  </w:rPr>
                  <w:t>有</w:t>
                </w:r>
                <w:proofErr w:type="gramStart"/>
                <w:r w:rsidRPr="00244CEA">
                  <w:rPr>
                    <w:rFonts w:ascii="仿宋" w:hAnsi="仿宋" w:cs="宋体" w:hint="eastAsia"/>
                    <w:color w:val="000000"/>
                    <w:kern w:val="0"/>
                    <w:szCs w:val="21"/>
                  </w:rPr>
                  <w:t>投资全</w:t>
                </w:r>
                <w:proofErr w:type="gramEnd"/>
                <w:r w:rsidRPr="00244CEA">
                  <w:rPr>
                    <w:rFonts w:ascii="仿宋" w:hAnsi="仿宋" w:cs="宋体" w:hint="eastAsia"/>
                    <w:color w:val="000000"/>
                    <w:kern w:val="0"/>
                    <w:szCs w:val="21"/>
                  </w:rPr>
                  <w:t>过程造价咨询项目，每</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4</w:t>
                </w:r>
                <w:r w:rsidRPr="00244CEA">
                  <w:rPr>
                    <w:rFonts w:ascii="仿宋" w:hAnsi="仿宋" w:cs="宋体" w:hint="eastAsia"/>
                    <w:color w:val="000000"/>
                    <w:kern w:val="0"/>
                    <w:szCs w:val="21"/>
                  </w:rPr>
                  <w:t>分。</w:t>
                </w:r>
              </w:p>
              <w:p w:rsidR="00802909" w:rsidRDefault="00695BFB" w:rsidP="00244CEA">
                <w:pPr>
                  <w:rPr>
                    <w:rFonts w:ascii="仿宋" w:hAnsi="仿宋" w:cs="宋体"/>
                    <w:color w:val="000000"/>
                    <w:kern w:val="0"/>
                    <w:szCs w:val="21"/>
                  </w:rPr>
                </w:pPr>
                <w:r w:rsidRPr="00244CEA">
                  <w:rPr>
                    <w:rFonts w:ascii="仿宋" w:hAnsi="仿宋" w:cs="宋体" w:hint="eastAsia"/>
                    <w:color w:val="000000"/>
                    <w:kern w:val="0"/>
                    <w:szCs w:val="21"/>
                  </w:rPr>
                  <w:t>注：以上得分不兼得，企业业绩以合同为准。</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20</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695BFB" w:rsidP="00244CEA">
                <w:pPr>
                  <w:rPr>
                    <w:rFonts w:ascii="仿宋" w:hAnsi="仿宋"/>
                    <w:szCs w:val="21"/>
                  </w:rPr>
                </w:pPr>
                <w:r>
                  <w:rPr>
                    <w:rFonts w:ascii="仿宋" w:hAnsi="仿宋" w:hint="eastAsia"/>
                    <w:szCs w:val="21"/>
                  </w:rPr>
                  <w:t>项目负责</w:t>
                </w:r>
                <w:r w:rsidRPr="00244CEA">
                  <w:rPr>
                    <w:rFonts w:ascii="仿宋" w:hAnsi="仿宋" w:hint="eastAsia"/>
                    <w:szCs w:val="21"/>
                  </w:rPr>
                  <w:t>人资历</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项目负责人具有注册一级造价工程师、注册监理工程师、注册一级建造师执业资格，高级工程师技术职称，每项得</w:t>
                </w:r>
                <w:r w:rsidRPr="00244CEA">
                  <w:rPr>
                    <w:rFonts w:ascii="仿宋" w:hAnsi="仿宋" w:cs="宋体" w:hint="eastAsia"/>
                    <w:color w:val="000000"/>
                    <w:kern w:val="0"/>
                    <w:szCs w:val="21"/>
                  </w:rPr>
                  <w:t>2</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8</w:t>
                </w:r>
                <w:r w:rsidRPr="00244CEA">
                  <w:rPr>
                    <w:rFonts w:ascii="仿宋" w:hAnsi="仿宋" w:cs="宋体" w:hint="eastAsia"/>
                    <w:color w:val="000000"/>
                    <w:kern w:val="0"/>
                    <w:szCs w:val="21"/>
                  </w:rPr>
                  <w:t>分。</w:t>
                </w:r>
              </w:p>
              <w:p w:rsidR="00802909" w:rsidRDefault="00695BFB" w:rsidP="00244CEA">
                <w:pPr>
                  <w:rPr>
                    <w:rFonts w:ascii="仿宋" w:hAnsi="仿宋" w:cs="宋体"/>
                    <w:color w:val="000000"/>
                    <w:kern w:val="0"/>
                    <w:szCs w:val="21"/>
                  </w:rPr>
                </w:pPr>
                <w:r w:rsidRPr="00244CEA">
                  <w:rPr>
                    <w:rFonts w:ascii="仿宋" w:hAnsi="仿宋" w:cs="宋体" w:hint="eastAsia"/>
                    <w:color w:val="000000"/>
                    <w:kern w:val="0"/>
                    <w:szCs w:val="21"/>
                  </w:rPr>
                  <w:t>注：上述人员以注册证为准，并提交在本单位的</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为本项目服务的其他人员资历</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1</w:t>
                </w:r>
                <w:r w:rsidRPr="00244CEA">
                  <w:rPr>
                    <w:rFonts w:ascii="仿宋" w:hAnsi="仿宋" w:cs="宋体" w:hint="eastAsia"/>
                    <w:color w:val="000000"/>
                    <w:kern w:val="0"/>
                    <w:szCs w:val="21"/>
                  </w:rPr>
                  <w:t>、为本项目配备工程类专业人员</w:t>
                </w:r>
                <w:r w:rsidRPr="00244CEA">
                  <w:rPr>
                    <w:rFonts w:ascii="仿宋" w:hAnsi="仿宋" w:cs="宋体" w:hint="eastAsia"/>
                    <w:color w:val="000000"/>
                    <w:kern w:val="0"/>
                    <w:szCs w:val="21"/>
                  </w:rPr>
                  <w:t>10</w:t>
                </w:r>
                <w:r w:rsidRPr="00244CEA">
                  <w:rPr>
                    <w:rFonts w:ascii="仿宋" w:hAnsi="仿宋" w:cs="宋体" w:hint="eastAsia"/>
                    <w:color w:val="000000"/>
                    <w:kern w:val="0"/>
                    <w:szCs w:val="21"/>
                  </w:rPr>
                  <w:t>人以上的，每增加</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人，得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5</w:t>
                </w:r>
                <w:r w:rsidRPr="00244CEA">
                  <w:rPr>
                    <w:rFonts w:ascii="仿宋" w:hAnsi="仿宋" w:cs="宋体" w:hint="eastAsia"/>
                    <w:color w:val="000000"/>
                    <w:kern w:val="0"/>
                    <w:szCs w:val="21"/>
                  </w:rPr>
                  <w:t>分。（提供聘用合同、</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2</w:t>
                </w:r>
                <w:r w:rsidRPr="00244CEA">
                  <w:rPr>
                    <w:rFonts w:ascii="仿宋" w:hAnsi="仿宋" w:cs="宋体" w:hint="eastAsia"/>
                    <w:color w:val="000000"/>
                    <w:kern w:val="0"/>
                    <w:szCs w:val="21"/>
                  </w:rPr>
                  <w:t>、注册一级</w:t>
                </w:r>
                <w:proofErr w:type="gramStart"/>
                <w:r w:rsidRPr="00244CEA">
                  <w:rPr>
                    <w:rFonts w:ascii="仿宋" w:hAnsi="仿宋" w:cs="宋体" w:hint="eastAsia"/>
                    <w:color w:val="000000"/>
                    <w:kern w:val="0"/>
                    <w:szCs w:val="21"/>
                  </w:rPr>
                  <w:t>造价师</w:t>
                </w:r>
                <w:proofErr w:type="gramEnd"/>
                <w:r w:rsidRPr="00244CEA">
                  <w:rPr>
                    <w:rFonts w:ascii="仿宋" w:hAnsi="仿宋" w:cs="宋体" w:hint="eastAsia"/>
                    <w:color w:val="000000"/>
                    <w:kern w:val="0"/>
                    <w:szCs w:val="21"/>
                  </w:rPr>
                  <w:t>不少于</w:t>
                </w:r>
                <w:r w:rsidRPr="00244CEA">
                  <w:rPr>
                    <w:rFonts w:ascii="仿宋" w:hAnsi="仿宋" w:cs="宋体" w:hint="eastAsia"/>
                    <w:color w:val="000000"/>
                    <w:kern w:val="0"/>
                    <w:szCs w:val="21"/>
                  </w:rPr>
                  <w:t>5</w:t>
                </w:r>
                <w:r w:rsidRPr="00244CEA">
                  <w:rPr>
                    <w:rFonts w:ascii="仿宋" w:hAnsi="仿宋" w:cs="宋体" w:hint="eastAsia"/>
                    <w:color w:val="000000"/>
                    <w:kern w:val="0"/>
                    <w:szCs w:val="21"/>
                  </w:rPr>
                  <w:t>名的得</w:t>
                </w:r>
                <w:r w:rsidRPr="00244CEA">
                  <w:rPr>
                    <w:rFonts w:ascii="仿宋" w:hAnsi="仿宋" w:cs="宋体" w:hint="eastAsia"/>
                    <w:color w:val="000000"/>
                    <w:kern w:val="0"/>
                    <w:szCs w:val="21"/>
                  </w:rPr>
                  <w:t>3</w:t>
                </w:r>
                <w:r w:rsidRPr="00244CEA">
                  <w:rPr>
                    <w:rFonts w:ascii="仿宋" w:hAnsi="仿宋" w:cs="宋体" w:hint="eastAsia"/>
                    <w:color w:val="000000"/>
                    <w:kern w:val="0"/>
                    <w:szCs w:val="21"/>
                  </w:rPr>
                  <w:t>分，每增加</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人得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6</w:t>
                </w:r>
                <w:r w:rsidRPr="00244CEA">
                  <w:rPr>
                    <w:rFonts w:ascii="仿宋" w:hAnsi="仿宋" w:cs="宋体" w:hint="eastAsia"/>
                    <w:color w:val="000000"/>
                    <w:kern w:val="0"/>
                    <w:szCs w:val="21"/>
                  </w:rPr>
                  <w:t>分。（提供注册一级</w:t>
                </w:r>
                <w:proofErr w:type="gramStart"/>
                <w:r w:rsidRPr="00244CEA">
                  <w:rPr>
                    <w:rFonts w:ascii="仿宋" w:hAnsi="仿宋" w:cs="宋体" w:hint="eastAsia"/>
                    <w:color w:val="000000"/>
                    <w:kern w:val="0"/>
                    <w:szCs w:val="21"/>
                  </w:rPr>
                  <w:t>造价师</w:t>
                </w:r>
                <w:proofErr w:type="gramEnd"/>
                <w:r w:rsidRPr="00244CEA">
                  <w:rPr>
                    <w:rFonts w:ascii="仿宋" w:hAnsi="仿宋" w:cs="宋体" w:hint="eastAsia"/>
                    <w:color w:val="000000"/>
                    <w:kern w:val="0"/>
                    <w:szCs w:val="21"/>
                  </w:rPr>
                  <w:t>证书影印件为准，应提交在本单位的</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3</w:t>
                </w:r>
                <w:r w:rsidRPr="00244CEA">
                  <w:rPr>
                    <w:rFonts w:ascii="仿宋" w:hAnsi="仿宋" w:cs="宋体" w:hint="eastAsia"/>
                    <w:color w:val="000000"/>
                    <w:kern w:val="0"/>
                    <w:szCs w:val="21"/>
                  </w:rPr>
                  <w:t>、为本项目配备的会计师职称以上人员</w:t>
                </w:r>
                <w:r w:rsidRPr="00244CEA">
                  <w:rPr>
                    <w:rFonts w:ascii="仿宋" w:hAnsi="仿宋" w:cs="宋体" w:hint="eastAsia"/>
                    <w:color w:val="000000"/>
                    <w:kern w:val="0"/>
                    <w:szCs w:val="21"/>
                  </w:rPr>
                  <w:t>2</w:t>
                </w:r>
                <w:r w:rsidRPr="00244CEA">
                  <w:rPr>
                    <w:rFonts w:ascii="仿宋" w:hAnsi="仿宋" w:cs="宋体" w:hint="eastAsia"/>
                    <w:color w:val="000000"/>
                    <w:kern w:val="0"/>
                    <w:szCs w:val="21"/>
                  </w:rPr>
                  <w:t>人，其中财务审计负责人具有注册会计师、国际注册内部审计师执业资格和高级会计师职称，得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w:t>
                </w:r>
                <w:r w:rsidRPr="00244CEA">
                  <w:rPr>
                    <w:rFonts w:ascii="仿宋" w:hAnsi="仿宋" w:cs="宋体" w:hint="eastAsia"/>
                    <w:color w:val="000000"/>
                    <w:kern w:val="0"/>
                    <w:szCs w:val="21"/>
                  </w:rPr>
                  <w:t>/</w:t>
                </w:r>
                <w:r w:rsidRPr="00244CEA">
                  <w:rPr>
                    <w:rFonts w:ascii="仿宋" w:hAnsi="仿宋" w:cs="宋体" w:hint="eastAsia"/>
                    <w:color w:val="000000"/>
                    <w:kern w:val="0"/>
                    <w:szCs w:val="21"/>
                  </w:rPr>
                  <w:t>证，最多得</w:t>
                </w:r>
                <w:r w:rsidRPr="00244CEA">
                  <w:rPr>
                    <w:rFonts w:ascii="仿宋" w:hAnsi="仿宋" w:cs="宋体" w:hint="eastAsia"/>
                    <w:color w:val="000000"/>
                    <w:kern w:val="0"/>
                    <w:szCs w:val="21"/>
                  </w:rPr>
                  <w:t>3</w:t>
                </w:r>
                <w:r w:rsidRPr="00244CEA">
                  <w:rPr>
                    <w:rFonts w:ascii="仿宋" w:hAnsi="仿宋" w:cs="宋体" w:hint="eastAsia"/>
                    <w:color w:val="000000"/>
                    <w:kern w:val="0"/>
                    <w:szCs w:val="21"/>
                  </w:rPr>
                  <w:t>分。（提供聘用合同、</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Pr="00244CEA" w:rsidRDefault="00695BFB" w:rsidP="00244CEA">
                <w:pPr>
                  <w:rPr>
                    <w:rFonts w:ascii="仿宋" w:hAnsi="仿宋" w:cs="宋体"/>
                    <w:color w:val="000000"/>
                    <w:kern w:val="0"/>
                    <w:szCs w:val="21"/>
                  </w:rPr>
                </w:pPr>
                <w:r w:rsidRPr="00244CEA">
                  <w:rPr>
                    <w:rFonts w:ascii="仿宋" w:hAnsi="仿宋" w:cs="宋体" w:hint="eastAsia"/>
                    <w:color w:val="000000"/>
                    <w:kern w:val="0"/>
                    <w:szCs w:val="21"/>
                  </w:rPr>
                  <w:t>4</w:t>
                </w:r>
                <w:r w:rsidRPr="00244CEA">
                  <w:rPr>
                    <w:rFonts w:ascii="仿宋" w:hAnsi="仿宋" w:cs="宋体" w:hint="eastAsia"/>
                    <w:color w:val="000000"/>
                    <w:kern w:val="0"/>
                    <w:szCs w:val="21"/>
                  </w:rPr>
                  <w:t>、投标人具备中级以上职称人员在</w:t>
                </w:r>
                <w:r w:rsidRPr="00244CEA">
                  <w:rPr>
                    <w:rFonts w:ascii="仿宋" w:hAnsi="仿宋" w:cs="宋体" w:hint="eastAsia"/>
                    <w:color w:val="000000"/>
                    <w:kern w:val="0"/>
                    <w:szCs w:val="21"/>
                  </w:rPr>
                  <w:t xml:space="preserve"> 8 </w:t>
                </w:r>
                <w:r w:rsidRPr="00244CEA">
                  <w:rPr>
                    <w:rFonts w:ascii="仿宋" w:hAnsi="仿宋" w:cs="宋体" w:hint="eastAsia"/>
                    <w:color w:val="000000"/>
                    <w:kern w:val="0"/>
                    <w:szCs w:val="21"/>
                  </w:rPr>
                  <w:t>人基础上，每增加</w:t>
                </w:r>
                <w:r w:rsidRPr="00244CEA">
                  <w:rPr>
                    <w:rFonts w:ascii="仿宋" w:hAnsi="仿宋" w:cs="宋体" w:hint="eastAsia"/>
                    <w:color w:val="000000"/>
                    <w:kern w:val="0"/>
                    <w:szCs w:val="21"/>
                  </w:rPr>
                  <w:t xml:space="preserve"> 1 </w:t>
                </w:r>
                <w:r w:rsidRPr="00244CEA">
                  <w:rPr>
                    <w:rFonts w:ascii="仿宋" w:hAnsi="仿宋" w:cs="宋体" w:hint="eastAsia"/>
                    <w:color w:val="000000"/>
                    <w:kern w:val="0"/>
                    <w:szCs w:val="21"/>
                  </w:rPr>
                  <w:t>人得</w:t>
                </w:r>
                <w:r w:rsidRPr="00244CEA">
                  <w:rPr>
                    <w:rFonts w:ascii="仿宋" w:hAnsi="仿宋" w:cs="宋体" w:hint="eastAsia"/>
                    <w:color w:val="000000"/>
                    <w:kern w:val="0"/>
                    <w:szCs w:val="21"/>
                  </w:rPr>
                  <w:t xml:space="preserve"> 0.5</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 xml:space="preserve"> 2 </w:t>
                </w:r>
                <w:r w:rsidRPr="00244CEA">
                  <w:rPr>
                    <w:rFonts w:ascii="仿宋" w:hAnsi="仿宋" w:cs="宋体" w:hint="eastAsia"/>
                    <w:color w:val="000000"/>
                    <w:kern w:val="0"/>
                    <w:szCs w:val="21"/>
                  </w:rPr>
                  <w:t>分。（提供职称证书、</w:t>
                </w:r>
                <w:proofErr w:type="gramStart"/>
                <w:r w:rsidRPr="00244CEA">
                  <w:rPr>
                    <w:rFonts w:ascii="仿宋" w:hAnsi="仿宋" w:cs="宋体" w:hint="eastAsia"/>
                    <w:color w:val="000000"/>
                    <w:kern w:val="0"/>
                    <w:szCs w:val="21"/>
                  </w:rPr>
                  <w:t>社保证明</w:t>
                </w:r>
                <w:proofErr w:type="gramEnd"/>
                <w:r w:rsidRPr="00244CEA">
                  <w:rPr>
                    <w:rFonts w:ascii="仿宋" w:hAnsi="仿宋" w:cs="宋体" w:hint="eastAsia"/>
                    <w:color w:val="000000"/>
                    <w:kern w:val="0"/>
                    <w:szCs w:val="21"/>
                  </w:rPr>
                  <w:t>或退休证明扫描件）。</w:t>
                </w:r>
              </w:p>
              <w:p w:rsidR="00802909" w:rsidRDefault="00695BFB" w:rsidP="00244CEA">
                <w:pPr>
                  <w:rPr>
                    <w:rFonts w:ascii="仿宋" w:hAnsi="仿宋" w:cs="宋体"/>
                    <w:color w:val="000000"/>
                    <w:kern w:val="0"/>
                    <w:szCs w:val="21"/>
                  </w:rPr>
                </w:pPr>
                <w:r w:rsidRPr="00244CEA">
                  <w:rPr>
                    <w:rFonts w:ascii="仿宋" w:hAnsi="仿宋" w:cs="宋体" w:hint="eastAsia"/>
                    <w:color w:val="000000"/>
                    <w:kern w:val="0"/>
                    <w:szCs w:val="21"/>
                  </w:rPr>
                  <w:t>注：以上得分可兼得。</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16</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sidRPr="00244CEA">
                  <w:rPr>
                    <w:rFonts w:ascii="仿宋" w:hAnsi="仿宋" w:hint="eastAsia"/>
                    <w:szCs w:val="21"/>
                  </w:rPr>
                  <w:t>企业信用</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sidRPr="00244CEA">
                  <w:rPr>
                    <w:rFonts w:ascii="仿宋" w:hAnsi="仿宋" w:cs="宋体" w:hint="eastAsia"/>
                    <w:color w:val="000000"/>
                    <w:kern w:val="0"/>
                    <w:szCs w:val="21"/>
                  </w:rPr>
                  <w:t>获得质量管理体系认证证书、环境管理体系认证证书、职业健康安全管理体系认证证书、三</w:t>
                </w:r>
                <w:r w:rsidRPr="00244CEA">
                  <w:rPr>
                    <w:rFonts w:ascii="仿宋" w:hAnsi="仿宋" w:cs="宋体" w:hint="eastAsia"/>
                    <w:color w:val="000000"/>
                    <w:kern w:val="0"/>
                    <w:szCs w:val="21"/>
                  </w:rPr>
                  <w:t>A</w:t>
                </w:r>
                <w:r w:rsidRPr="00244CEA">
                  <w:rPr>
                    <w:rFonts w:ascii="仿宋" w:hAnsi="仿宋" w:cs="宋体" w:hint="eastAsia"/>
                    <w:color w:val="000000"/>
                    <w:kern w:val="0"/>
                    <w:szCs w:val="21"/>
                  </w:rPr>
                  <w:t>资信等级证书。每获得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个证书得</w:t>
                </w:r>
                <w:r w:rsidRPr="00244CEA">
                  <w:rPr>
                    <w:rFonts w:ascii="仿宋" w:hAnsi="仿宋" w:cs="宋体" w:hint="eastAsia"/>
                    <w:color w:val="000000"/>
                    <w:kern w:val="0"/>
                    <w:szCs w:val="21"/>
                  </w:rPr>
                  <w:t>1</w:t>
                </w:r>
                <w:r w:rsidRPr="00244CEA">
                  <w:rPr>
                    <w:rFonts w:ascii="仿宋" w:hAnsi="仿宋" w:cs="宋体" w:hint="eastAsia"/>
                    <w:color w:val="000000"/>
                    <w:kern w:val="0"/>
                    <w:szCs w:val="21"/>
                  </w:rPr>
                  <w:t>分，最多得</w:t>
                </w:r>
                <w:r w:rsidRPr="00244CEA">
                  <w:rPr>
                    <w:rFonts w:ascii="仿宋" w:hAnsi="仿宋" w:cs="宋体" w:hint="eastAsia"/>
                    <w:color w:val="000000"/>
                    <w:kern w:val="0"/>
                    <w:szCs w:val="21"/>
                  </w:rPr>
                  <w:t>4</w:t>
                </w:r>
                <w:r w:rsidRPr="00244CEA">
                  <w:rPr>
                    <w:rFonts w:ascii="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4</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802909" w:rsidRDefault="00695BFB" w:rsidP="00244CEA">
                <w:pPr>
                  <w:rPr>
                    <w:rFonts w:ascii="仿宋" w:hAnsi="仿宋"/>
                    <w:szCs w:val="21"/>
                  </w:rPr>
                </w:pPr>
                <w:r w:rsidRPr="00244CEA">
                  <w:rPr>
                    <w:rFonts w:ascii="仿宋" w:hAnsi="仿宋" w:hint="eastAsia"/>
                    <w:szCs w:val="21"/>
                  </w:rPr>
                  <w:t>投标文件质量</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sidRPr="00244CEA">
                  <w:rPr>
                    <w:rFonts w:ascii="仿宋" w:hAnsi="仿宋" w:cs="宋体" w:hint="eastAsia"/>
                    <w:color w:val="000000"/>
                    <w:kern w:val="0"/>
                    <w:szCs w:val="21"/>
                  </w:rPr>
                  <w:t>投标文件所有内容按招标文件要求编制完整，投标文件格式规范、装订整齐、扫描件要清晰规整，无</w:t>
                </w:r>
                <w:proofErr w:type="gramStart"/>
                <w:r w:rsidRPr="00244CEA">
                  <w:rPr>
                    <w:rFonts w:ascii="仿宋" w:hAnsi="仿宋" w:cs="宋体" w:hint="eastAsia"/>
                    <w:color w:val="000000"/>
                    <w:kern w:val="0"/>
                    <w:szCs w:val="21"/>
                  </w:rPr>
                  <w:t>涂改插字现象</w:t>
                </w:r>
                <w:proofErr w:type="gramEnd"/>
                <w:r w:rsidRPr="00244CEA">
                  <w:rPr>
                    <w:rFonts w:ascii="仿宋" w:hAnsi="仿宋" w:cs="宋体" w:hint="eastAsia"/>
                    <w:color w:val="000000"/>
                    <w:kern w:val="0"/>
                    <w:szCs w:val="21"/>
                  </w:rPr>
                  <w:t>，不缺项且签字、盖章</w:t>
                </w:r>
                <w:proofErr w:type="gramStart"/>
                <w:r w:rsidRPr="00244CEA">
                  <w:rPr>
                    <w:rFonts w:ascii="仿宋" w:hAnsi="仿宋" w:cs="宋体" w:hint="eastAsia"/>
                    <w:color w:val="000000"/>
                    <w:kern w:val="0"/>
                    <w:szCs w:val="21"/>
                  </w:rPr>
                  <w:t>完整</w:t>
                </w:r>
                <w:r w:rsidRPr="00244CEA">
                  <w:rPr>
                    <w:rFonts w:ascii="仿宋" w:hAnsi="仿宋" w:cs="宋体" w:hint="eastAsia"/>
                    <w:color w:val="000000"/>
                    <w:kern w:val="0"/>
                    <w:szCs w:val="21"/>
                  </w:rPr>
                  <w:t>,</w:t>
                </w:r>
                <w:proofErr w:type="gramEnd"/>
                <w:r w:rsidRPr="00244CEA">
                  <w:rPr>
                    <w:rFonts w:ascii="仿宋" w:hAnsi="仿宋" w:cs="宋体" w:hint="eastAsia"/>
                    <w:color w:val="000000"/>
                    <w:kern w:val="0"/>
                    <w:szCs w:val="21"/>
                  </w:rPr>
                  <w:t>最高得</w:t>
                </w:r>
                <w:r w:rsidRPr="00244CEA">
                  <w:rPr>
                    <w:rFonts w:ascii="仿宋" w:hAnsi="仿宋" w:cs="宋体" w:hint="eastAsia"/>
                    <w:color w:val="000000"/>
                    <w:kern w:val="0"/>
                    <w:szCs w:val="21"/>
                  </w:rPr>
                  <w:t>2</w:t>
                </w:r>
                <w:r w:rsidRPr="00244CEA">
                  <w:rPr>
                    <w:rFonts w:ascii="仿宋" w:hAnsi="仿宋" w:cs="宋体" w:hint="eastAsia"/>
                    <w:color w:val="000000"/>
                    <w:kern w:val="0"/>
                    <w:szCs w:val="21"/>
                  </w:rPr>
                  <w:t>分，不足酌减。</w:t>
                </w: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cs="宋体"/>
                    <w:color w:val="000000"/>
                    <w:kern w:val="0"/>
                    <w:szCs w:val="21"/>
                  </w:rPr>
                </w:pPr>
                <w:r>
                  <w:rPr>
                    <w:rFonts w:ascii="仿宋" w:hAnsi="仿宋" w:cs="宋体" w:hint="eastAsia"/>
                    <w:color w:val="000000"/>
                    <w:kern w:val="0"/>
                    <w:szCs w:val="21"/>
                  </w:rPr>
                  <w:t>2</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jc w:val="center"/>
                      <w:rPr>
                        <w:rFonts w:ascii="仿宋" w:hAnsi="仿宋"/>
                        <w:szCs w:val="21"/>
                      </w:rPr>
                    </w:pPr>
                    <w:r>
                      <w:rPr>
                        <w:rFonts w:ascii="MS Gothic" w:eastAsia="MS Gothic" w:hAnsi="MS Gothic" w:hint="eastAsia"/>
                        <w:szCs w:val="21"/>
                      </w:rPr>
                      <w:t>☐</w:t>
                    </w:r>
                  </w:p>
                </w:tc>
              </w:sdtContent>
            </w:sdt>
          </w:tr>
          <w:tr w:rsidR="00802909"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802909" w:rsidRDefault="00695BFB"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802909" w:rsidRDefault="00695BFB" w:rsidP="008F1F14">
                <w:pPr>
                  <w:rPr>
                    <w:rFonts w:ascii="仿宋" w:hAnsi="仿宋"/>
                    <w:szCs w:val="21"/>
                  </w:rPr>
                </w:pPr>
              </w:p>
            </w:tc>
          </w:tr>
        </w:tbl>
        <w:p w:rsidR="00A57130" w:rsidRPr="00642BE0" w:rsidRDefault="00695BFB"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1E66C7" w:rsidRDefault="00695BFB">
      <w:r>
        <w:rPr>
          <w:lang w:val="zh-CN"/>
        </w:rPr>
        <w:t xml:space="preserve">　　　　</w:t>
      </w:r>
      <w:hyperlink r:id="rId13" w:history="1"/>
      <w:r>
        <w:rPr>
          <w:lang w:val="zh-CN"/>
        </w:rPr>
        <w:t xml:space="preserve">　</w:t>
      </w:r>
    </w:p>
    <w:sectPr w:rsidR="001E66C7"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5BFB">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5BFB">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5BF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5BFB">
              <w:rPr>
                <w:b/>
                <w:bCs/>
                <w:noProof/>
              </w:rPr>
              <w:t>16</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66C7"/>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BFB"/>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DC896BC9-27EC-4D8A-A557-D1E13AFE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68</Pages>
  <Words>29989</Words>
  <Characters>6907</Characters>
  <Application>Microsoft Office Word</Application>
  <DocSecurity>0</DocSecurity>
  <Lines>531</Lines>
  <Paragraphs>1475</Paragraphs>
  <ScaleCrop>false</ScaleCrop>
  <Company>lx</Company>
  <LinksUpToDate>false</LinksUpToDate>
  <CharactersWithSpaces>35421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PC</cp:lastModifiedBy>
  <cp:revision>58</cp:revision>
  <cp:lastPrinted>2013-03-28T01:16:00Z</cp:lastPrinted>
  <dcterms:created xsi:type="dcterms:W3CDTF">2017-02-10T06:27:00Z</dcterms:created>
  <dcterms:modified xsi:type="dcterms:W3CDTF">2021-11-24T02:15:00Z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GZC2021-034(1)</vt:lpwstr>
  </property>
</Properties>
</file>