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222" w:name="_GoBack"/>
      <w:bookmarkEnd w:id="222"/>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营口市行政审批局消防安全整改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YKSGZC2021029(2)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color w:val="000000"/>
          <w:sz w:val="44"/>
          <w:szCs w:val="44"/>
        </w:rPr>
      </w:pPr>
      <w:r>
        <w:rPr>
          <w:rFonts w:hint="eastAsia" w:ascii="仿宋" w:hAnsi="仿宋" w:eastAsia="仿宋"/>
          <w:b/>
          <w:color w:val="000000"/>
          <w:sz w:val="44"/>
          <w:szCs w:val="44"/>
          <w:lang w:eastAsia="zh-CN"/>
        </w:rPr>
        <w:t>新冠肺炎</w:t>
      </w:r>
      <w:r>
        <w:rPr>
          <w:rFonts w:hint="eastAsia" w:ascii="仿宋" w:hAnsi="仿宋" w:eastAsia="仿宋"/>
          <w:b/>
          <w:color w:val="000000"/>
          <w:sz w:val="44"/>
          <w:szCs w:val="44"/>
        </w:rPr>
        <w:t>疫情防控期间开标注意事项</w:t>
      </w:r>
    </w:p>
    <w:p>
      <w:pPr>
        <w:jc w:val="center"/>
        <w:rPr>
          <w:b/>
          <w:color w:val="000000"/>
          <w:sz w:val="44"/>
          <w:szCs w:val="44"/>
        </w:rPr>
      </w:pP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283"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Pr>
        <w:rPr>
          <w:rFonts w:hint="eastAsia" w:ascii="仿宋" w:hAnsi="仿宋" w:eastAsia="仿宋"/>
          <w:b/>
          <w:sz w:val="72"/>
          <w:szCs w:val="72"/>
        </w:rPr>
      </w:pPr>
      <w:r>
        <w:rPr>
          <w:rFonts w:hint="eastAsia" w:ascii="仿宋" w:hAnsi="仿宋" w:eastAsia="仿宋"/>
          <w:b/>
          <w:sz w:val="72"/>
          <w:szCs w:val="72"/>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placeholder>
          <w:docPart w:val="A2D9C01216C04FD7AA7E936E12953AFD"/>
        </w:placeholder>
      </w:sdtPr>
      <w:sdtEndPr>
        <w:rPr>
          <w:rFonts w:hint="eastAsia"/>
        </w:rPr>
      </w:sdtEndPr>
      <w:sdtContent>
        <w:p>
          <w:pPr>
            <w:rPr>
              <w:sz w:val="32"/>
              <w:szCs w:val="32"/>
            </w:rPr>
          </w:pPr>
        </w:p>
        <w:p>
          <w:pPr>
            <w:rPr>
              <w:sz w:val="32"/>
              <w:szCs w:val="32"/>
            </w:rPr>
          </w:pPr>
          <w:r>
            <w:rPr>
              <w:rFonts w:hint="eastAsia"/>
              <w:sz w:val="32"/>
              <w:szCs w:val="32"/>
            </w:rPr>
            <w:t>一、营业执照复印件；</w:t>
          </w:r>
        </w:p>
        <w:p>
          <w:pPr>
            <w:rPr>
              <w:sz w:val="32"/>
              <w:szCs w:val="32"/>
            </w:rPr>
          </w:pPr>
          <w:r>
            <w:rPr>
              <w:rFonts w:hint="eastAsia"/>
              <w:sz w:val="32"/>
              <w:szCs w:val="32"/>
            </w:rPr>
            <w:t>二、法定代表人或授权代表本人身份证原件；</w:t>
          </w:r>
        </w:p>
        <w:p>
          <w:pPr>
            <w:rPr>
              <w:rFonts w:hint="eastAsia"/>
              <w:sz w:val="32"/>
              <w:szCs w:val="32"/>
            </w:rPr>
          </w:pPr>
          <w:r>
            <w:rPr>
              <w:rFonts w:hint="eastAsia"/>
              <w:sz w:val="32"/>
              <w:szCs w:val="32"/>
            </w:rPr>
            <w:t>三、法定代表人身份证明书或法定代表人授权委托书原件；</w:t>
          </w:r>
        </w:p>
        <w:p>
          <w:pPr>
            <w:rPr>
              <w:rFonts w:hint="eastAsia" w:eastAsia="宋体"/>
              <w:sz w:val="32"/>
              <w:szCs w:val="32"/>
              <w:lang w:eastAsia="zh-CN"/>
            </w:rPr>
          </w:pPr>
          <w:r>
            <w:rPr>
              <w:rFonts w:hint="eastAsia"/>
              <w:sz w:val="32"/>
              <w:szCs w:val="32"/>
              <w:lang w:eastAsia="zh-CN"/>
            </w:rPr>
            <w:t>四、消防设施工程专业承包贰级及以上（含贰级）资质原件；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hint="eastAsia" w:ascii="仿宋" w:hAnsi="仿宋" w:eastAsia="仿宋"/>
          <w:szCs w:val="21"/>
        </w:rPr>
      </w:pPr>
      <w:bookmarkStart w:id="0" w:name="_Toc35393789"/>
      <w:bookmarkStart w:id="1" w:name="_Toc28359001"/>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营口市行政审批局消防安全整改</w:t>
          </w:r>
        </w:sdtContent>
      </w:sdt>
    </w:p>
    <w:p>
      <w:pPr>
        <w:pStyle w:val="2"/>
        <w:snapToGrid w:val="0"/>
        <w:spacing w:before="312" w:beforeLines="100" w:after="312" w:afterLines="100" w:line="360" w:lineRule="auto"/>
        <w:jc w:val="center"/>
        <w:rPr>
          <w:rFonts w:eastAsia="华文中宋"/>
          <w:bCs w:val="0"/>
        </w:rPr>
      </w:pPr>
      <w:r>
        <w:rPr>
          <w:rFonts w:hint="eastAsia" w:ascii="仿宋_GB2312" w:hAnsi="仿宋_GB2312" w:eastAsia="仿宋_GB2312" w:cs="仿宋_GB2312"/>
        </w:rPr>
        <w:t>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营口市行政审批局消防安全整改</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YKSGZC2021029(2)</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2021/7/8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35393790"/>
      <w:bookmarkStart w:id="3" w:name="_Toc28359079"/>
      <w:bookmarkStart w:id="4" w:name="_Toc28359002"/>
      <w:bookmarkStart w:id="5" w:name="_Toc35393621"/>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YKSGZC2021029(2)</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营口市行政审批局消防安全整改</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w:t>
      </w:r>
      <w:r>
        <w:rPr>
          <w:rFonts w:hint="eastAsia" w:ascii="仿宋" w:hAnsi="仿宋" w:eastAsia="仿宋"/>
          <w:szCs w:val="21"/>
          <w:lang w:val="en-US" w:eastAsia="zh-CN"/>
        </w:rPr>
        <w:t>350,000.00元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399"/>
            <w:gridCol w:w="1161"/>
            <w:gridCol w:w="1274"/>
            <w:gridCol w:w="1694"/>
            <w:gridCol w:w="1742"/>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399"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szCs w:val="24"/>
                  </w:rPr>
                  <w:t>分包产品名称</w:t>
                </w:r>
              </w:p>
            </w:tc>
            <w:tc>
              <w:tcPr>
                <w:tcW w:w="1161"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szCs w:val="24"/>
                  </w:rPr>
                  <w:t>最高限价（元）</w:t>
                </w:r>
              </w:p>
            </w:tc>
            <w:tc>
              <w:tcPr>
                <w:tcW w:w="1274"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szCs w:val="24"/>
                  </w:rPr>
                  <w:t>投标保证金（元）</w:t>
                </w:r>
              </w:p>
            </w:tc>
            <w:tc>
              <w:tcPr>
                <w:tcW w:w="1694"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szCs w:val="24"/>
                  </w:rPr>
                  <w:t>评标方法</w:t>
                </w:r>
              </w:p>
            </w:tc>
            <w:tc>
              <w:tcPr>
                <w:tcW w:w="1742"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59"/>
                  <w:spacing w:line="240" w:lineRule="auto"/>
                  <w:ind w:firstLine="0" w:firstLineChars="0"/>
                  <w:jc w:val="center"/>
                  <w:rPr>
                    <w:rFonts w:hint="eastAsia" w:ascii="仿宋" w:hAnsi="仿宋" w:eastAsia="仿宋"/>
                    <w:szCs w:val="24"/>
                    <w:lang w:val="en-US" w:eastAsia="zh-CN"/>
                  </w:rPr>
                </w:pPr>
                <w:r>
                  <w:rPr>
                    <w:rFonts w:hint="eastAsia" w:ascii="仿宋" w:hAnsi="仿宋" w:eastAsia="仿宋"/>
                    <w:szCs w:val="24"/>
                    <w:lang w:val="en-US" w:eastAsia="zh-CN"/>
                  </w:rPr>
                  <w:t>1</w:t>
                </w:r>
              </w:p>
            </w:tc>
            <w:tc>
              <w:tcPr>
                <w:tcW w:w="2399"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hint="eastAsia" w:ascii="仿宋" w:hAnsi="仿宋" w:eastAsia="仿宋"/>
                    <w:szCs w:val="24"/>
                    <w:lang w:eastAsia="zh-CN"/>
                  </w:rPr>
                </w:pPr>
                <w:r>
                  <w:rPr>
                    <w:rFonts w:hint="eastAsia" w:ascii="仿宋" w:hAnsi="仿宋" w:eastAsia="仿宋"/>
                    <w:szCs w:val="24"/>
                    <w:lang w:eastAsia="zh-CN"/>
                  </w:rPr>
                  <w:t>消防安全整改</w:t>
                </w:r>
              </w:p>
            </w:tc>
            <w:tc>
              <w:tcPr>
                <w:tcW w:w="1161"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350000.00</w:t>
                </w:r>
              </w:p>
            </w:tc>
            <w:tc>
              <w:tcPr>
                <w:tcW w:w="1274"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3500.00</w:t>
                </w:r>
              </w:p>
            </w:tc>
            <w:sdt>
              <w:sdtPr>
                <w:rPr>
                  <w:rFonts w:hint="eastAsia" w:ascii="仿宋" w:hAnsi="仿宋" w:eastAsia="仿宋"/>
                  <w:szCs w:val="24"/>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694"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2" w:type="dxa"/>
                    <w:tcBorders>
                      <w:top w:val="single" w:color="auto" w:sz="4" w:space="0"/>
                      <w:left w:val="single" w:color="auto" w:sz="4" w:space="0"/>
                      <w:bottom w:val="single" w:color="auto" w:sz="4" w:space="0"/>
                      <w:right w:val="single" w:color="auto" w:sz="4" w:space="0"/>
                    </w:tcBorders>
                    <w:vAlign w:val="center"/>
                  </w:tcPr>
                  <w:p>
                    <w:pPr>
                      <w:pStyle w:val="59"/>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 w:hAnsi="仿宋" w:eastAsia="仿宋"/>
          <w:szCs w:val="21"/>
          <w:lang w:val="en-US" w:eastAsia="zh-CN"/>
        </w:rPr>
        <w:t>350,000.00元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合同履行期限：合同确定后一个月</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28359080"/>
      <w:bookmarkStart w:id="8" w:name="_Toc28359003"/>
      <w:bookmarkStart w:id="9" w:name="_Toc35393791"/>
      <w:bookmarkStart w:id="10" w:name="_Toc35393622"/>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color w:val="FF0000"/>
          <w:szCs w:val="21"/>
          <w:u w:val="single"/>
          <w:lang w:eastAsia="zh-CN"/>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s="Times New Roman"/>
          <w:szCs w:val="21"/>
          <w:u w:val="none"/>
          <w:lang w:eastAsia="zh-CN"/>
        </w:rPr>
        <w:t>无</w:t>
      </w:r>
    </w:p>
    <w:p>
      <w:pPr>
        <w:spacing w:line="276" w:lineRule="auto"/>
        <w:ind w:firstLine="420" w:firstLineChars="200"/>
        <w:rPr>
          <w:rFonts w:ascii="仿宋" w:hAnsi="仿宋" w:eastAsia="仿宋"/>
          <w:b/>
          <w:bCs/>
          <w:i/>
          <w:iCs/>
          <w:color w:val="FF0000"/>
          <w:szCs w:val="21"/>
          <w:u w:val="single"/>
        </w:rPr>
      </w:pPr>
      <w:r>
        <w:rPr>
          <w:rFonts w:hint="eastAsia" w:ascii="仿宋" w:hAnsi="仿宋" w:eastAsia="仿宋"/>
          <w:szCs w:val="21"/>
        </w:rPr>
        <w:t>3.本项目的特定资格要求：</w:t>
      </w:r>
      <w:r>
        <w:rPr>
          <w:rFonts w:hint="eastAsia" w:ascii="仿宋" w:hAnsi="仿宋" w:eastAsia="仿宋"/>
          <w:b w:val="0"/>
          <w:bCs w:val="0"/>
          <w:szCs w:val="21"/>
          <w:u w:val="none"/>
        </w:rPr>
        <w:t>消防设施工程专业承包贰级及以上（含贰级）</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2021年06月30日</w:t>
          </w:r>
          <w:r>
            <w:rPr>
              <w:rFonts w:hint="eastAsia" w:ascii="仿宋" w:hAnsi="仿宋" w:eastAsia="仿宋"/>
              <w:szCs w:val="21"/>
              <w:lang w:val="en-US" w:eastAsia="zh-CN"/>
            </w:rPr>
            <w:t>17：00分</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5" w:name="_Toc28359082"/>
      <w:bookmarkStart w:id="16" w:name="_Toc28359005"/>
      <w:bookmarkStart w:id="17" w:name="_Toc35393624"/>
      <w:bookmarkStart w:id="18" w:name="_Toc35393793"/>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2021/7/8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19" w:name="_Toc28359007"/>
      <w:bookmarkStart w:id="20" w:name="_Toc35393794"/>
      <w:bookmarkStart w:id="21" w:name="_Toc35393625"/>
      <w:bookmarkStart w:id="22" w:name="_Toc28359084"/>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626"/>
      <w:bookmarkStart w:id="24" w:name="_Toc35393795"/>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35393627"/>
      <w:bookmarkStart w:id="26" w:name="_Toc28359085"/>
      <w:bookmarkStart w:id="27" w:name="_Toc35393796"/>
      <w:bookmarkStart w:id="28" w:name="_Toc28359008"/>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营口市行政审批局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营口市西市区民生路28号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default" w:ascii="仿宋" w:hAnsi="仿宋" w:eastAsia="仿宋"/>
            <w:szCs w:val="21"/>
            <w:lang w:val="en-US"/>
          </w:rPr>
          <w:alias w:val="采购单位电话"/>
          <w:tag w:val="采购单位电话"/>
          <w:id w:val="285781145"/>
          <w:placeholder>
            <w:docPart w:val="{f304f261-89ac-4c45-ac33-038d04ebcc62}"/>
          </w:placeholder>
        </w:sdtPr>
        <w:sdtEndPr>
          <w:rPr>
            <w:rFonts w:hint="eastAsia" w:ascii="仿宋" w:hAnsi="仿宋" w:eastAsia="仿宋"/>
            <w:szCs w:val="21"/>
            <w:lang w:val="en-US"/>
          </w:rPr>
        </w:sdtEndPr>
        <w:sdtContent>
          <w:r>
            <w:rPr>
              <w:rFonts w:hint="eastAsia" w:ascii="仿宋" w:hAnsi="仿宋" w:eastAsia="仿宋"/>
              <w:szCs w:val="21"/>
              <w:lang w:val="en-US" w:eastAsia="zh-CN"/>
            </w:rPr>
            <w:t>15940778088</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0417-2972</w:t>
          </w:r>
          <w:r>
            <w:rPr>
              <w:rFonts w:hint="eastAsia" w:ascii="仿宋" w:hAnsi="仿宋" w:eastAsia="仿宋"/>
              <w:szCs w:val="21"/>
              <w:lang w:val="en-US" w:eastAsia="zh-CN"/>
            </w:rPr>
            <w:t>508</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rPr>
            <w:t>孙</w:t>
          </w:r>
          <w:r>
            <w:rPr>
              <w:rFonts w:hint="eastAsia" w:ascii="仿宋" w:hAnsi="仿宋" w:eastAsia="仿宋"/>
              <w:szCs w:val="21"/>
              <w:lang w:eastAsia="zh-CN"/>
            </w:rPr>
            <w:t>女士</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szCs w:val="21"/>
            </w:rPr>
            <w:t>0417-2972</w:t>
          </w:r>
          <w:r>
            <w:rPr>
              <w:rFonts w:hint="eastAsia" w:ascii="仿宋" w:hAnsi="仿宋" w:eastAsia="仿宋"/>
              <w:szCs w:val="21"/>
              <w:lang w:val="en-US" w:eastAsia="zh-CN"/>
            </w:rPr>
            <w:t>508</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招标项目基本内容及要求：Block"/>
          <w:bookmarkEnd w:id="31"/>
          <w:bookmarkStart w:id="32" w:name="招标项目基本内容及要求其他：Block"/>
          <w:bookmarkEnd w:id="32"/>
          <w:bookmarkStart w:id="33" w:name="sys_招标项目基本内容及要求：Block"/>
          <w:bookmarkEnd w:id="33"/>
          <w:bookmarkStart w:id="34" w:name="sys_招标项目基本内容及要求其他：Block"/>
          <w:bookmarkEnd w:id="34"/>
        </w:p>
        <w:tbl>
          <w:tblPr>
            <w:tblStyle w:val="19"/>
            <w:tblW w:w="8897" w:type="dxa"/>
            <w:tblInd w:w="0" w:type="dxa"/>
            <w:tblLayout w:type="fixed"/>
            <w:tblCellMar>
              <w:top w:w="0" w:type="dxa"/>
              <w:left w:w="108" w:type="dxa"/>
              <w:bottom w:w="0" w:type="dxa"/>
              <w:right w:w="108" w:type="dxa"/>
            </w:tblCellMar>
          </w:tblPr>
          <w:tblGrid>
            <w:gridCol w:w="852"/>
            <w:gridCol w:w="1917"/>
            <w:gridCol w:w="6128"/>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营口市行政审批局</w:t>
                </w:r>
              </w:p>
              <w:p>
                <w:pPr>
                  <w:widowControl/>
                  <w:jc w:val="left"/>
                  <w:rPr>
                    <w:rFonts w:hint="default"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lang w:eastAsia="zh-CN"/>
                  </w:rPr>
                  <w:t>营口市西市区民生路</w:t>
                </w:r>
                <w:r>
                  <w:rPr>
                    <w:rFonts w:hint="eastAsia" w:ascii="仿宋_GB2312" w:hAnsi="仿宋_GB2312" w:eastAsia="仿宋_GB2312" w:cs="仿宋_GB2312"/>
                    <w:kern w:val="0"/>
                    <w:szCs w:val="21"/>
                    <w:u w:val="single"/>
                    <w:lang w:val="en-US" w:eastAsia="zh-CN"/>
                  </w:rPr>
                  <w:t>28号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庞先生</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15940778088</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孙女士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2972508</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消防设施工程专业承包贰级及以上（含贰级）资质</w:t>
                </w:r>
                <w:bookmarkEnd w:id="0"/>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lang w:eastAsia="zh-CN"/>
                  </w:rPr>
                </w:pPr>
                <w:r>
                  <w:rPr>
                    <w:rFonts w:hint="eastAsia" w:ascii="仿宋_GB2312" w:hAnsi="仿宋_GB2312" w:eastAsia="仿宋_GB2312" w:cs="仿宋_GB2312"/>
                  </w:rPr>
                  <w:t>■</w:t>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kern w:val="0"/>
                    <w:szCs w:val="21"/>
                    <w:u w:val="single"/>
                  </w:rPr>
                  <w:t>台式电脑</w:t>
                </w:r>
                <w:r>
                  <w:rPr>
                    <w:rFonts w:hint="eastAsia" w:ascii="仿宋_GB2312" w:hAnsi="仿宋_GB2312" w:eastAsia="仿宋_GB2312" w:cs="仿宋_GB2312"/>
                    <w:kern w:val="0"/>
                    <w:szCs w:val="21"/>
                    <w:u w:val="single"/>
                    <w:lang w:eastAsia="zh-CN"/>
                  </w:rPr>
                  <w:t>、电视墙监视器</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350,000.00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350,000.00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配电室JDS型热熔胶灭火装置（非单一产品采购时，只能设一个核心产品）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3500.00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w:t>
                </w: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 xml:space="preserve">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1"/>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128"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128"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rPr>
          <w:rFonts w:hint="eastAsia" w:ascii="仿宋_GB2312" w:hAnsi="仿宋_GB2312" w:eastAsia="仿宋_GB2312" w:cs="仿宋_GB2312"/>
          <w:szCs w:val="36"/>
        </w:rPr>
      </w:pPr>
      <w:bookmarkStart w:id="35" w:name="_Toc30384_WPSOffice_Level2"/>
      <w:r>
        <w:rPr>
          <w:rFonts w:hint="eastAsia" w:ascii="仿宋_GB2312" w:hAnsi="仿宋_GB2312" w:eastAsia="仿宋_GB2312" w:cs="仿宋_GB2312"/>
          <w:szCs w:val="36"/>
        </w:rPr>
        <w:br w:type="page"/>
      </w:r>
    </w:p>
    <w:p>
      <w:pPr>
        <w:pStyle w:val="3"/>
        <w:adjustRightInd w:val="0"/>
        <w:snapToGrid w:val="0"/>
        <w:spacing w:before="0" w:after="0" w:line="360" w:lineRule="auto"/>
        <w:jc w:val="center"/>
        <w:rPr>
          <w:rFonts w:ascii="仿宋_GB2312" w:hAnsi="仿宋_GB2312" w:eastAsia="仿宋_GB2312" w:cs="仿宋_GB2312"/>
          <w:szCs w:val="36"/>
        </w:rPr>
      </w:pPr>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1" w:name="_Toc24604_WPSOffice_Level2"/>
      <w:bookmarkStart w:id="42" w:name="_Toc25935_WPSOffice_Level2"/>
      <w:bookmarkStart w:id="43" w:name="_Toc4961_WPSOffice_Level2"/>
      <w:bookmarkStart w:id="44" w:name="_Toc188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13276_WPSOffice_Level2"/>
      <w:bookmarkStart w:id="46" w:name="_Toc2443_WPSOffice_Level2"/>
      <w:bookmarkStart w:id="47" w:name="_Toc31424_WPSOffice_Level2"/>
      <w:bookmarkStart w:id="48" w:name="_Toc32235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24836_WPSOffice_Level2"/>
      <w:bookmarkStart w:id="50" w:name="_Toc16269_WPSOffice_Level2"/>
      <w:bookmarkStart w:id="51" w:name="_Toc4416_WPSOffice_Level2"/>
      <w:bookmarkStart w:id="52" w:name="_Toc7005_WPSOffice_Level2"/>
      <w:r>
        <w:rPr>
          <w:rFonts w:hint="eastAsia" w:ascii="仿宋_GB2312" w:hAnsi="仿宋_GB2312" w:eastAsia="仿宋_GB2312" w:cs="仿宋_GB2312"/>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16294_WPSOffice_Level2"/>
      <w:bookmarkStart w:id="54" w:name="_Toc25382_WPSOffice_Level2"/>
      <w:bookmarkStart w:id="55" w:name="_Toc16119_WPSOffice_Level2"/>
      <w:bookmarkStart w:id="56" w:name="_Toc23459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28106_WPSOffice_Level2"/>
      <w:bookmarkStart w:id="58" w:name="_Toc9629_WPSOffice_Level2"/>
      <w:bookmarkStart w:id="59" w:name="_Toc17794_WPSOffice_Level2"/>
      <w:bookmarkStart w:id="60" w:name="_Toc16368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31973_WPSOffice_Level2"/>
      <w:bookmarkStart w:id="63" w:name="_Toc22507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投标文件内容及格式：Block"/>
      <w:bookmarkEnd w:id="68"/>
      <w:bookmarkStart w:id="69" w:name="sys_投标文件内容及格式：Block"/>
      <w:bookmarkEnd w:id="69"/>
      <w:bookmarkStart w:id="70" w:name="_Toc1538_WPSOffice_Level2"/>
      <w:bookmarkStart w:id="71" w:name="_Toc2481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1266_WPSOffice_Level2"/>
      <w:bookmarkStart w:id="73" w:name="_Toc31052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399B13691F924E00AA9E55C5271AAABF"/>
        </w:placeholder>
      </w:sdtPr>
      <w:sdtEndPr>
        <w:rPr>
          <w:rFonts w:hint="eastAsia" w:ascii="仿宋" w:hAnsi="仿宋" w:eastAsia="仿宋"/>
          <w:szCs w:val="21"/>
        </w:rPr>
      </w:sdtEndPr>
      <w:sdtContent>
        <w:p>
          <w:pPr>
            <w:rPr>
              <w:rFonts w:ascii="仿宋" w:hAnsi="仿宋" w:eastAsia="仿宋"/>
              <w:szCs w:val="21"/>
            </w:rPr>
          </w:pPr>
          <w:bookmarkStart w:id="74" w:name="_Toc25206_WPSOffice_Level2"/>
          <w:bookmarkStart w:id="75" w:name="_Toc22359_WPSOffice_Level2"/>
          <w:bookmarkStart w:id="76" w:name="资格性证明材料：Document"/>
          <w:bookmarkStart w:id="77"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placeholder>
                  <w:docPart w:val="6B859A44E34B4EF2B47636C49C2C57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2443FF03BEAA42FEB0028620B8DE07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2ACFBC0F42484517A46CEFC9BE459EB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B1CAFA94898144378D84C4BDCA9A86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E9AD3F6C180446C1805DB7C82D80824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A20B119B84D14B4A80D28F956D2D6F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sdt>
              <w:sdtPr>
                <w:rPr>
                  <w:rFonts w:hint="eastAsia" w:ascii="仿宋" w:hAnsi="仿宋" w:eastAsia="仿宋"/>
                  <w:sz w:val="24"/>
                </w:rPr>
                <w:alias w:val="包号"/>
                <w:tag w:val="包号"/>
                <w:id w:val="-1852333460"/>
                <w:placeholder>
                  <w:docPart w:val="34C610E170FC40BC9BBF5E83E5C2E9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sz w:val="24"/>
                </w:rPr>
                <w:alias w:val="包号"/>
                <w:tag w:val="包号"/>
                <w:id w:val="-1880234155"/>
                <w:placeholder>
                  <w:docPart w:val="86330FA9D37140D5B02953FE0F5237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2908C50D3F6949539F306FC6CDDFC8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placeholder>
                  <w:docPart w:val="06E02F21FF47402A95FC8702F8D352E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5399"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其它资格证明文件</w:t>
                </w:r>
                <w:r>
                  <w:rPr>
                    <w:rFonts w:hint="eastAsia" w:ascii="仿宋_GB2312" w:hAnsi="仿宋_GB2312" w:eastAsia="仿宋_GB2312" w:cs="仿宋_GB2312"/>
                    <w:szCs w:val="21"/>
                    <w:lang w:eastAsia="zh-CN"/>
                  </w:rPr>
                  <w:t>：消防设施工程专业承包贰级及以上（含贰级）资质</w:t>
                </w:r>
              </w:p>
            </w:tc>
            <w:sdt>
              <w:sdtPr>
                <w:rPr>
                  <w:rFonts w:hint="eastAsia" w:ascii="仿宋" w:hAnsi="仿宋" w:eastAsia="仿宋"/>
                  <w:sz w:val="24"/>
                </w:rPr>
                <w:alias w:val="包号"/>
                <w:tag w:val="包号"/>
                <w:id w:val="-175580327"/>
                <w:placeholder>
                  <w:docPart w:val="875B4F6E77F940D890E6B3FDF22AC9F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placeholder>
                  <w:docPart w:val="C0AFC982D12C43F998446138DA32AE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7769_WPSOffice_Level2"/>
          <w:bookmarkStart w:id="79" w:name="_Toc24432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placeholder>
                  <w:docPart w:val="1801ECC94C3E43289A53BE7F3DAE4B5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placeholder>
                  <w:docPart w:val="AB448D1254904707B10253AF8938987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placeholder>
                  <w:docPart w:val="C5437648C3D449EEB8D26B90902006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placeholder>
                  <w:docPart w:val="7814C6CECC8D41B591196D4F580599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placeholder>
                  <w:docPart w:val="865F61D098E44E298CD50BE187FC49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placeholder>
                  <w:docPart w:val="CCFAA2A2C49247A1B44034769C09AC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placeholder>
                  <w:docPart w:val="9039A6E5755E44F2909E27891BFF97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placeholder>
                  <w:docPart w:val="F7458CE30FB74F21A77A099CC26350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placeholder>
                  <w:docPart w:val="0E06F371A6C94213A5D217C06CD66F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placeholder>
                  <w:docPart w:val="684C0166559D44C5B25B2F1213536F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placeholder>
                  <w:docPart w:val="142A5997E3E3483796BEF73FFDB80ED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placeholder>
                  <w:docPart w:val="210241A5370B437C836DFB1D7524F0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placeholder>
                  <w:docPart w:val="DE7946ADEA1E41B59EDA78EAC51743C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placeholder>
                  <w:docPart w:val="9ABB24A1F42247DD8B30C755131F79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placeholder>
                  <w:docPart w:val="6683AC22C0DA420BAC8312AEFE186BF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placeholder>
                  <w:docPart w:val="97BD4CD94A1B49C7B3E8CB4EB4F5D8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4011_WPSOffice_Level2"/>
      <w:bookmarkStart w:id="81" w:name="_Toc23127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1090_WPSOffice_Level2"/>
      <w:bookmarkStart w:id="83" w:name="_Toc26322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1414_WPSOffice_Level2"/>
      <w:bookmarkStart w:id="85" w:name="_Toc230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7636_WPSOffice_Level2"/>
      <w:bookmarkStart w:id="87" w:name="_Toc30940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13950_WPSOffice_Level2"/>
      <w:bookmarkStart w:id="89" w:name="_Toc31702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9090_WPSOffice_Level2"/>
      <w:bookmarkStart w:id="91" w:name="_Toc14854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16924_WPSOffice_Level2"/>
      <w:bookmarkStart w:id="93" w:name="_Toc3401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122_WPSOffice_Level2"/>
      <w:bookmarkStart w:id="95"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12037_WPSOffice_Level2"/>
      <w:bookmarkStart w:id="97" w:name="_Toc23728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1917_WPSOffice_Level2"/>
      <w:bookmarkStart w:id="99" w:name="_Toc28831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7498_WPSOffice_Level2"/>
      <w:bookmarkStart w:id="101"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16873_WPSOffice_Level2"/>
      <w:bookmarkStart w:id="103" w:name="_Toc30548_WPSOffice_Level2"/>
      <w:r>
        <w:rPr>
          <w:rFonts w:hint="eastAsia" w:ascii="仿宋_GB2312" w:hAnsi="仿宋_GB2312" w:eastAsia="仿宋_GB2312" w:cs="仿宋_GB2312"/>
          <w:b/>
          <w:sz w:val="32"/>
          <w:szCs w:val="32"/>
        </w:rPr>
        <w:t>联合体协议书</w:t>
      </w:r>
      <w:bookmarkEnd w:id="102"/>
      <w:bookmarkEnd w:id="103"/>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4" w:name="_Toc15561_WPSOffice_Level2"/>
      <w:bookmarkStart w:id="105" w:name="_Toc23749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6" w:name="_Toc22173_WPSOffice_Level2"/>
      <w:bookmarkStart w:id="107" w:name="_Toc405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8" w:name="_Toc7084_WPSOffice_Level2"/>
      <w:bookmarkStart w:id="109" w:name="_Toc23482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14782_WPSOffice_Level2"/>
      <w:bookmarkStart w:id="111" w:name="_Toc24841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11267_WPSOffice_Level2"/>
      <w:bookmarkStart w:id="113" w:name="_Toc2673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4" w:name="_Toc28271_WPSOffice_Level2"/>
      <w:bookmarkStart w:id="115" w:name="_Toc16044_WPSOffice_Level2"/>
      <w:r>
        <w:rPr>
          <w:rFonts w:hint="eastAsia" w:ascii="仿宋_GB2312" w:hAnsi="仿宋_GB2312" w:eastAsia="仿宋_GB2312" w:cs="仿宋_GB2312"/>
          <w:b/>
          <w:bCs/>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6" w:name="_Toc9235_WPSOffice_Level2"/>
      <w:bookmarkStart w:id="117" w:name="_Toc31555_WPSOffice_Level2"/>
      <w:r>
        <w:rPr>
          <w:rFonts w:hint="eastAsia" w:ascii="仿宋_GB2312" w:hAnsi="仿宋_GB2312" w:eastAsia="仿宋_GB2312" w:cs="仿宋_GB2312"/>
          <w:b/>
          <w:bCs/>
          <w:sz w:val="32"/>
          <w:szCs w:val="32"/>
        </w:rPr>
        <w:t>技术规格偏离表</w:t>
      </w:r>
      <w:bookmarkEnd w:id="116"/>
      <w:bookmarkEnd w:id="117"/>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1"/>
        <w:gridCol w:w="1338"/>
        <w:gridCol w:w="794"/>
        <w:gridCol w:w="764"/>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79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76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5111" w:type="dxa"/>
            <w:tcBorders>
              <w:top w:val="single" w:color="auto" w:sz="4" w:space="0"/>
              <w:left w:val="single" w:color="auto" w:sz="4" w:space="0"/>
              <w:bottom w:val="single" w:color="auto" w:sz="4" w:space="0"/>
              <w:right w:val="single" w:color="auto" w:sz="4" w:space="0"/>
            </w:tcBorders>
            <w:vAlign w:val="center"/>
          </w:tcPr>
          <w:tbl>
            <w:tblPr>
              <w:tblStyle w:val="19"/>
              <w:tblW w:w="4890" w:type="dxa"/>
              <w:tblInd w:w="0" w:type="dxa"/>
              <w:tblLayout w:type="fixed"/>
              <w:tblCellMar>
                <w:top w:w="0" w:type="dxa"/>
                <w:left w:w="0" w:type="dxa"/>
                <w:bottom w:w="0" w:type="dxa"/>
                <w:right w:w="0" w:type="dxa"/>
              </w:tblCellMar>
            </w:tblPr>
            <w:tblGrid>
              <w:gridCol w:w="270"/>
              <w:gridCol w:w="510"/>
              <w:gridCol w:w="4110"/>
            </w:tblGrid>
            <w:tr>
              <w:tblPrEx>
                <w:tblLayout w:type="fixed"/>
                <w:tblCellMar>
                  <w:top w:w="0" w:type="dxa"/>
                  <w:left w:w="0" w:type="dxa"/>
                  <w:bottom w:w="0" w:type="dxa"/>
                  <w:right w:w="0" w:type="dxa"/>
                </w:tblCellMar>
              </w:tblPrEx>
              <w:trPr>
                <w:trHeight w:val="90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技术规格（参数）要求</w:t>
                  </w:r>
                </w:p>
              </w:tc>
            </w:tr>
            <w:tr>
              <w:tblPrEx>
                <w:tblLayout w:type="fixed"/>
                <w:tblCellMar>
                  <w:top w:w="0" w:type="dxa"/>
                  <w:left w:w="0" w:type="dxa"/>
                  <w:bottom w:w="0" w:type="dxa"/>
                  <w:right w:w="0"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防火门液压闭门器</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85-120kg 自动关门器505不定位</w:t>
                  </w:r>
                </w:p>
              </w:tc>
            </w:tr>
            <w:tr>
              <w:tblPrEx>
                <w:tblLayout w:type="fixed"/>
                <w:tblCellMar>
                  <w:top w:w="0" w:type="dxa"/>
                  <w:left w:w="0" w:type="dxa"/>
                  <w:bottom w:w="0" w:type="dxa"/>
                  <w:right w:w="0" w:type="dxa"/>
                </w:tblCellMar>
              </w:tblPrEx>
              <w:trPr>
                <w:trHeight w:val="979"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消防疏散指标灯</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光源类型：LED、应急时间≥60min</w:t>
                  </w:r>
                </w:p>
              </w:tc>
            </w:tr>
            <w:tr>
              <w:tblPrEx>
                <w:tblLayout w:type="fixed"/>
                <w:tblCellMar>
                  <w:top w:w="0" w:type="dxa"/>
                  <w:left w:w="0" w:type="dxa"/>
                  <w:bottom w:w="0" w:type="dxa"/>
                  <w:right w:w="0" w:type="dxa"/>
                </w:tblCellMar>
              </w:tblPrEx>
              <w:trPr>
                <w:trHeight w:val="597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配电室JDS型热熔胶灭火装置</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89"/>
                      <w:lang w:val="en-US" w:eastAsia="zh-CN" w:bidi="ar"/>
                    </w:rPr>
                  </w:pPr>
                  <w:r>
                    <w:rPr>
                      <w:rStyle w:val="89"/>
                      <w:lang w:val="en-US" w:eastAsia="zh-CN" w:bidi="ar"/>
                    </w:rPr>
                    <w:t>工作环境 －20℃~＋55℃</w:t>
                  </w:r>
                  <w:r>
                    <w:rPr>
                      <w:rStyle w:val="89"/>
                      <w:lang w:val="en-US" w:eastAsia="zh-CN" w:bidi="ar"/>
                    </w:rPr>
                    <w:br w:type="textWrapping"/>
                  </w:r>
                  <w:r>
                    <w:rPr>
                      <w:rStyle w:val="89"/>
                      <w:lang w:val="en-US" w:eastAsia="zh-CN" w:bidi="ar"/>
                    </w:rPr>
                    <w:t xml:space="preserve">工作环境相对湿度 ≤95％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89"/>
                      <w:lang w:val="en-US" w:eastAsia="zh-CN" w:bidi="ar"/>
                    </w:rPr>
                    <w:t>工作贮存压力：常压</w:t>
                  </w:r>
                  <w:r>
                    <w:rPr>
                      <w:rStyle w:val="89"/>
                      <w:lang w:val="en-US" w:eastAsia="zh-CN" w:bidi="ar"/>
                    </w:rPr>
                    <w:br w:type="textWrapping"/>
                  </w:r>
                  <w:r>
                    <w:rPr>
                      <w:rStyle w:val="89"/>
                      <w:lang w:val="en-US" w:eastAsia="zh-CN" w:bidi="ar"/>
                    </w:rPr>
                    <w:t>灭火剂密度 130-150</w:t>
                  </w:r>
                  <w:r>
                    <w:rPr>
                      <w:rStyle w:val="90"/>
                      <w:lang w:val="en-US" w:eastAsia="zh-CN" w:bidi="ar"/>
                    </w:rPr>
                    <w:t>g/m³</w:t>
                  </w:r>
                  <w:r>
                    <w:rPr>
                      <w:rStyle w:val="89"/>
                      <w:lang w:val="en-US" w:eastAsia="zh-CN" w:bidi="ar"/>
                    </w:rPr>
                    <w:t xml:space="preserve">                        </w:t>
                  </w:r>
                  <w:r>
                    <w:rPr>
                      <w:rStyle w:val="90"/>
                      <w:lang w:val="en-US" w:eastAsia="zh-CN" w:bidi="ar"/>
                    </w:rPr>
                    <w:br w:type="textWrapping"/>
                  </w:r>
                  <w:r>
                    <w:rPr>
                      <w:rStyle w:val="90"/>
                      <w:lang w:val="en-US" w:eastAsia="zh-CN" w:bidi="ar"/>
                    </w:rPr>
                    <w:t>灭火时间：喷射结束后30s内</w:t>
                  </w:r>
                  <w:r>
                    <w:rPr>
                      <w:rStyle w:val="90"/>
                      <w:lang w:val="en-US" w:eastAsia="zh-CN" w:bidi="ar"/>
                    </w:rPr>
                    <w:br w:type="textWrapping"/>
                  </w:r>
                  <w:r>
                    <w:rPr>
                      <w:rStyle w:val="90"/>
                      <w:lang w:val="en-US" w:eastAsia="zh-CN" w:bidi="ar"/>
                    </w:rPr>
                    <w:t>喷放时间 ≤120s</w:t>
                  </w:r>
                  <w:r>
                    <w:rPr>
                      <w:rStyle w:val="90"/>
                      <w:lang w:val="en-US" w:eastAsia="zh-CN" w:bidi="ar"/>
                    </w:rPr>
                    <w:br w:type="textWrapping"/>
                  </w:r>
                  <w:r>
                    <w:rPr>
                      <w:rStyle w:val="90"/>
                      <w:lang w:val="en-US" w:eastAsia="zh-CN" w:bidi="ar"/>
                    </w:rPr>
                    <w:t>喷口 5mm 处出口温度 落地式≤180℃、</w:t>
                  </w:r>
                  <w:r>
                    <w:rPr>
                      <w:rStyle w:val="89"/>
                      <w:lang w:val="en-US" w:eastAsia="zh-CN" w:bidi="ar"/>
                    </w:rPr>
                    <w:t xml:space="preserve"> </w:t>
                  </w:r>
                  <w:r>
                    <w:rPr>
                      <w:rStyle w:val="90"/>
                      <w:lang w:val="en-US" w:eastAsia="zh-CN" w:bidi="ar"/>
                    </w:rPr>
                    <w:t>箱体表面温度 落地式≤100℃</w:t>
                  </w:r>
                  <w:r>
                    <w:rPr>
                      <w:rStyle w:val="89"/>
                      <w:lang w:val="en-US" w:eastAsia="zh-CN" w:bidi="ar"/>
                    </w:rPr>
                    <w:t xml:space="preserve"> </w:t>
                  </w:r>
                  <w:r>
                    <w:rPr>
                      <w:rStyle w:val="90"/>
                      <w:lang w:val="en-US" w:eastAsia="zh-CN" w:bidi="ar"/>
                    </w:rPr>
                    <w:br w:type="textWrapping"/>
                  </w:r>
                  <w:r>
                    <w:rPr>
                      <w:rStyle w:val="90"/>
                      <w:lang w:val="en-US" w:eastAsia="zh-CN" w:bidi="ar"/>
                    </w:rPr>
                    <w:t>直流电阻 1~</w:t>
                  </w:r>
                  <w:r>
                    <w:rPr>
                      <w:rStyle w:val="91"/>
                      <w:lang w:val="en-US" w:eastAsia="zh-CN" w:bidi="ar"/>
                    </w:rPr>
                    <w:t>8</w:t>
                  </w:r>
                  <w:r>
                    <w:rPr>
                      <w:rStyle w:val="90"/>
                      <w:lang w:val="en-US" w:eastAsia="zh-CN" w:bidi="ar"/>
                    </w:rPr>
                    <w:t>Ω</w:t>
                  </w:r>
                  <w:r>
                    <w:rPr>
                      <w:rStyle w:val="90"/>
                      <w:lang w:val="en-US" w:eastAsia="zh-CN" w:bidi="ar"/>
                    </w:rPr>
                    <w:br w:type="textWrapping"/>
                  </w:r>
                  <w:r>
                    <w:rPr>
                      <w:rStyle w:val="90"/>
                      <w:lang w:val="en-US" w:eastAsia="zh-CN" w:bidi="ar"/>
                    </w:rPr>
                    <w:t xml:space="preserve">启动条件 DC24V/1A(最小启动电流 </w:t>
                  </w:r>
                  <w:r>
                    <w:rPr>
                      <w:rStyle w:val="89"/>
                      <w:lang w:val="en-US" w:eastAsia="zh-CN" w:bidi="ar"/>
                    </w:rPr>
                    <w:t>45</w:t>
                  </w:r>
                  <w:r>
                    <w:rPr>
                      <w:rStyle w:val="90"/>
                      <w:lang w:val="en-US" w:eastAsia="zh-CN" w:bidi="ar"/>
                    </w:rPr>
                    <w:t>0mA）</w:t>
                  </w:r>
                  <w:r>
                    <w:rPr>
                      <w:rStyle w:val="90"/>
                      <w:lang w:val="en-US" w:eastAsia="zh-CN" w:bidi="ar"/>
                    </w:rPr>
                    <w:br w:type="textWrapping"/>
                  </w:r>
                  <w:r>
                    <w:rPr>
                      <w:rStyle w:val="90"/>
                      <w:lang w:val="en-US" w:eastAsia="zh-CN" w:bidi="ar"/>
                    </w:rPr>
                    <w:t>安全电流 150mA/5min</w:t>
                  </w:r>
                  <w:r>
                    <w:rPr>
                      <w:rStyle w:val="90"/>
                      <w:lang w:val="en-US" w:eastAsia="zh-CN" w:bidi="ar"/>
                    </w:rPr>
                    <w:br w:type="textWrapping"/>
                  </w:r>
                  <w:r>
                    <w:rPr>
                      <w:rStyle w:val="90"/>
                      <w:lang w:val="en-US" w:eastAsia="zh-CN" w:bidi="ar"/>
                    </w:rPr>
                    <w:t>多台联动方式 串联方式</w:t>
                  </w:r>
                  <w:r>
                    <w:rPr>
                      <w:rStyle w:val="90"/>
                      <w:lang w:val="en-US" w:eastAsia="zh-CN" w:bidi="ar"/>
                    </w:rPr>
                    <w:br w:type="textWrapping"/>
                  </w:r>
                  <w:r>
                    <w:rPr>
                      <w:rStyle w:val="90"/>
                      <w:lang w:val="en-US" w:eastAsia="zh-CN" w:bidi="ar"/>
                    </w:rPr>
                    <w:t>有效期 7 年</w:t>
                  </w:r>
                  <w:r>
                    <w:rPr>
                      <w:rStyle w:val="90"/>
                      <w:lang w:val="en-US" w:eastAsia="zh-CN" w:bidi="ar"/>
                    </w:rPr>
                    <w:br w:type="textWrapping"/>
                  </w:r>
                  <w:r>
                    <w:rPr>
                      <w:rStyle w:val="90"/>
                      <w:lang w:val="en-US" w:eastAsia="zh-CN" w:bidi="ar"/>
                    </w:rPr>
                    <w:t>生成物绝缘性能 ＞105MΩ(无腐蚀性：黄铜板颜色无明显变化</w:t>
                  </w:r>
                  <w:r>
                    <w:rPr>
                      <w:rStyle w:val="90"/>
                      <w:lang w:val="en-US" w:eastAsia="zh-CN" w:bidi="ar"/>
                    </w:rPr>
                    <w:br w:type="textWrapping"/>
                  </w:r>
                  <w:r>
                    <w:rPr>
                      <w:rStyle w:val="90"/>
                      <w:lang w:val="en-US" w:eastAsia="zh-CN" w:bidi="ar"/>
                    </w:rPr>
                    <w:t>灭火剂化学组分 硝酸锶、硝酸钾 45％~70％（W/W）</w:t>
                  </w:r>
                  <w:r>
                    <w:rPr>
                      <w:rStyle w:val="90"/>
                      <w:lang w:val="en-US" w:eastAsia="zh-CN" w:bidi="ar"/>
                    </w:rPr>
                    <w:br w:type="textWrapping"/>
                  </w:r>
                  <w:r>
                    <w:rPr>
                      <w:rStyle w:val="90"/>
                      <w:lang w:val="en-US" w:eastAsia="zh-CN" w:bidi="ar"/>
                    </w:rPr>
                    <w:t>毒性试验 试验结束后小鼠未丧失逃离能力，试验结束后 3d 之内未死亡</w:t>
                  </w:r>
                </w:p>
              </w:tc>
            </w:tr>
            <w:tr>
              <w:tblPrEx>
                <w:tblLayout w:type="fixed"/>
                <w:tblCellMar>
                  <w:top w:w="0" w:type="dxa"/>
                  <w:left w:w="0" w:type="dxa"/>
                  <w:bottom w:w="0" w:type="dxa"/>
                  <w:right w:w="0" w:type="dxa"/>
                </w:tblCellMar>
              </w:tblPrEx>
              <w:trPr>
                <w:trHeight w:val="795"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消防报警主机</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需解决故障为：1.图形显示器：信息无法查询存储2、联动控制器无法手动启动排烟风机</w:t>
                  </w:r>
                </w:p>
              </w:tc>
            </w:tr>
            <w:tr>
              <w:tblPrEx>
                <w:tblLayout w:type="fixed"/>
                <w:tblCellMar>
                  <w:top w:w="0" w:type="dxa"/>
                  <w:left w:w="0" w:type="dxa"/>
                  <w:bottom w:w="0" w:type="dxa"/>
                  <w:right w:w="0" w:type="dxa"/>
                </w:tblCellMar>
              </w:tblPrEx>
              <w:trPr>
                <w:trHeight w:val="819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常闭防火门增加电磁锁</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850双门磁力/门禁卡/门禁电源/出门按钮/指纹门禁控制器  1、门禁(指纹,密码,卡片)   2、语音提示 、485 联网 、防拆报警    3、30000 条开锁记录、USB 数据通讯  4、多种识别方式（指纹，密码，卡片） 360  度全方位指纹识别，防假模   5、真人语音报读     6、自动生成报表   7、可联网也可脱机运行  8、金属外壳，防砸防拆 电容感应触摸键盘      9、临时密码设置    10、用户资料可导入导出   11、与电梯控制系统联网（指纹识别乘电梯）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1、TCP/IP  10M/100M自适应   2、可管理一个门的进出刷卡和出门按钮，或进出门都刷卡  3、配套电源功率：12VDC  4-7A   4、电路板功耗小于100mA   5、读卡器输入格式：Wiegand26/34   6、可接读卡器数：一对  7、可控制门输出：一组   8、开门延长时间：1-600秒可调  9、最大联网数：不限  10、使用温度：-40℃~70℃   11、使用湿度：10~90%RH，无冷凝   12、记录脱机存储数量：10万条存储记录   13、停电保护措施：高速闪存设计，永不丢失 14、读卡器到控制器最大联机距离：100米，建议在80米以内   15、控制器到控制器最大联机距离：TCP/IP通讯方式：视网络覆盖范围而定  16、消防联动防盗报警：如果不连接2000P扩展板，只具备软件的报警提示，并驱动电脑音箱予以报警   17、报警联动：如果连接2000P报警扩展联动板，则具备硬件报警输出功能单门含机箱电源</w:t>
                  </w:r>
                </w:p>
              </w:tc>
            </w:tr>
            <w:tr>
              <w:tblPrEx>
                <w:tblLayout w:type="fixed"/>
                <w:tblCellMar>
                  <w:top w:w="0" w:type="dxa"/>
                  <w:left w:w="0" w:type="dxa"/>
                  <w:bottom w:w="0" w:type="dxa"/>
                  <w:right w:w="0"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消防高位水箱</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4m*3m*2.0m不锈钢材质</w:t>
                  </w:r>
                </w:p>
              </w:tc>
            </w:tr>
            <w:tr>
              <w:tblPrEx>
                <w:tblLayout w:type="fixed"/>
                <w:tblCellMar>
                  <w:top w:w="0" w:type="dxa"/>
                  <w:left w:w="0" w:type="dxa"/>
                  <w:bottom w:w="0" w:type="dxa"/>
                  <w:right w:w="0" w:type="dxa"/>
                </w:tblCellMar>
              </w:tblPrEx>
              <w:trPr>
                <w:trHeight w:val="78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干粉灭火器</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推车式16具，手提式484具，检验合格帖及检验合格报告</w:t>
                  </w:r>
                </w:p>
              </w:tc>
            </w:tr>
            <w:tr>
              <w:tblPrEx>
                <w:tblLayout w:type="fixed"/>
                <w:tblCellMar>
                  <w:top w:w="0" w:type="dxa"/>
                  <w:left w:w="0" w:type="dxa"/>
                  <w:bottom w:w="0" w:type="dxa"/>
                  <w:right w:w="0" w:type="dxa"/>
                </w:tblCellMar>
              </w:tblPrEx>
              <w:trPr>
                <w:trHeight w:val="60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摄像头</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感器类型1/2.8英寸CMOS；像素200万；最大分辨率1920×1080；最低照度0.002Lux（彩色模式）；0.0002Lux（黑白模式）；0Lux（补光灯开启）；最大补光距离50m（红外）；镜头类型定焦；镜头焦距12mm；通用行为分析绊线入侵；区域入侵；视频压缩标准H.265；H.264；H.264H；H.264B；MJPEG；智能编码H.264：支持H.265：支持；宽动态120dB；报警事件网络断开；IP冲突；非法访问；动态检测；视频遮挡；绊线入侵；区域入侵；场景变更；电压检测；安全异常；接入标准ONVIF（Profile S） ；GB/T28181；乐橙；CGI；供电方式DC12V/POE；防护等级IP67</w:t>
                  </w:r>
                </w:p>
              </w:tc>
            </w:tr>
            <w:tr>
              <w:tblPrEx>
                <w:tblLayout w:type="fixed"/>
                <w:tblCellMar>
                  <w:top w:w="0" w:type="dxa"/>
                  <w:left w:w="0" w:type="dxa"/>
                  <w:bottom w:w="0" w:type="dxa"/>
                  <w:right w:w="0" w:type="dxa"/>
                </w:tblCellMar>
              </w:tblPrEx>
              <w:trPr>
                <w:trHeight w:val="499"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支架（加长支架）</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铝制加长杆600mm-1200mm</w:t>
                  </w:r>
                </w:p>
              </w:tc>
            </w:tr>
            <w:tr>
              <w:tblPrEx>
                <w:tblLayout w:type="fixed"/>
                <w:tblCellMar>
                  <w:top w:w="0" w:type="dxa"/>
                  <w:left w:w="0" w:type="dxa"/>
                  <w:bottom w:w="0" w:type="dxa"/>
                  <w:right w:w="0" w:type="dxa"/>
                </w:tblCellMar>
              </w:tblPrEx>
              <w:trPr>
                <w:trHeight w:val="522"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安防专用超五类双绞线</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UTP-15-5E-4P-AF</w:t>
                  </w:r>
                </w:p>
              </w:tc>
            </w:tr>
            <w:tr>
              <w:tblPrEx>
                <w:tblLayout w:type="fixed"/>
                <w:tblCellMar>
                  <w:top w:w="0" w:type="dxa"/>
                  <w:left w:w="0" w:type="dxa"/>
                  <w:bottom w:w="0" w:type="dxa"/>
                  <w:right w:w="0" w:type="dxa"/>
                </w:tblCellMar>
              </w:tblPrEx>
              <w:trPr>
                <w:trHeight w:val="499"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穿线管材</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PVC/钢管</w:t>
                  </w:r>
                </w:p>
              </w:tc>
            </w:tr>
            <w:tr>
              <w:tblPrEx>
                <w:tblLayout w:type="fixed"/>
                <w:tblCellMar>
                  <w:top w:w="0" w:type="dxa"/>
                  <w:left w:w="0" w:type="dxa"/>
                  <w:bottom w:w="0" w:type="dxa"/>
                  <w:right w:w="0" w:type="dxa"/>
                </w:tblCellMar>
              </w:tblPrEx>
              <w:trPr>
                <w:trHeight w:val="60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以太网交换机</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高功率千兆PoE交换机24个千兆PoE电口，2个千兆电口，2个千兆光口</w:t>
                  </w:r>
                </w:p>
              </w:tc>
            </w:tr>
            <w:tr>
              <w:tblPrEx>
                <w:tblLayout w:type="fixed"/>
                <w:tblCellMar>
                  <w:top w:w="0" w:type="dxa"/>
                  <w:left w:w="0" w:type="dxa"/>
                  <w:bottom w:w="0" w:type="dxa"/>
                  <w:right w:w="0" w:type="dxa"/>
                </w:tblCellMar>
              </w:tblPrEx>
              <w:trPr>
                <w:trHeight w:val="60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电脑桌</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1.2m*0.9m*0.8m金属中控台</w:t>
                  </w:r>
                </w:p>
              </w:tc>
            </w:tr>
            <w:tr>
              <w:tblPrEx>
                <w:tblLayout w:type="fixed"/>
                <w:tblCellMar>
                  <w:top w:w="0" w:type="dxa"/>
                  <w:left w:w="0" w:type="dxa"/>
                  <w:bottom w:w="0" w:type="dxa"/>
                  <w:right w:w="0" w:type="dxa"/>
                </w:tblCellMar>
              </w:tblPrEx>
              <w:trPr>
                <w:trHeight w:val="60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椅子</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面料材质网布、可升降、铝合金制脚</w:t>
                  </w:r>
                </w:p>
              </w:tc>
            </w:tr>
            <w:tr>
              <w:tblPrEx>
                <w:tblLayout w:type="fixed"/>
                <w:tblCellMar>
                  <w:top w:w="0" w:type="dxa"/>
                  <w:left w:w="0" w:type="dxa"/>
                  <w:bottom w:w="0" w:type="dxa"/>
                  <w:right w:w="0" w:type="dxa"/>
                </w:tblCellMar>
              </w:tblPrEx>
              <w:trPr>
                <w:trHeight w:val="679"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台式电脑</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 i5 6核、8gDDR4内存、500g固态硬盘、独显、27寸显示器</w:t>
                  </w:r>
                </w:p>
              </w:tc>
            </w:tr>
            <w:tr>
              <w:tblPrEx>
                <w:tblLayout w:type="fixed"/>
                <w:tblCellMar>
                  <w:top w:w="0" w:type="dxa"/>
                  <w:left w:w="0" w:type="dxa"/>
                  <w:bottom w:w="0" w:type="dxa"/>
                  <w:right w:w="0" w:type="dxa"/>
                </w:tblCellMar>
              </w:tblPrEx>
              <w:trPr>
                <w:trHeight w:val="5265"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电视墙监视器（55寸）</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采用工业级液晶面板，超长寿命LED背光源，适合7*24小时连续工作，专为监控设计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四等边设计、隐藏式红外接收，外形更美观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4K超高清显示，1.07B显示色彩，真实再现画面的每一个细节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采用自动色彩及图像增强处理器，画质优化，细节处理佳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高亮度、高对比度、高清晰度，提升画面层次感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画面快速响应，真正无拖影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自动消除残影功能，保护液晶屏的长期使用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专业散热设计，延长设备使用寿命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内置高性能电源设计，能耗低，静音</w:t>
                  </w:r>
                </w:p>
              </w:tc>
            </w:tr>
            <w:tr>
              <w:tblPrEx>
                <w:tblLayout w:type="fixed"/>
                <w:tblCellMar>
                  <w:top w:w="0" w:type="dxa"/>
                  <w:left w:w="0" w:type="dxa"/>
                  <w:bottom w:w="0" w:type="dxa"/>
                  <w:right w:w="0" w:type="dxa"/>
                </w:tblCellMar>
              </w:tblPrEx>
              <w:trPr>
                <w:trHeight w:val="619"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脚手架搭拆</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180*95*170</w:t>
                  </w:r>
                </w:p>
              </w:tc>
            </w:tr>
            <w:tr>
              <w:tblPrEx>
                <w:tblLayout w:type="fixed"/>
                <w:tblCellMar>
                  <w:top w:w="0" w:type="dxa"/>
                  <w:left w:w="0" w:type="dxa"/>
                  <w:bottom w:w="0" w:type="dxa"/>
                  <w:right w:w="0" w:type="dxa"/>
                </w:tblCellMar>
              </w:tblPrEx>
              <w:trPr>
                <w:trHeight w:val="7830"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硬盘录像机</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最大可接入4块接口为SATA的硬盘，单硬盘容量支持最大支持10TB，并支持SSD固态硬盘。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★可将接入720P、1.3MP、1080P、3MP、4MP、5MP、6MP、8MP、12MP摄像机的图像以多画面分割方式显示并进行调整(公安检测报告证明)；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解码能力2×4K/4×4M/8×1080P/16×720P。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★数据和密钥数据均户样机后台配置数据、帐用了AES256加密技术加密存储(公安检测报告证明)；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网络视频接入32路。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网络带宽接入200Mbps,储存128Mbps,转发128Mbps。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★可同时接1路主码流，2个辅码流的视频图像(公安检测报告证明)。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★当设备出现以下4种安全异常：1、非法可执行程序运行预警；2、WEB 路径暴力破解预警；3、会话连接超限预警；4、会话ID暴力破解预警；其中任意一个时，可以触发联动报警(公安检测报告证明)。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支持接入相机分辨率4K/6M/5M/4M/3M/1080P/1.3M/720P。</w:t>
                  </w:r>
                </w:p>
              </w:tc>
            </w:tr>
            <w:tr>
              <w:tblPrEx>
                <w:tblLayout w:type="fixed"/>
                <w:tblCellMar>
                  <w:top w:w="0" w:type="dxa"/>
                  <w:left w:w="0" w:type="dxa"/>
                  <w:bottom w:w="0" w:type="dxa"/>
                  <w:right w:w="0" w:type="dxa"/>
                </w:tblCellMar>
              </w:tblPrEx>
              <w:trPr>
                <w:trHeight w:val="7445"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解码器</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1.支持9路HDMI音视频信号输出接口，支持MPEG2/MPEG4/H.264/H.265/SVAC/MJPEG标准网络视频流解码；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2.支持1/4/9/16画面分割切换；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3.★通讯接口: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3个RS-232(2个RJ45、一个DB9)、1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个RS-485、2个USB(公安检测报告证明)；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4.★可通过HDMI接口同时将4路分辨率为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3840×2160的视频图像和2路分辨率为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2560×1600的视频图像显示输出至6台分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辨率为3840×2160的显示终端上(公安检测报告证明)；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5.HDMI输出接口支持3840x2160,，1920x1080,1280x1024，1280x720，1024x768五种显示分辨率；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6.★通过网络抓屏软件，可将远程电脑桌面实时解码上墙显示;可对桌面整屏、单窗口、自定义区域抓屏上墙;可同时支持多个抓屏任务(公安检测报告证明)；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7.支持2个10M/100M/1000M自适应以太网接口</w:t>
                  </w:r>
                </w:p>
              </w:tc>
            </w:tr>
            <w:tr>
              <w:tblPrEx>
                <w:tblLayout w:type="fixed"/>
                <w:tblCellMar>
                  <w:top w:w="0" w:type="dxa"/>
                  <w:left w:w="0" w:type="dxa"/>
                  <w:bottom w:w="0" w:type="dxa"/>
                  <w:right w:w="0" w:type="dxa"/>
                </w:tblCellMar>
              </w:tblPrEx>
              <w:trPr>
                <w:trHeight w:val="702"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 盘</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ST6000NM021A  SATA接口</w:t>
                  </w:r>
                </w:p>
              </w:tc>
            </w:tr>
            <w:tr>
              <w:tblPrEx>
                <w:tblLayout w:type="fixed"/>
                <w:tblCellMar>
                  <w:top w:w="0" w:type="dxa"/>
                  <w:left w:w="0" w:type="dxa"/>
                  <w:bottom w:w="0" w:type="dxa"/>
                  <w:right w:w="0" w:type="dxa"/>
                </w:tblCellMar>
              </w:tblPrEx>
              <w:trPr>
                <w:trHeight w:val="1062"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配电室直流屏电池组</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配电室DJM1250S（12V50AH,20hr）电池组18块</w:t>
                  </w:r>
                </w:p>
              </w:tc>
            </w:tr>
          </w:tbl>
          <w:p>
            <w:pPr>
              <w:adjustRightInd w:val="0"/>
              <w:snapToGrid w:val="0"/>
              <w:ind w:hanging="1"/>
              <w:jc w:val="center"/>
              <w:rPr>
                <w:rFonts w:ascii="仿宋_GB2312" w:hAnsi="仿宋_GB2312" w:eastAsia="仿宋_GB2312" w:cs="仿宋_GB2312"/>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76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5111"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79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76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numPr>
          <w:ilvl w:val="0"/>
          <w:numId w:val="4"/>
        </w:num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“投标文件响应内容”一栏由投标人根据所投报产品的真实技术参数逐项对照填写，且须与所提供的投报产品的证明资料相一致。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4.投标人填报本表有以下情形之一的，将被认定为无效投标文件：</w:t>
      </w:r>
    </w:p>
    <w:p>
      <w:pPr>
        <w:adjustRightInd w:val="0"/>
        <w:snapToGrid w:val="0"/>
        <w:spacing w:line="360" w:lineRule="auto"/>
        <w:rPr>
          <w:rFonts w:hint="eastAsia" w:ascii="仿宋" w:hAnsi="仿宋" w:eastAsia="仿宋_GB2312" w:cs="仿宋"/>
          <w:b/>
          <w:bCs/>
          <w:sz w:val="24"/>
        </w:rPr>
      </w:pPr>
      <w:r>
        <w:rPr>
          <w:rFonts w:hint="eastAsia" w:ascii="仿宋" w:hAnsi="仿宋" w:eastAsia="仿宋" w:cs="仿宋"/>
          <w:b/>
          <w:bCs/>
          <w:sz w:val="24"/>
        </w:rPr>
        <w:t>①</w:t>
      </w:r>
      <w:r>
        <w:rPr>
          <w:rFonts w:hint="eastAsia" w:ascii="仿宋_GB2312" w:hAnsi="仿宋_GB2312" w:eastAsia="仿宋_GB2312" w:cs="仿宋_GB2312"/>
          <w:b/>
          <w:bCs/>
          <w:sz w:val="24"/>
        </w:rPr>
        <w:t>★标注项出现负偏离的；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②</w:t>
      </w:r>
      <w:r>
        <w:rPr>
          <w:rFonts w:hint="eastAsia" w:ascii="仿宋_GB2312" w:hAnsi="仿宋_GB2312" w:eastAsia="仿宋_GB2312" w:cs="仿宋_GB2312"/>
          <w:b/>
          <w:bCs/>
          <w:sz w:val="24"/>
        </w:rPr>
        <w:t>投标文件响应内容未逐项填写的；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③</w:t>
      </w:r>
      <w:r>
        <w:rPr>
          <w:rFonts w:hint="eastAsia" w:ascii="仿宋_GB2312" w:hAnsi="仿宋_GB2312" w:eastAsia="仿宋_GB2312" w:cs="仿宋_GB2312"/>
          <w:b/>
          <w:bCs/>
          <w:sz w:val="24"/>
        </w:rPr>
        <w:t>所投报产品响应内容与证明资料不相符的；</w:t>
      </w:r>
    </w:p>
    <w:p>
      <w:pPr>
        <w:adjustRightInd w:val="0"/>
        <w:snapToGrid w:val="0"/>
        <w:spacing w:line="360" w:lineRule="auto"/>
        <w:rPr>
          <w:rFonts w:ascii="仿宋_GB2312" w:hAnsi="仿宋_GB2312" w:eastAsia="仿宋_GB2312" w:cs="仿宋_GB2312"/>
          <w:b/>
          <w:bCs/>
          <w:sz w:val="24"/>
        </w:rPr>
      </w:pPr>
      <w:r>
        <w:rPr>
          <w:rFonts w:hint="eastAsia" w:ascii="仿宋" w:hAnsi="仿宋" w:eastAsia="仿宋" w:cs="仿宋"/>
          <w:b/>
          <w:bCs/>
          <w:sz w:val="24"/>
        </w:rPr>
        <w:t>④</w:t>
      </w:r>
      <w:r>
        <w:rPr>
          <w:rFonts w:hint="eastAsia" w:ascii="仿宋_GB2312" w:hAnsi="仿宋_GB2312" w:eastAsia="仿宋_GB2312" w:cs="仿宋_GB2312"/>
          <w:b/>
          <w:bCs/>
          <w:sz w:val="24"/>
        </w:rPr>
        <w:t>偏离程度表述不真实的。</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8" w:name="_Toc8488_WPSOffice_Level2"/>
      <w:bookmarkStart w:id="119" w:name="_Toc4431_WPSOffice_Level2"/>
      <w:r>
        <w:rPr>
          <w:rFonts w:hint="eastAsia" w:ascii="仿宋_GB2312" w:hAnsi="仿宋_GB2312" w:eastAsia="仿宋_GB2312" w:cs="仿宋_GB2312"/>
          <w:b/>
          <w:bCs/>
          <w:sz w:val="32"/>
          <w:szCs w:val="32"/>
        </w:rPr>
        <w:t>商务条款偏离表</w:t>
      </w:r>
      <w:bookmarkEnd w:id="118"/>
      <w:bookmarkEnd w:id="119"/>
    </w:p>
    <w:sdt>
      <w:sdtPr>
        <w:alias w:val="一表（对项目或各包的要求）"/>
        <w:tag w:val="一表（对项目或各包的要求）"/>
        <w:id w:val="1558982016"/>
        <w:lock w:val="sdtLocked"/>
        <w:placeholder>
          <w:docPart w:val="A2D9C01216C04FD7AA7E936E12953AFD"/>
        </w:placeholder>
      </w:sdtPr>
      <w:sdtContent>
        <w:p/>
        <w:tbl>
          <w:tblPr>
            <w:tblStyle w:val="19"/>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交货/交付时间：合同确定后一个月</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color w:val="000000"/>
                    <w:kern w:val="0"/>
                    <w:sz w:val="20"/>
                    <w:szCs w:val="21"/>
                  </w:rPr>
                  <w:t>交货/交付地点：</w:t>
                </w:r>
                <w:r>
                  <w:rPr>
                    <w:rFonts w:hint="eastAsia" w:ascii="仿宋_GB2312" w:hAnsi="仿宋_GB2312" w:eastAsia="仿宋_GB2312" w:cs="仿宋_GB2312"/>
                    <w:color w:val="000000"/>
                    <w:kern w:val="0"/>
                    <w:sz w:val="20"/>
                    <w:szCs w:val="21"/>
                    <w:lang w:eastAsia="zh-CN"/>
                  </w:rPr>
                  <w:t>甲方指定地点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付款方式及条件：验收合格一周内后付97%，质保期满后再付3%</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  ）年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    ）年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    ）小时内响应；（     ）小时内到达</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05" w:rightChars="5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0" w:name="_Toc20929_WPSOffice_Level2"/>
      <w:bookmarkStart w:id="121" w:name="_Toc9410_WPSOffice_Level2"/>
      <w:r>
        <w:rPr>
          <w:rFonts w:hint="eastAsia" w:ascii="仿宋_GB2312" w:hAnsi="仿宋_GB2312" w:eastAsia="仿宋_GB2312" w:cs="仿宋_GB2312"/>
          <w:b/>
          <w:bCs/>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31070_WPSOffice_Level2"/>
      <w:bookmarkStart w:id="123" w:name="_Toc2074_WPSOffice_Level2"/>
      <w:r>
        <w:rPr>
          <w:rFonts w:hint="eastAsia" w:ascii="仿宋_GB2312" w:hAnsi="仿宋_GB2312" w:eastAsia="仿宋_GB2312" w:cs="仿宋_GB2312"/>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27053_WPSOffice_Level2"/>
      <w:bookmarkStart w:id="125" w:name="_Toc889_WPSOffice_Level2"/>
      <w:r>
        <w:rPr>
          <w:rFonts w:hint="eastAsia" w:ascii="仿宋_GB2312" w:hAnsi="仿宋_GB2312" w:eastAsia="仿宋_GB2312" w:cs="仿宋_GB2312"/>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6" w:name="_Toc6847_WPSOffice_Level2"/>
      <w:bookmarkStart w:id="127" w:name="_Toc13329_WPSOffice_Level2"/>
      <w:r>
        <w:rPr>
          <w:rFonts w:hint="eastAsia" w:ascii="仿宋_GB2312" w:hAnsi="仿宋_GB2312" w:eastAsia="仿宋_GB2312" w:cs="仿宋_GB2312"/>
          <w:b/>
          <w:bCs/>
          <w:sz w:val="32"/>
          <w:szCs w:val="32"/>
        </w:rPr>
        <w:t>进口产品制造厂家的授权书</w:t>
      </w:r>
      <w:bookmarkEnd w:id="126"/>
      <w:bookmarkEnd w:id="127"/>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8" w:name="_Toc4541_WPSOffice_Level2"/>
      <w:bookmarkStart w:id="129" w:name="_Toc19164_WPSOffice_Level2"/>
      <w:r>
        <w:rPr>
          <w:rFonts w:hint="eastAsia" w:ascii="仿宋_GB2312" w:hAnsi="仿宋_GB2312" w:eastAsia="仿宋_GB2312" w:cs="仿宋_GB2312"/>
          <w:b/>
          <w:bCs/>
          <w:sz w:val="32"/>
          <w:szCs w:val="32"/>
        </w:rPr>
        <w:t>中小企业声明函</w:t>
      </w:r>
      <w:bookmarkEnd w:id="128"/>
      <w:bookmarkEnd w:id="129"/>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 xml:space="preserve">，属于（中型企业、小型企业、微型企业）；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0" w:name="_Toc13566_WPSOffice_Level2"/>
      <w:bookmarkStart w:id="131" w:name="_Toc29880_WPSOffice_Level2"/>
      <w:r>
        <w:rPr>
          <w:rFonts w:hint="eastAsia" w:ascii="仿宋_GB2312" w:hAnsi="仿宋_GB2312" w:eastAsia="仿宋_GB2312" w:cs="仿宋_GB2312"/>
          <w:b/>
          <w:bCs/>
          <w:sz w:val="32"/>
          <w:szCs w:val="32"/>
        </w:rPr>
        <w:t>残疾人福利性单位声明函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bCs/>
          <w:szCs w:val="21"/>
        </w:rPr>
      </w:pPr>
      <w:r>
        <w:rPr>
          <w:rFonts w:hint="eastAsia" w:ascii="仿宋_GB2312" w:hAnsi="仿宋_GB2312" w:eastAsia="仿宋_GB2312" w:cs="仿宋_GB2312"/>
        </w:rPr>
        <w:br w:type="page"/>
      </w:r>
    </w:p>
    <w:sdt>
      <w:sdtPr>
        <w:rPr>
          <w:rFonts w:hint="default" w:ascii="仿宋" w:hAnsi="仿宋" w:eastAsia="仿宋"/>
          <w:sz w:val="24"/>
          <w:lang w:val="en-US"/>
        </w:rPr>
        <w:alias w:val="项目详细需求"/>
        <w:tag w:val="项目详细需求"/>
        <w:id w:val="-1361739487"/>
        <w:lock w:val="sdtLocked"/>
      </w:sdtPr>
      <w:sdtEndPr>
        <w:rPr>
          <w:rFonts w:hint="eastAsia" w:ascii="仿宋" w:hAnsi="仿宋" w:eastAsia="仿宋"/>
          <w:sz w:val="24"/>
          <w:lang w:val="en-US"/>
        </w:rPr>
      </w:sdtEndPr>
      <w:sdtContent>
        <w:tbl>
          <w:tblPr>
            <w:tblStyle w:val="19"/>
            <w:tblW w:w="8510" w:type="dxa"/>
            <w:tblInd w:w="0" w:type="dxa"/>
            <w:shd w:val="clear" w:color="auto" w:fill="auto"/>
            <w:tblLayout w:type="fixed"/>
            <w:tblCellMar>
              <w:top w:w="0" w:type="dxa"/>
              <w:left w:w="0" w:type="dxa"/>
              <w:bottom w:w="0" w:type="dxa"/>
              <w:right w:w="0" w:type="dxa"/>
            </w:tblCellMar>
          </w:tblPr>
          <w:tblGrid>
            <w:gridCol w:w="8366"/>
            <w:gridCol w:w="36"/>
            <w:gridCol w:w="36"/>
            <w:gridCol w:w="36"/>
            <w:gridCol w:w="36"/>
          </w:tblGrid>
          <w:tr>
            <w:tblPrEx>
              <w:shd w:val="clear" w:color="auto" w:fill="auto"/>
              <w:tblLayout w:type="fixed"/>
              <w:tblCellMar>
                <w:top w:w="0" w:type="dxa"/>
                <w:left w:w="0" w:type="dxa"/>
                <w:bottom w:w="0" w:type="dxa"/>
                <w:right w:w="0" w:type="dxa"/>
              </w:tblCellMar>
            </w:tblPrEx>
            <w:trPr>
              <w:trHeight w:val="240" w:hRule="atLeast"/>
            </w:trPr>
            <w:tc>
              <w:tcPr>
                <w:tcW w:w="8366" w:type="dxa"/>
                <w:tcBorders>
                  <w:top w:val="nil"/>
                  <w:left w:val="nil"/>
                  <w:bottom w:val="single" w:color="000000" w:sz="4" w:space="0"/>
                  <w:right w:val="nil"/>
                </w:tcBorders>
                <w:shd w:val="clear" w:color="auto" w:fill="auto"/>
                <w:tcMar>
                  <w:top w:w="15" w:type="dxa"/>
                  <w:left w:w="15" w:type="dxa"/>
                  <w:right w:w="15" w:type="dxa"/>
                </w:tcMar>
                <w:vAlign w:val="bottom"/>
              </w:tcPr>
              <w:p>
                <w:pPr>
                  <w:pStyle w:val="2"/>
                  <w:ind w:firstLine="723" w:firstLineChars="300"/>
                  <w:jc w:val="center"/>
                  <w:rPr>
                    <w:rFonts w:ascii="仿宋_GB2312" w:hAnsi="仿宋_GB2312" w:eastAsia="仿宋_GB2312" w:cs="仿宋_GB2312"/>
                    <w:b/>
                    <w:bCs/>
                    <w:szCs w:val="21"/>
                  </w:rPr>
                </w:pPr>
                <w:r>
                  <w:rPr>
                    <w:rFonts w:hint="eastAsia"/>
                  </w:rPr>
                  <w:t>第三章 货物需求</w:t>
                </w:r>
                <w:r>
                  <w:rPr>
                    <w:rFonts w:hint="eastAsia" w:ascii="仿宋_GB2312" w:hAnsi="仿宋_GB2312" w:eastAsia="仿宋_GB2312" w:cs="仿宋_GB2312"/>
                    <w:b/>
                    <w:bCs/>
                    <w:szCs w:val="21"/>
                  </w:rPr>
                  <w:t xml:space="preserve">  </w:t>
                </w:r>
              </w:p>
              <w:tbl>
                <w:tblPr>
                  <w:tblStyle w:val="19"/>
                  <w:tblW w:w="8331" w:type="dxa"/>
                  <w:tblInd w:w="0" w:type="dxa"/>
                  <w:tblLayout w:type="fixed"/>
                  <w:tblCellMar>
                    <w:top w:w="0" w:type="dxa"/>
                    <w:left w:w="0" w:type="dxa"/>
                    <w:bottom w:w="0" w:type="dxa"/>
                    <w:right w:w="0" w:type="dxa"/>
                  </w:tblCellMar>
                </w:tblPr>
                <w:tblGrid>
                  <w:gridCol w:w="291"/>
                  <w:gridCol w:w="1035"/>
                  <w:gridCol w:w="6204"/>
                  <w:gridCol w:w="291"/>
                  <w:gridCol w:w="510"/>
                </w:tblGrid>
                <w:tr>
                  <w:tblPrEx>
                    <w:tblLayout w:type="fixed"/>
                    <w:tblCellMar>
                      <w:top w:w="0" w:type="dxa"/>
                      <w:left w:w="0" w:type="dxa"/>
                      <w:bottom w:w="0" w:type="dxa"/>
                      <w:right w:w="0" w:type="dxa"/>
                    </w:tblCellMar>
                  </w:tblPrEx>
                  <w:trPr>
                    <w:trHeight w:val="90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技术规格（参数）要求</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Layout w:type="fixed"/>
                    <w:tblCellMar>
                      <w:top w:w="0" w:type="dxa"/>
                      <w:left w:w="0" w:type="dxa"/>
                      <w:bottom w:w="0" w:type="dxa"/>
                      <w:right w:w="0" w:type="dxa"/>
                    </w:tblCellMar>
                  </w:tblPrEx>
                  <w:trPr>
                    <w:trHeight w:val="66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防火门液压闭门器</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85-120kg 自动关门器505不定位</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r>
                <w:tr>
                  <w:tblPrEx>
                    <w:tblLayout w:type="fixed"/>
                    <w:tblCellMar>
                      <w:top w:w="0" w:type="dxa"/>
                      <w:left w:w="0" w:type="dxa"/>
                      <w:bottom w:w="0" w:type="dxa"/>
                      <w:right w:w="0" w:type="dxa"/>
                    </w:tblCellMar>
                  </w:tblPrEx>
                  <w:trPr>
                    <w:trHeight w:val="979"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消防疏散指标灯</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光源类型：LED、应急时间≥60min</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597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配电室JDS型热熔胶灭火装置</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lang w:val="en-US" w:eastAsia="zh-CN" w:bidi="ar"/>
                        </w:rPr>
                      </w:pPr>
                      <w:r>
                        <w:rPr>
                          <w:lang w:val="en-US" w:eastAsia="zh-CN" w:bidi="ar"/>
                        </w:rPr>
                        <w:t>工作环境 －20℃~＋55℃</w:t>
                      </w:r>
                      <w:r>
                        <w:rPr>
                          <w:lang w:val="en-US" w:eastAsia="zh-CN" w:bidi="ar"/>
                        </w:rPr>
                        <w:br w:type="textWrapping"/>
                      </w:r>
                      <w:r>
                        <w:rPr>
                          <w:lang w:val="en-US" w:eastAsia="zh-CN" w:bidi="ar"/>
                        </w:rPr>
                        <w:t xml:space="preserve">工作环境相对湿度 ≤95％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lang w:val="en-US" w:eastAsia="zh-CN" w:bidi="ar"/>
                        </w:rPr>
                        <w:t>工作贮存压力：常压</w:t>
                      </w:r>
                      <w:r>
                        <w:rPr>
                          <w:lang w:val="en-US" w:eastAsia="zh-CN" w:bidi="ar"/>
                        </w:rPr>
                        <w:br w:type="textWrapping"/>
                      </w:r>
                      <w:r>
                        <w:rPr>
                          <w:lang w:val="en-US" w:eastAsia="zh-CN" w:bidi="ar"/>
                        </w:rPr>
                        <w:t xml:space="preserve">灭火剂密度 130-150g/m³                        </w:t>
                      </w:r>
                      <w:r>
                        <w:rPr>
                          <w:lang w:val="en-US" w:eastAsia="zh-CN" w:bidi="ar"/>
                        </w:rPr>
                        <w:br w:type="textWrapping"/>
                      </w:r>
                      <w:r>
                        <w:rPr>
                          <w:lang w:val="en-US" w:eastAsia="zh-CN" w:bidi="ar"/>
                        </w:rPr>
                        <w:t>灭火时间：喷射结束后30s内</w:t>
                      </w:r>
                      <w:r>
                        <w:rPr>
                          <w:lang w:val="en-US" w:eastAsia="zh-CN" w:bidi="ar"/>
                        </w:rPr>
                        <w:br w:type="textWrapping"/>
                      </w:r>
                      <w:r>
                        <w:rPr>
                          <w:lang w:val="en-US" w:eastAsia="zh-CN" w:bidi="ar"/>
                        </w:rPr>
                        <w:t>喷放时间 ≤120s</w:t>
                      </w:r>
                      <w:r>
                        <w:rPr>
                          <w:lang w:val="en-US" w:eastAsia="zh-CN" w:bidi="ar"/>
                        </w:rPr>
                        <w:br w:type="textWrapping"/>
                      </w:r>
                      <w:r>
                        <w:rPr>
                          <w:lang w:val="en-US" w:eastAsia="zh-CN" w:bidi="ar"/>
                        </w:rPr>
                        <w:t xml:space="preserve">喷口 5mm 处出口温度 落地式≤180℃、 箱体表面温度 落地式≤100℃ </w:t>
                      </w:r>
                      <w:r>
                        <w:rPr>
                          <w:lang w:val="en-US" w:eastAsia="zh-CN" w:bidi="ar"/>
                        </w:rPr>
                        <w:br w:type="textWrapping"/>
                      </w:r>
                      <w:r>
                        <w:rPr>
                          <w:lang w:val="en-US" w:eastAsia="zh-CN" w:bidi="ar"/>
                        </w:rPr>
                        <w:t>直流电阻 1~8Ω</w:t>
                      </w:r>
                      <w:r>
                        <w:rPr>
                          <w:lang w:val="en-US" w:eastAsia="zh-CN" w:bidi="ar"/>
                        </w:rPr>
                        <w:br w:type="textWrapping"/>
                      </w:r>
                      <w:r>
                        <w:rPr>
                          <w:lang w:val="en-US" w:eastAsia="zh-CN" w:bidi="ar"/>
                        </w:rPr>
                        <w:t>启动条件 DC24V/1A(最小启动电流 450mA）</w:t>
                      </w:r>
                      <w:r>
                        <w:rPr>
                          <w:lang w:val="en-US" w:eastAsia="zh-CN" w:bidi="ar"/>
                        </w:rPr>
                        <w:br w:type="textWrapping"/>
                      </w:r>
                      <w:r>
                        <w:rPr>
                          <w:lang w:val="en-US" w:eastAsia="zh-CN" w:bidi="ar"/>
                        </w:rPr>
                        <w:t>安全电流 150mA/5min</w:t>
                      </w:r>
                      <w:r>
                        <w:rPr>
                          <w:lang w:val="en-US" w:eastAsia="zh-CN" w:bidi="ar"/>
                        </w:rPr>
                        <w:br w:type="textWrapping"/>
                      </w:r>
                      <w:r>
                        <w:rPr>
                          <w:lang w:val="en-US" w:eastAsia="zh-CN" w:bidi="ar"/>
                        </w:rPr>
                        <w:t>多台联动方式 串联方式</w:t>
                      </w:r>
                      <w:r>
                        <w:rPr>
                          <w:lang w:val="en-US" w:eastAsia="zh-CN" w:bidi="ar"/>
                        </w:rPr>
                        <w:br w:type="textWrapping"/>
                      </w:r>
                      <w:r>
                        <w:rPr>
                          <w:lang w:val="en-US" w:eastAsia="zh-CN" w:bidi="ar"/>
                        </w:rPr>
                        <w:t>有效期 7 年</w:t>
                      </w:r>
                      <w:r>
                        <w:rPr>
                          <w:lang w:val="en-US" w:eastAsia="zh-CN" w:bidi="ar"/>
                        </w:rPr>
                        <w:br w:type="textWrapping"/>
                      </w:r>
                      <w:r>
                        <w:rPr>
                          <w:lang w:val="en-US" w:eastAsia="zh-CN" w:bidi="ar"/>
                        </w:rPr>
                        <w:t>生成物绝缘性能 ＞105MΩ(无腐蚀性：黄铜板颜色无明显变化</w:t>
                      </w:r>
                      <w:r>
                        <w:rPr>
                          <w:lang w:val="en-US" w:eastAsia="zh-CN" w:bidi="ar"/>
                        </w:rPr>
                        <w:br w:type="textWrapping"/>
                      </w:r>
                      <w:r>
                        <w:rPr>
                          <w:lang w:val="en-US" w:eastAsia="zh-CN" w:bidi="ar"/>
                        </w:rPr>
                        <w:t>灭火剂化学组分 硝酸锶、硝酸钾 45％~70％（W/W）</w:t>
                      </w:r>
                      <w:r>
                        <w:rPr>
                          <w:lang w:val="en-US" w:eastAsia="zh-CN" w:bidi="ar"/>
                        </w:rPr>
                        <w:br w:type="textWrapping"/>
                      </w:r>
                      <w:r>
                        <w:rPr>
                          <w:lang w:val="en-US" w:eastAsia="zh-CN" w:bidi="ar"/>
                        </w:rPr>
                        <w:t>毒性试验 试验结束后小鼠未丧失逃离能力，试验结束后 3d 之内未死亡</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r>
                <w:tr>
                  <w:tblPrEx>
                    <w:tblLayout w:type="fixed"/>
                    <w:tblCellMar>
                      <w:top w:w="0" w:type="dxa"/>
                      <w:left w:w="0" w:type="dxa"/>
                      <w:bottom w:w="0" w:type="dxa"/>
                      <w:right w:w="0" w:type="dxa"/>
                    </w:tblCellMar>
                  </w:tblPrEx>
                  <w:trPr>
                    <w:trHeight w:val="795"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消防报警主机</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需解决故障为：1.图形显示器：信息无法查询存储2、联动控制器无法手动启动排烟风机</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819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常闭防火门增加电磁锁</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850双门磁力/门禁卡/门禁电源/出门按钮/指纹门禁控制器  1、门禁(指纹,密码,卡片)   2、语音提示 、485 联网 、防拆报警    3、30000 条开锁记录、USB 数据通讯  4、多种识别方式（指纹，密码，卡片） 360  度全方位指纹识别，防假模   5、真人语音报读     6、自动生成报表   7、可联网也可脱机运行  8、金属外壳，防砸防拆 电容感应触摸键盘      9、临时密码设置    10、用户资料可导入导出   11、与电梯控制系统联网（指纹识别乘电梯）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1、TCP/IP  10M/100M自适应   2、可管理一个门的进出刷卡和出门按钮，或进出门都刷卡  3、配套电源功率：12VDC  4-7A   4、电路板功耗小于100mA   5、读卡器输入格式：Wiegand26/34   6、可接读卡器数：一对  7、可控制门输出：一组   8、开门延长时间：1-600秒可调  9、最大联网数：不限  10、使用温度：-40℃~70℃   11、使用湿度：10~90%RH，无冷凝   12、记录脱机存储数量：10万条存储记录   13、停电保护措施：高速闪存设计，永不丢失 14、读卡器到控制器最大联机距离：100米，建议在80米以内   15、控制器到控制器最大联机距离：TCP/IP通讯方式：视网络覆盖范围而定  16、消防联动防盗报警：如果不连接2000P扩展板，只具备软件的报警提示，并驱动电脑音箱予以报警   17、报警联动：如果连接2000P报警扩展联动板，则具备硬件报警输出功能单门含机箱电源</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66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消防高位水箱</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4m*3m*2.0m不锈钢材质</w:t>
                      </w:r>
                    </w:p>
                  </w:tc>
                  <w:tc>
                    <w:tcPr>
                      <w:tcW w:w="29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m³</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r>
                <w:tr>
                  <w:tblPrEx>
                    <w:tblLayout w:type="fixed"/>
                    <w:tblCellMar>
                      <w:top w:w="0" w:type="dxa"/>
                      <w:left w:w="0" w:type="dxa"/>
                      <w:bottom w:w="0" w:type="dxa"/>
                      <w:right w:w="0" w:type="dxa"/>
                    </w:tblCellMar>
                  </w:tblPrEx>
                  <w:trPr>
                    <w:trHeight w:val="78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干粉灭火器</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推车式16具，手提式484具，检验合格帖及检验合格报告</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Layout w:type="fixed"/>
                    <w:tblCellMar>
                      <w:top w:w="0" w:type="dxa"/>
                      <w:left w:w="0" w:type="dxa"/>
                      <w:bottom w:w="0" w:type="dxa"/>
                      <w:right w:w="0" w:type="dxa"/>
                    </w:tblCellMar>
                  </w:tblPrEx>
                  <w:trPr>
                    <w:trHeight w:val="60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摄像头</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感器类型1/2.8英寸CMOS；像素200万；最大分辨率1920×1080；最低照度0.002Lux（彩色模式）；0.0002Lux（黑白模式）；0Lux（补光灯开启）；最大补光距离50m（红外）；镜头类型定焦；镜头焦距12mm；通用行为分析绊线入侵；区域入侵；视频压缩标准H.265；H.264；H.264H；H.264B；MJPEG；智能编码H.264：支持H.265：支持；宽动态120dB；报警事件网络断开；IP冲突；非法访问；动态检测；视频遮挡；绊线入侵；区域入侵；场景变更；电压检测；安全异常；接入标准ONVIF（Profile S） ；GB/T28181；乐橙；CGI；供电方式DC12V/POE；防护等级IP67</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499"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支架（加长支架）</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铝制加长杆600mm-1200mm</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522"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安防专用超五类双绞线</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UTP-15-5E-4P-AF</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Layout w:type="fixed"/>
                    <w:tblCellMar>
                      <w:top w:w="0" w:type="dxa"/>
                      <w:left w:w="0" w:type="dxa"/>
                      <w:bottom w:w="0" w:type="dxa"/>
                      <w:right w:w="0" w:type="dxa"/>
                    </w:tblCellMar>
                  </w:tblPrEx>
                  <w:trPr>
                    <w:trHeight w:val="499"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穿线管材</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PVC/钢管</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Layout w:type="fixed"/>
                    <w:tblCellMar>
                      <w:top w:w="0" w:type="dxa"/>
                      <w:left w:w="0" w:type="dxa"/>
                      <w:bottom w:w="0" w:type="dxa"/>
                      <w:right w:w="0" w:type="dxa"/>
                    </w:tblCellMar>
                  </w:tblPrEx>
                  <w:trPr>
                    <w:trHeight w:val="60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以太网交换机</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高功率千兆PoE交换机24个千兆PoE电口，2个千兆电口，2个千兆光口</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60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电脑桌</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1.2m*0.9m*0.8m金属中控台</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60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椅子</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面料材质网布、可升降、铝合金制脚</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679"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台式电脑</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 i5 6核、8gDDR4内存、500g固态硬盘、独显、27寸显示器</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5265"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电视墙监视器（55寸）</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采用工业级液晶面板，超长寿命LED背光源，适合7*24小时连续工作，专为监控设计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四等边设计、隐藏式红外接收，外形更美观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4K超高清显示，1.07B显示色彩，真实再现画面的每一个细节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采用自动色彩及图像增强处理器，画质优化，细节处理佳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高亮度、高对比度、高清晰度，提升画面层次感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画面快速响应，真正无拖影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自动消除残影功能，保护液晶屏的长期使用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专业散热设计，延长设备使用寿命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内置高性能电源设计，能耗低，静音</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619"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脚手架搭拆</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180*95*170</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7830"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硬盘录像机</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最大可接入4块接口为SATA的硬盘，单硬盘容量支持最大支持10TB，并支持SSD固态硬盘。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★可将接入720P、1.3MP、1080P、3MP、4MP、5MP、6MP、8MP、12MP摄像机的图像以多画面分割方式显示并进行调整(公安检测报告证明)；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解码能力2×4K/4×4M/8×1080P/16×720P。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★数据和密钥数据均户样机后台配置数据、帐用了AES256加密技术加密存储(公安检测报告证明)；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网络视频接入32路。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网络带宽接入200Mbps,储存128Mbps,转发128Mbps。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★可同时接1路主码流，2个辅码流的视频图像(公安检测报告证明)。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★当设备出现以下4种安全异常：1、非法可执行程序运行预警；2、WEB 路径暴力破解预警；3、会话连接超限预警；4、会话ID暴力破解预警；其中任意一个时，可以触发联动报警(公安检测报告证明)。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支持接入相机分辨率4K/6M/5M/4M/3M/1080P/1.3M/720P。</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7445"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解码器</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1.支持9路HDMI音视频信号输出接口，支持MPEG2/MPEG4/H.264/H.265/SVAC/MJPEG标准网络视频流解码；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2.支持1/4/9/16画面分割切换；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3.★通讯接口: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3个RS-232(2个RJ45、一个DB9)、1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个RS-485、2个USB(公安检测报告证明)；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4.★可通过HDMI接口同时将4路分辨率为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3840×2160的视频图像和2路分辨率为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2560×1600的视频图像显示输出至6台分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辨率为3840×2160的显示终端上(公安检测报告证明)；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5.HDMI输出接口支持3840x2160,，1920x1080,1280x1024，1280x720，1024x768五种显示分辨率；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6.★通过网络抓屏软件，可将远程电脑桌面实时解码上墙显示;可对桌面整屏、单窗口、自定义区域抓屏上墙;可同时支持多个抓屏任务(公安检测报告证明)；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7.支持2个10M/100M/1000M自适应以太网接口</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702"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 盘</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ST6000NM021A  SATA接口</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1062" w:hRule="atLeast"/>
                  </w:trPr>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配电室直流屏电池组</w:t>
                      </w:r>
                    </w:p>
                  </w:tc>
                  <w:tc>
                    <w:tcPr>
                      <w:tcW w:w="6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配电室DJM1250S（12V50AH,20hr）电池组18块</w:t>
                      </w:r>
                    </w:p>
                  </w:tc>
                  <w:tc>
                    <w:tcPr>
                      <w:tcW w:w="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r>
              </w:tbl>
              <w:p>
                <w:pPr>
                  <w:numPr>
                    <w:ilvl w:val="0"/>
                    <w:numId w:val="2"/>
                  </w:numPr>
                  <w:tabs>
                    <w:tab w:val="center" w:pos="490"/>
                    <w:tab w:val="left" w:pos="747"/>
                  </w:tabs>
                  <w:spacing w:line="240" w:lineRule="auto"/>
                  <w:ind w:firstLine="0" w:firstLineChars="0"/>
                  <w:rPr>
                    <w:rFonts w:hint="eastAsia" w:ascii="Tahoma" w:hAnsi="Tahoma" w:eastAsia="Tahoma" w:cs="Tahoma"/>
                    <w:i w:val="0"/>
                    <w:color w:val="000000"/>
                    <w:sz w:val="22"/>
                    <w:szCs w:val="22"/>
                    <w:u w:val="none"/>
                  </w:rPr>
                </w:pPr>
              </w:p>
            </w:tc>
            <w:tc>
              <w:tcPr>
                <w:tcW w:w="36" w:type="dxa"/>
                <w:tcBorders>
                  <w:top w:val="nil"/>
                  <w:left w:val="nil"/>
                  <w:bottom w:val="single" w:color="000000" w:sz="4" w:space="0"/>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56"/>
                    <w:szCs w:val="56"/>
                    <w:u w:val="none"/>
                  </w:rPr>
                </w:pPr>
              </w:p>
            </w:tc>
            <w:tc>
              <w:tcPr>
                <w:tcW w:w="36" w:type="dxa"/>
                <w:tcBorders>
                  <w:top w:val="nil"/>
                  <w:left w:val="nil"/>
                  <w:bottom w:val="single" w:color="000000" w:sz="4" w:space="0"/>
                  <w:right w:val="nil"/>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56"/>
                    <w:szCs w:val="56"/>
                    <w:u w:val="none"/>
                  </w:rPr>
                </w:pPr>
              </w:p>
            </w:tc>
            <w:tc>
              <w:tcPr>
                <w:tcW w:w="36" w:type="dxa"/>
                <w:tcBorders>
                  <w:top w:val="nil"/>
                  <w:left w:val="nil"/>
                  <w:bottom w:val="single" w:color="000000" w:sz="4" w:space="0"/>
                  <w:right w:val="nil"/>
                </w:tcBorders>
                <w:shd w:val="clear" w:color="auto" w:fill="auto"/>
                <w:tcMar>
                  <w:top w:w="15" w:type="dxa"/>
                  <w:left w:w="15" w:type="dxa"/>
                  <w:right w:w="15" w:type="dxa"/>
                </w:tcMar>
                <w:vAlign w:val="bottom"/>
              </w:tcPr>
              <w:p>
                <w:pPr>
                  <w:jc w:val="center"/>
                  <w:rPr>
                    <w:rFonts w:hint="default" w:ascii="Tahoma" w:hAnsi="Tahoma" w:eastAsia="Tahoma" w:cs="Tahoma"/>
                    <w:i w:val="0"/>
                    <w:color w:val="000000"/>
                    <w:sz w:val="22"/>
                    <w:szCs w:val="22"/>
                    <w:u w:val="none"/>
                  </w:rPr>
                </w:pPr>
              </w:p>
            </w:tc>
            <w:tc>
              <w:tcPr>
                <w:tcW w:w="36" w:type="dxa"/>
                <w:tcBorders>
                  <w:top w:val="nil"/>
                  <w:left w:val="nil"/>
                  <w:bottom w:val="single" w:color="000000" w:sz="4" w:space="0"/>
                  <w:right w:val="nil"/>
                </w:tcBorders>
                <w:shd w:val="clear" w:color="auto" w:fill="auto"/>
                <w:tcMar>
                  <w:top w:w="15" w:type="dxa"/>
                  <w:left w:w="15" w:type="dxa"/>
                  <w:right w:w="15" w:type="dxa"/>
                </w:tcMar>
                <w:vAlign w:val="bottom"/>
              </w:tcPr>
              <w:p>
                <w:pPr>
                  <w:jc w:val="center"/>
                  <w:rPr>
                    <w:rFonts w:hint="default" w:ascii="Tahoma" w:hAnsi="Tahoma" w:eastAsia="Tahoma" w:cs="Tahoma"/>
                    <w:i w:val="0"/>
                    <w:color w:val="000000"/>
                    <w:sz w:val="22"/>
                    <w:szCs w:val="22"/>
                    <w:u w:val="none"/>
                  </w:rPr>
                </w:pPr>
              </w:p>
            </w:tc>
          </w:tr>
        </w:tbl>
        <w:p>
          <w:pPr>
            <w:tabs>
              <w:tab w:val="right" w:pos="8901"/>
            </w:tabs>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32" w:name="_Toc2821_WPSOffice_Level1"/>
      <w:r>
        <w:rPr>
          <w:rFonts w:hint="eastAsia"/>
        </w:rPr>
        <w:t>第四章 评标方法</w:t>
      </w:r>
      <w:bookmarkEnd w:id="132"/>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3" w:name="_Toc22313_WPSOffice_Level2"/>
      <w:r>
        <w:rPr>
          <w:rFonts w:hint="eastAsia" w:ascii="仿宋_GB2312" w:hAnsi="仿宋_GB2312" w:eastAsia="仿宋_GB2312" w:cs="仿宋_GB2312"/>
          <w:b/>
          <w:kern w:val="0"/>
          <w:szCs w:val="21"/>
        </w:rPr>
        <w:t>一、评标方法</w:t>
      </w:r>
      <w:bookmarkEnd w:id="133"/>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4" w:name="_Toc21368_WPSOffice_Level2"/>
      <w:r>
        <w:rPr>
          <w:rFonts w:hint="eastAsia" w:ascii="仿宋_GB2312" w:hAnsi="仿宋_GB2312" w:eastAsia="仿宋_GB2312" w:cs="仿宋_GB2312"/>
          <w:b/>
          <w:kern w:val="0"/>
          <w:szCs w:val="21"/>
        </w:rPr>
        <w:t>二、评标原则及程序</w:t>
      </w:r>
      <w:bookmarkEnd w:id="134"/>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7"/>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5"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5"/>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36"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6"/>
    </w:p>
    <w:tbl>
      <w:tblPr>
        <w:tblStyle w:val="19"/>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7"/>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37"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37"/>
    </w:p>
    <w:tbl>
      <w:tblPr>
        <w:tblStyle w:val="1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placeholder>
          <w:docPart w:val="A2D9C01216C04FD7AA7E936E12953AFD"/>
        </w:placeholder>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130"/>
            <w:gridCol w:w="4712"/>
            <w:gridCol w:w="7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765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471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11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价格</w:t>
                </w:r>
              </w:p>
            </w:tc>
            <w:tc>
              <w:tcPr>
                <w:tcW w:w="471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hint="default" w:ascii="宋体" w:hAnsi="宋体" w:eastAsia="宋体"/>
                    <w:sz w:val="24"/>
                    <w:lang w:val="en-US" w:eastAsia="zh-CN"/>
                  </w:rPr>
                </w:pPr>
                <w:r>
                  <w:rPr>
                    <w:rFonts w:hint="eastAsia" w:ascii="宋体" w:hAnsi="宋体"/>
                    <w:sz w:val="24"/>
                  </w:rPr>
                  <w:t>T=Cmin/C×</w:t>
                </w:r>
                <w:r>
                  <w:rPr>
                    <w:rFonts w:hint="eastAsia" w:ascii="宋体" w:hAnsi="宋体"/>
                    <w:sz w:val="24"/>
                    <w:lang w:val="en-US" w:eastAsia="zh-CN"/>
                  </w:rPr>
                  <w:t>40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项目实施方案</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Theme="majorEastAsia" w:hAnsiTheme="majorEastAsia" w:eastAsiaTheme="majorEastAsia" w:cstheme="majorEastAsia"/>
                    <w:color w:val="000000"/>
                    <w:kern w:val="0"/>
                    <w:sz w:val="24"/>
                    <w:szCs w:val="24"/>
                    <w:lang w:eastAsia="zh-CN"/>
                  </w:rPr>
                  <w:t>投标人提供</w:t>
                </w:r>
                <w:r>
                  <w:rPr>
                    <w:rFonts w:hint="eastAsia" w:asciiTheme="majorEastAsia" w:hAnsiTheme="majorEastAsia" w:eastAsiaTheme="majorEastAsia" w:cstheme="majorEastAsia"/>
                    <w:color w:val="000000"/>
                    <w:kern w:val="0"/>
                    <w:sz w:val="24"/>
                    <w:szCs w:val="24"/>
                  </w:rPr>
                  <w:t>项目管理计划、主要工序及特殊工序施工方法列项全面详细完整得6-8分</w:t>
                </w:r>
                <w:r>
                  <w:rPr>
                    <w:rFonts w:hint="eastAsia" w:asciiTheme="majorEastAsia" w:hAnsiTheme="majorEastAsia" w:eastAsiaTheme="majorEastAsia" w:cstheme="majorEastAsia"/>
                    <w:color w:val="000000"/>
                    <w:kern w:val="0"/>
                    <w:sz w:val="24"/>
                    <w:szCs w:val="24"/>
                    <w:lang w:eastAsia="zh-CN"/>
                  </w:rPr>
                  <w:t>；投标人提供较为完整详实的服务方案，内容较为具体得</w:t>
                </w:r>
                <w:r>
                  <w:rPr>
                    <w:rFonts w:hint="eastAsia" w:asciiTheme="majorEastAsia" w:hAnsiTheme="majorEastAsia" w:eastAsiaTheme="majorEastAsia" w:cstheme="majorEastAsia"/>
                    <w:color w:val="000000"/>
                    <w:kern w:val="0"/>
                    <w:sz w:val="24"/>
                    <w:szCs w:val="24"/>
                  </w:rPr>
                  <w:t>3-5分</w:t>
                </w:r>
                <w:r>
                  <w:rPr>
                    <w:rFonts w:hint="eastAsia" w:asciiTheme="majorEastAsia" w:hAnsiTheme="majorEastAsia" w:eastAsiaTheme="majorEastAsia" w:cstheme="majorEastAsia"/>
                    <w:color w:val="000000"/>
                    <w:kern w:val="0"/>
                    <w:sz w:val="24"/>
                    <w:szCs w:val="24"/>
                    <w:lang w:eastAsia="zh-CN"/>
                  </w:rPr>
                  <w:t>；投标人提供一般的方案，内容具体得</w:t>
                </w:r>
                <w:r>
                  <w:rPr>
                    <w:rFonts w:hint="eastAsia" w:asciiTheme="majorEastAsia" w:hAnsiTheme="majorEastAsia" w:eastAsiaTheme="majorEastAsia" w:cstheme="majorEastAsia"/>
                    <w:color w:val="000000"/>
                    <w:kern w:val="0"/>
                    <w:sz w:val="24"/>
                    <w:szCs w:val="24"/>
                  </w:rPr>
                  <w:t>1-2分</w:t>
                </w:r>
                <w:r>
                  <w:rPr>
                    <w:rFonts w:hint="eastAsia" w:asciiTheme="majorEastAsia" w:hAnsiTheme="majorEastAsia" w:eastAsiaTheme="majorEastAsia" w:cstheme="majorEastAsia"/>
                    <w:color w:val="000000"/>
                    <w:kern w:val="0"/>
                    <w:sz w:val="24"/>
                    <w:szCs w:val="24"/>
                    <w:lang w:eastAsia="zh-CN"/>
                  </w:rPr>
                  <w:t>；投标人提供方案不完整，内容不具体</w:t>
                </w:r>
                <w:r>
                  <w:rPr>
                    <w:rFonts w:hint="eastAsia" w:asciiTheme="majorEastAsia" w:hAnsiTheme="majorEastAsia" w:eastAsiaTheme="majorEastAsia" w:cstheme="majorEastAsia"/>
                    <w:color w:val="000000"/>
                    <w:kern w:val="0"/>
                    <w:sz w:val="24"/>
                    <w:szCs w:val="24"/>
                  </w:rPr>
                  <w:t>不得分。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质量与安全保障措施</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heme="majorEastAsia" w:hAnsiTheme="majorEastAsia" w:eastAsiaTheme="majorEastAsia" w:cstheme="majorEastAsia"/>
                    <w:sz w:val="24"/>
                    <w:szCs w:val="24"/>
                  </w:rPr>
                  <w:t>根据项目实际情况制定切实可行的质量保障措施，</w:t>
                </w:r>
                <w:r>
                  <w:rPr>
                    <w:rFonts w:hint="eastAsia" w:asciiTheme="majorEastAsia" w:hAnsiTheme="majorEastAsia" w:eastAsiaTheme="majorEastAsia" w:cstheme="majorEastAsia"/>
                    <w:color w:val="000000"/>
                    <w:kern w:val="0"/>
                    <w:sz w:val="24"/>
                    <w:szCs w:val="24"/>
                  </w:rPr>
                  <w:t>全面详细完整得5</w:t>
                </w:r>
                <w:r>
                  <w:rPr>
                    <w:rFonts w:hint="eastAsia" w:asciiTheme="majorEastAsia" w:hAnsiTheme="majorEastAsia" w:eastAsiaTheme="majorEastAsia" w:cstheme="majorEastAsia"/>
                    <w:color w:val="000000"/>
                    <w:kern w:val="0"/>
                    <w:sz w:val="24"/>
                    <w:szCs w:val="24"/>
                    <w:lang w:val="en-US" w:eastAsia="zh-CN"/>
                  </w:rPr>
                  <w:t>-4分</w:t>
                </w:r>
                <w:r>
                  <w:rPr>
                    <w:rFonts w:hint="eastAsia" w:asciiTheme="majorEastAsia" w:hAnsiTheme="majorEastAsia" w:eastAsiaTheme="majorEastAsia" w:cstheme="majorEastAsia"/>
                    <w:color w:val="000000"/>
                    <w:kern w:val="0"/>
                    <w:sz w:val="24"/>
                    <w:szCs w:val="24"/>
                    <w:lang w:eastAsia="zh-CN"/>
                  </w:rPr>
                  <w:t>；投标人提供较为完整的方案，措施较为可行，内容较为具体的得</w:t>
                </w:r>
                <w:r>
                  <w:rPr>
                    <w:rFonts w:hint="eastAsia" w:asciiTheme="majorEastAsia" w:hAnsiTheme="majorEastAsia" w:eastAsiaTheme="majorEastAsia" w:cstheme="majorEastAsia"/>
                    <w:color w:val="000000"/>
                    <w:kern w:val="0"/>
                    <w:sz w:val="24"/>
                    <w:szCs w:val="24"/>
                    <w:lang w:val="en-US" w:eastAsia="zh-CN"/>
                  </w:rPr>
                  <w:t>2-3</w:t>
                </w:r>
                <w:r>
                  <w:rPr>
                    <w:rFonts w:hint="eastAsia" w:asciiTheme="majorEastAsia" w:hAnsiTheme="majorEastAsia" w:eastAsiaTheme="majorEastAsia" w:cstheme="majorEastAsia"/>
                    <w:color w:val="000000"/>
                    <w:kern w:val="0"/>
                    <w:sz w:val="24"/>
                    <w:szCs w:val="24"/>
                    <w:lang w:eastAsia="zh-CN"/>
                  </w:rPr>
                  <w:t>分；提供一般的方案，内容具体得</w:t>
                </w:r>
                <w:r>
                  <w:rPr>
                    <w:rFonts w:hint="eastAsia" w:asciiTheme="majorEastAsia" w:hAnsiTheme="majorEastAsia" w:eastAsiaTheme="majorEastAsia" w:cstheme="majorEastAsia"/>
                    <w:color w:val="000000"/>
                    <w:kern w:val="0"/>
                    <w:sz w:val="24"/>
                    <w:szCs w:val="24"/>
                    <w:lang w:val="en-US" w:eastAsia="zh-CN"/>
                  </w:rPr>
                  <w:t>1</w:t>
                </w:r>
                <w:r>
                  <w:rPr>
                    <w:rFonts w:hint="eastAsia" w:asciiTheme="majorEastAsia" w:hAnsiTheme="majorEastAsia" w:eastAsiaTheme="majorEastAsia" w:cstheme="majorEastAsia"/>
                    <w:color w:val="000000"/>
                    <w:kern w:val="0"/>
                    <w:sz w:val="24"/>
                    <w:szCs w:val="24"/>
                  </w:rPr>
                  <w:t>分</w:t>
                </w:r>
                <w:r>
                  <w:rPr>
                    <w:rFonts w:hint="eastAsia" w:asciiTheme="majorEastAsia" w:hAnsiTheme="majorEastAsia" w:eastAsiaTheme="majorEastAsia" w:cstheme="majorEastAsia"/>
                    <w:color w:val="000000"/>
                    <w:kern w:val="0"/>
                    <w:sz w:val="24"/>
                    <w:szCs w:val="24"/>
                    <w:lang w:eastAsia="zh-CN"/>
                  </w:rPr>
                  <w:t>；投标人提供方案不完整，内容不具体</w:t>
                </w:r>
                <w:r>
                  <w:rPr>
                    <w:rFonts w:hint="eastAsia" w:asciiTheme="majorEastAsia" w:hAnsiTheme="majorEastAsia" w:eastAsiaTheme="majorEastAsia" w:cstheme="majorEastAsia"/>
                    <w:color w:val="000000"/>
                    <w:kern w:val="0"/>
                    <w:sz w:val="24"/>
                    <w:szCs w:val="24"/>
                  </w:rPr>
                  <w:t>不得分。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项目进度与资源配置保障措施</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heme="majorEastAsia" w:hAnsiTheme="majorEastAsia" w:eastAsiaTheme="majorEastAsia" w:cstheme="majorEastAsia"/>
                    <w:sz w:val="24"/>
                    <w:szCs w:val="24"/>
                  </w:rPr>
                  <w:t>根据项目实际情况制定切实可行的项目进度保障措施，</w:t>
                </w:r>
                <w:r>
                  <w:rPr>
                    <w:rFonts w:hint="eastAsia" w:asciiTheme="majorEastAsia" w:hAnsiTheme="majorEastAsia" w:eastAsiaTheme="majorEastAsia" w:cstheme="majorEastAsia"/>
                    <w:color w:val="000000"/>
                    <w:kern w:val="0"/>
                    <w:sz w:val="24"/>
                    <w:szCs w:val="24"/>
                  </w:rPr>
                  <w:t>全面详细完整得5</w:t>
                </w:r>
                <w:r>
                  <w:rPr>
                    <w:rFonts w:hint="eastAsia" w:asciiTheme="majorEastAsia" w:hAnsiTheme="majorEastAsia" w:eastAsiaTheme="majorEastAsia" w:cstheme="majorEastAsia"/>
                    <w:color w:val="000000"/>
                    <w:kern w:val="0"/>
                    <w:sz w:val="24"/>
                    <w:szCs w:val="24"/>
                    <w:lang w:val="en-US" w:eastAsia="zh-CN"/>
                  </w:rPr>
                  <w:t>-4</w:t>
                </w:r>
                <w:r>
                  <w:rPr>
                    <w:rFonts w:hint="eastAsia" w:asciiTheme="majorEastAsia" w:hAnsiTheme="majorEastAsia" w:eastAsiaTheme="majorEastAsia" w:cstheme="majorEastAsia"/>
                    <w:color w:val="000000"/>
                    <w:kern w:val="0"/>
                    <w:sz w:val="24"/>
                    <w:szCs w:val="24"/>
                  </w:rPr>
                  <w:t>分</w:t>
                </w:r>
                <w:r>
                  <w:rPr>
                    <w:rFonts w:hint="eastAsia" w:asciiTheme="majorEastAsia" w:hAnsiTheme="majorEastAsia" w:eastAsiaTheme="majorEastAsia" w:cstheme="majorEastAsia"/>
                    <w:color w:val="000000"/>
                    <w:kern w:val="0"/>
                    <w:sz w:val="24"/>
                    <w:szCs w:val="24"/>
                    <w:lang w:eastAsia="zh-CN"/>
                  </w:rPr>
                  <w:t>；投标人提供较为完整的方案，措施较为可行的，内容较为具体的得</w:t>
                </w:r>
                <w:r>
                  <w:rPr>
                    <w:rFonts w:hint="eastAsia" w:asciiTheme="majorEastAsia" w:hAnsiTheme="majorEastAsia" w:eastAsiaTheme="majorEastAsia" w:cstheme="majorEastAsia"/>
                    <w:color w:val="000000"/>
                    <w:kern w:val="0"/>
                    <w:sz w:val="24"/>
                    <w:szCs w:val="24"/>
                    <w:lang w:val="en-US" w:eastAsia="zh-CN"/>
                  </w:rPr>
                  <w:t>2-3分</w:t>
                </w:r>
                <w:r>
                  <w:rPr>
                    <w:rFonts w:hint="eastAsia" w:asciiTheme="majorEastAsia" w:hAnsiTheme="majorEastAsia" w:eastAsiaTheme="majorEastAsia" w:cstheme="majorEastAsia"/>
                    <w:color w:val="000000"/>
                    <w:kern w:val="0"/>
                    <w:sz w:val="24"/>
                    <w:szCs w:val="24"/>
                    <w:lang w:eastAsia="zh-CN"/>
                  </w:rPr>
                  <w:t>；提供一般的方案，内容具体得</w:t>
                </w:r>
                <w:r>
                  <w:rPr>
                    <w:rFonts w:hint="eastAsia" w:asciiTheme="majorEastAsia" w:hAnsiTheme="majorEastAsia" w:eastAsiaTheme="majorEastAsia" w:cstheme="majorEastAsia"/>
                    <w:color w:val="000000"/>
                    <w:kern w:val="0"/>
                    <w:sz w:val="24"/>
                    <w:szCs w:val="24"/>
                  </w:rPr>
                  <w:t>1分</w:t>
                </w:r>
                <w:r>
                  <w:rPr>
                    <w:rFonts w:hint="eastAsia" w:asciiTheme="majorEastAsia" w:hAnsiTheme="majorEastAsia" w:eastAsiaTheme="majorEastAsia" w:cstheme="majorEastAsia"/>
                    <w:color w:val="000000"/>
                    <w:kern w:val="0"/>
                    <w:sz w:val="24"/>
                    <w:szCs w:val="24"/>
                    <w:lang w:eastAsia="zh-CN"/>
                  </w:rPr>
                  <w:t>；投标人提供方案不完整，内容不具体</w:t>
                </w:r>
                <w:r>
                  <w:rPr>
                    <w:rFonts w:hint="eastAsia" w:asciiTheme="majorEastAsia" w:hAnsiTheme="majorEastAsia" w:eastAsiaTheme="majorEastAsia" w:cstheme="majorEastAsia"/>
                    <w:color w:val="000000"/>
                    <w:kern w:val="0"/>
                    <w:sz w:val="24"/>
                    <w:szCs w:val="24"/>
                  </w:rPr>
                  <w:t>不得分。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文明施工保障措施</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heme="majorEastAsia" w:hAnsiTheme="majorEastAsia" w:eastAsiaTheme="majorEastAsia" w:cstheme="majorEastAsia"/>
                    <w:sz w:val="24"/>
                    <w:szCs w:val="24"/>
                  </w:rPr>
                  <w:t>根据项目实际情况制定切实可行的文明施工保障措施，</w:t>
                </w:r>
                <w:r>
                  <w:rPr>
                    <w:rFonts w:hint="eastAsia" w:asciiTheme="majorEastAsia" w:hAnsiTheme="majorEastAsia" w:eastAsiaTheme="majorEastAsia" w:cstheme="majorEastAsia"/>
                    <w:color w:val="000000"/>
                    <w:kern w:val="0"/>
                    <w:sz w:val="24"/>
                    <w:szCs w:val="24"/>
                  </w:rPr>
                  <w:t>全面详细完整得5</w:t>
                </w:r>
                <w:r>
                  <w:rPr>
                    <w:rFonts w:hint="eastAsia" w:asciiTheme="majorEastAsia" w:hAnsiTheme="majorEastAsia" w:eastAsiaTheme="majorEastAsia" w:cstheme="majorEastAsia"/>
                    <w:color w:val="000000"/>
                    <w:kern w:val="0"/>
                    <w:sz w:val="24"/>
                    <w:szCs w:val="24"/>
                    <w:lang w:val="en-US" w:eastAsia="zh-CN"/>
                  </w:rPr>
                  <w:t>-4分</w:t>
                </w:r>
                <w:r>
                  <w:rPr>
                    <w:rFonts w:hint="eastAsia" w:asciiTheme="majorEastAsia" w:hAnsiTheme="majorEastAsia" w:eastAsiaTheme="majorEastAsia" w:cstheme="majorEastAsia"/>
                    <w:color w:val="000000"/>
                    <w:kern w:val="0"/>
                    <w:sz w:val="24"/>
                    <w:szCs w:val="24"/>
                    <w:lang w:eastAsia="zh-CN"/>
                  </w:rPr>
                  <w:t>；投标人提供较为完整的方案，措施较为可行的，内容较为具体的得</w:t>
                </w:r>
                <w:r>
                  <w:rPr>
                    <w:rFonts w:hint="eastAsia" w:asciiTheme="majorEastAsia" w:hAnsiTheme="majorEastAsia" w:eastAsiaTheme="majorEastAsia" w:cstheme="majorEastAsia"/>
                    <w:color w:val="000000"/>
                    <w:kern w:val="0"/>
                    <w:sz w:val="24"/>
                    <w:szCs w:val="24"/>
                    <w:lang w:val="en-US" w:eastAsia="zh-CN"/>
                  </w:rPr>
                  <w:t>2-3</w:t>
                </w:r>
                <w:r>
                  <w:rPr>
                    <w:rFonts w:hint="eastAsia" w:asciiTheme="majorEastAsia" w:hAnsiTheme="majorEastAsia" w:eastAsiaTheme="majorEastAsia" w:cstheme="majorEastAsia"/>
                    <w:color w:val="000000"/>
                    <w:kern w:val="0"/>
                    <w:sz w:val="24"/>
                    <w:szCs w:val="24"/>
                  </w:rPr>
                  <w:t>分</w:t>
                </w:r>
                <w:r>
                  <w:rPr>
                    <w:rFonts w:hint="eastAsia" w:asciiTheme="majorEastAsia" w:hAnsiTheme="majorEastAsia" w:eastAsiaTheme="majorEastAsia" w:cstheme="majorEastAsia"/>
                    <w:color w:val="000000"/>
                    <w:kern w:val="0"/>
                    <w:sz w:val="24"/>
                    <w:szCs w:val="24"/>
                    <w:lang w:eastAsia="zh-CN"/>
                  </w:rPr>
                  <w:t>；提供一般的方案，内容具体得</w:t>
                </w:r>
                <w:r>
                  <w:rPr>
                    <w:rFonts w:hint="eastAsia" w:asciiTheme="majorEastAsia" w:hAnsiTheme="majorEastAsia" w:eastAsiaTheme="majorEastAsia" w:cstheme="majorEastAsia"/>
                    <w:color w:val="000000"/>
                    <w:kern w:val="0"/>
                    <w:sz w:val="24"/>
                    <w:szCs w:val="24"/>
                  </w:rPr>
                  <w:t>1分</w:t>
                </w:r>
                <w:r>
                  <w:rPr>
                    <w:rFonts w:hint="eastAsia" w:asciiTheme="majorEastAsia" w:hAnsiTheme="majorEastAsia" w:eastAsiaTheme="majorEastAsia" w:cstheme="majorEastAsia"/>
                    <w:color w:val="000000"/>
                    <w:kern w:val="0"/>
                    <w:sz w:val="24"/>
                    <w:szCs w:val="24"/>
                    <w:lang w:eastAsia="zh-CN"/>
                  </w:rPr>
                  <w:t>；投标人提供方案不完整，内容不具体</w:t>
                </w:r>
                <w:r>
                  <w:rPr>
                    <w:rFonts w:hint="eastAsia" w:asciiTheme="majorEastAsia" w:hAnsiTheme="majorEastAsia" w:eastAsiaTheme="majorEastAsia" w:cstheme="majorEastAsia"/>
                    <w:color w:val="000000"/>
                    <w:kern w:val="0"/>
                    <w:sz w:val="24"/>
                    <w:szCs w:val="24"/>
                  </w:rPr>
                  <w:t>不得分。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突发事件应急处置方案</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heme="majorEastAsia" w:hAnsiTheme="majorEastAsia" w:eastAsiaTheme="majorEastAsia" w:cstheme="majorEastAsia"/>
                    <w:sz w:val="24"/>
                    <w:szCs w:val="24"/>
                  </w:rPr>
                  <w:t>根据项目实际情况制定切实可行的突发事件应急处置方案，</w:t>
                </w:r>
                <w:r>
                  <w:rPr>
                    <w:rFonts w:hint="eastAsia" w:asciiTheme="majorEastAsia" w:hAnsiTheme="majorEastAsia" w:eastAsiaTheme="majorEastAsia" w:cstheme="majorEastAsia"/>
                    <w:color w:val="000000"/>
                    <w:kern w:val="0"/>
                    <w:sz w:val="24"/>
                    <w:szCs w:val="24"/>
                  </w:rPr>
                  <w:t>全面详细完整得4</w:t>
                </w:r>
                <w:r>
                  <w:rPr>
                    <w:rFonts w:hint="eastAsia" w:asciiTheme="majorEastAsia" w:hAnsiTheme="majorEastAsia" w:eastAsiaTheme="majorEastAsia" w:cstheme="majorEastAsia"/>
                    <w:color w:val="000000"/>
                    <w:kern w:val="0"/>
                    <w:sz w:val="24"/>
                    <w:szCs w:val="24"/>
                    <w:lang w:val="en-US" w:eastAsia="zh-CN"/>
                  </w:rPr>
                  <w:t>-3</w:t>
                </w:r>
                <w:r>
                  <w:rPr>
                    <w:rFonts w:hint="eastAsia" w:asciiTheme="majorEastAsia" w:hAnsiTheme="majorEastAsia" w:eastAsiaTheme="majorEastAsia" w:cstheme="majorEastAsia"/>
                    <w:color w:val="000000"/>
                    <w:kern w:val="0"/>
                    <w:sz w:val="24"/>
                    <w:szCs w:val="24"/>
                  </w:rPr>
                  <w:t>分</w:t>
                </w:r>
                <w:r>
                  <w:rPr>
                    <w:rFonts w:hint="eastAsia" w:asciiTheme="majorEastAsia" w:hAnsiTheme="majorEastAsia" w:eastAsiaTheme="majorEastAsia" w:cstheme="majorEastAsia"/>
                    <w:color w:val="000000"/>
                    <w:kern w:val="0"/>
                    <w:sz w:val="24"/>
                    <w:szCs w:val="24"/>
                    <w:lang w:eastAsia="zh-CN"/>
                  </w:rPr>
                  <w:t>；投标人提供较为完整的方案，措施较为可行的，内容较为具体的得</w:t>
                </w:r>
                <w:r>
                  <w:rPr>
                    <w:rFonts w:hint="eastAsia"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color w:val="000000"/>
                    <w:kern w:val="0"/>
                    <w:sz w:val="24"/>
                    <w:szCs w:val="24"/>
                    <w:lang w:val="en-US" w:eastAsia="zh-CN"/>
                  </w:rPr>
                  <w:t>2</w:t>
                </w:r>
                <w:r>
                  <w:rPr>
                    <w:rFonts w:hint="eastAsia" w:asciiTheme="majorEastAsia" w:hAnsiTheme="majorEastAsia" w:eastAsiaTheme="majorEastAsia" w:cstheme="majorEastAsia"/>
                    <w:color w:val="000000"/>
                    <w:kern w:val="0"/>
                    <w:sz w:val="24"/>
                    <w:szCs w:val="24"/>
                  </w:rPr>
                  <w:t>分</w:t>
                </w:r>
                <w:r>
                  <w:rPr>
                    <w:rFonts w:hint="eastAsia" w:asciiTheme="majorEastAsia" w:hAnsiTheme="majorEastAsia" w:eastAsiaTheme="majorEastAsia" w:cstheme="majorEastAsia"/>
                    <w:color w:val="000000"/>
                    <w:kern w:val="0"/>
                    <w:sz w:val="24"/>
                    <w:szCs w:val="24"/>
                    <w:lang w:eastAsia="zh-CN"/>
                  </w:rPr>
                  <w:t>；投标人提供方案不完整，内容不具体</w:t>
                </w:r>
                <w:r>
                  <w:rPr>
                    <w:rFonts w:hint="eastAsia" w:asciiTheme="majorEastAsia" w:hAnsiTheme="majorEastAsia" w:eastAsiaTheme="majorEastAsia" w:cstheme="majorEastAsia"/>
                    <w:color w:val="000000"/>
                    <w:kern w:val="0"/>
                    <w:sz w:val="24"/>
                    <w:szCs w:val="24"/>
                  </w:rPr>
                  <w:t>不得分。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企业</w:t>
                </w:r>
              </w:p>
              <w:p>
                <w:pPr>
                  <w:jc w:val="center"/>
                  <w:rPr>
                    <w:rFonts w:hint="eastAsia" w:ascii="仿宋" w:hAnsi="仿宋" w:eastAsia="仿宋"/>
                    <w:szCs w:val="21"/>
                  </w:rPr>
                </w:pPr>
                <w:r>
                  <w:rPr>
                    <w:rFonts w:hint="eastAsia" w:ascii="仿宋" w:hAnsi="仿宋" w:eastAsia="仿宋"/>
                    <w:szCs w:val="21"/>
                  </w:rPr>
                  <w:t>综合</w:t>
                </w:r>
              </w:p>
              <w:p>
                <w:pPr>
                  <w:jc w:val="center"/>
                  <w:rPr>
                    <w:rFonts w:ascii="仿宋" w:hAnsi="仿宋" w:eastAsia="仿宋"/>
                    <w:szCs w:val="21"/>
                  </w:rPr>
                </w:pPr>
                <w:r>
                  <w:rPr>
                    <w:rFonts w:hint="eastAsia" w:ascii="仿宋" w:hAnsi="仿宋" w:eastAsia="仿宋"/>
                    <w:szCs w:val="21"/>
                  </w:rPr>
                  <w:t>实力</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Theme="majorEastAsia" w:hAnsiTheme="majorEastAsia" w:eastAsiaTheme="majorEastAsia" w:cstheme="majorEastAsia"/>
                    <w:color w:val="000000"/>
                    <w:kern w:val="0"/>
                    <w:sz w:val="24"/>
                    <w:szCs w:val="24"/>
                  </w:rPr>
                  <w:t xml:space="preserve">企业具备消防维修维保资质得2分；具备安全技术防范设施设计施工资质得2分。满分4分；均不具备不得分。 </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企业</w:t>
                </w:r>
              </w:p>
              <w:p>
                <w:pPr>
                  <w:jc w:val="center"/>
                  <w:rPr>
                    <w:rFonts w:hint="eastAsia" w:ascii="仿宋" w:hAnsi="仿宋" w:eastAsia="仿宋"/>
                    <w:szCs w:val="21"/>
                  </w:rPr>
                </w:pPr>
                <w:r>
                  <w:rPr>
                    <w:rFonts w:hint="eastAsia" w:ascii="仿宋" w:hAnsi="仿宋" w:eastAsia="仿宋"/>
                    <w:szCs w:val="21"/>
                  </w:rPr>
                  <w:t>认证</w:t>
                </w:r>
              </w:p>
              <w:p>
                <w:pPr>
                  <w:jc w:val="center"/>
                  <w:rPr>
                    <w:rFonts w:ascii="仿宋" w:hAnsi="仿宋" w:eastAsia="仿宋"/>
                    <w:szCs w:val="21"/>
                  </w:rPr>
                </w:pPr>
                <w:r>
                  <w:rPr>
                    <w:rFonts w:hint="eastAsia" w:ascii="仿宋" w:hAnsi="仿宋" w:eastAsia="仿宋"/>
                    <w:szCs w:val="21"/>
                  </w:rPr>
                  <w:t>证书</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具有ISO9001质量管理体系认证（有效期内）；</w:t>
                </w:r>
              </w:p>
              <w:p>
                <w:pP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具有</w:t>
                </w:r>
                <w:r>
                  <w:rPr>
                    <w:rFonts w:hint="eastAsia" w:ascii="宋体" w:hAnsi="宋体" w:cs="宋体"/>
                    <w:color w:val="000000"/>
                    <w:szCs w:val="21"/>
                  </w:rPr>
                  <w:t>ISO14001</w:t>
                </w:r>
                <w:r>
                  <w:rPr>
                    <w:rFonts w:hint="eastAsia" w:asciiTheme="majorEastAsia" w:hAnsiTheme="majorEastAsia" w:eastAsiaTheme="majorEastAsia" w:cstheme="majorEastAsia"/>
                    <w:color w:val="000000"/>
                    <w:kern w:val="0"/>
                    <w:sz w:val="24"/>
                    <w:szCs w:val="24"/>
                  </w:rPr>
                  <w:t>环境管理体系认证（有效期内）；</w:t>
                </w:r>
              </w:p>
              <w:p>
                <w:pPr>
                  <w:rPr>
                    <w:rFonts w:ascii="仿宋" w:hAnsi="仿宋" w:eastAsia="仿宋" w:cs="宋体"/>
                    <w:color w:val="000000"/>
                    <w:kern w:val="0"/>
                    <w:szCs w:val="21"/>
                  </w:rPr>
                </w:pPr>
                <w:r>
                  <w:rPr>
                    <w:rFonts w:hint="eastAsia" w:asciiTheme="majorEastAsia" w:hAnsiTheme="majorEastAsia" w:eastAsiaTheme="majorEastAsia" w:cstheme="majorEastAsia"/>
                    <w:color w:val="000000"/>
                    <w:kern w:val="0"/>
                    <w:sz w:val="24"/>
                    <w:szCs w:val="24"/>
                  </w:rPr>
                  <w:t>具有</w:t>
                </w:r>
                <w:r>
                  <w:rPr>
                    <w:rFonts w:hint="eastAsia" w:ascii="宋体" w:hAnsi="宋体" w:cs="宋体"/>
                    <w:color w:val="000000"/>
                    <w:szCs w:val="21"/>
                  </w:rPr>
                  <w:t>ISO4500</w:t>
                </w:r>
                <w:r>
                  <w:rPr>
                    <w:rFonts w:hint="eastAsia" w:asciiTheme="majorEastAsia" w:hAnsiTheme="majorEastAsia" w:eastAsiaTheme="majorEastAsia" w:cstheme="majorEastAsia"/>
                    <w:color w:val="000000"/>
                    <w:kern w:val="0"/>
                    <w:sz w:val="24"/>
                    <w:szCs w:val="24"/>
                  </w:rPr>
                  <w:t>职业健康安全体系认证（有效期内）；每项2分，满分6分。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企业</w:t>
                </w:r>
              </w:p>
              <w:p>
                <w:pPr>
                  <w:jc w:val="center"/>
                  <w:rPr>
                    <w:rFonts w:hint="eastAsia" w:ascii="仿宋" w:hAnsi="仿宋" w:eastAsia="仿宋"/>
                    <w:szCs w:val="21"/>
                  </w:rPr>
                </w:pPr>
                <w:r>
                  <w:rPr>
                    <w:rFonts w:hint="eastAsia" w:ascii="仿宋" w:hAnsi="仿宋" w:eastAsia="仿宋"/>
                    <w:szCs w:val="21"/>
                  </w:rPr>
                  <w:t>类似</w:t>
                </w:r>
              </w:p>
              <w:p>
                <w:pPr>
                  <w:jc w:val="center"/>
                  <w:rPr>
                    <w:rFonts w:ascii="仿宋" w:hAnsi="仿宋" w:eastAsia="仿宋"/>
                    <w:szCs w:val="21"/>
                  </w:rPr>
                </w:pPr>
                <w:r>
                  <w:rPr>
                    <w:rFonts w:hint="eastAsia" w:ascii="仿宋" w:hAnsi="仿宋" w:eastAsia="仿宋"/>
                    <w:szCs w:val="21"/>
                  </w:rPr>
                  <w:t>业绩</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Theme="majorEastAsia" w:hAnsiTheme="majorEastAsia" w:eastAsiaTheme="majorEastAsia" w:cstheme="majorEastAsia"/>
                    <w:color w:val="000000"/>
                    <w:kern w:val="0"/>
                    <w:sz w:val="24"/>
                    <w:szCs w:val="24"/>
                  </w:rPr>
                  <w:t>2018年以来，投标人有政府机关、企事业单位同等或以上规模的类似业绩，每个2分，最高12分。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企业</w:t>
                </w:r>
              </w:p>
              <w:p>
                <w:pPr>
                  <w:jc w:val="center"/>
                  <w:rPr>
                    <w:rFonts w:hint="eastAsia" w:ascii="仿宋" w:hAnsi="仿宋" w:eastAsia="仿宋"/>
                    <w:szCs w:val="21"/>
                  </w:rPr>
                </w:pPr>
                <w:r>
                  <w:rPr>
                    <w:rFonts w:hint="eastAsia" w:ascii="仿宋" w:hAnsi="仿宋" w:eastAsia="仿宋"/>
                    <w:szCs w:val="21"/>
                  </w:rPr>
                  <w:t>各类</w:t>
                </w:r>
              </w:p>
              <w:p>
                <w:pPr>
                  <w:jc w:val="center"/>
                  <w:rPr>
                    <w:rFonts w:hint="eastAsia" w:ascii="仿宋" w:hAnsi="仿宋" w:eastAsia="仿宋"/>
                    <w:szCs w:val="21"/>
                  </w:rPr>
                </w:pPr>
                <w:r>
                  <w:rPr>
                    <w:rFonts w:hint="eastAsia" w:ascii="仿宋" w:hAnsi="仿宋" w:eastAsia="仿宋"/>
                    <w:szCs w:val="21"/>
                  </w:rPr>
                  <w:t>人员</w:t>
                </w:r>
              </w:p>
              <w:p>
                <w:pPr>
                  <w:jc w:val="center"/>
                  <w:rPr>
                    <w:rFonts w:hint="eastAsia" w:ascii="仿宋" w:hAnsi="仿宋" w:eastAsia="仿宋"/>
                    <w:szCs w:val="21"/>
                  </w:rPr>
                </w:pPr>
                <w:r>
                  <w:rPr>
                    <w:rFonts w:hint="eastAsia" w:ascii="仿宋" w:hAnsi="仿宋" w:eastAsia="仿宋"/>
                    <w:szCs w:val="21"/>
                  </w:rPr>
                  <w:t>专业</w:t>
                </w:r>
              </w:p>
              <w:p>
                <w:pPr>
                  <w:jc w:val="center"/>
                  <w:rPr>
                    <w:rFonts w:hint="eastAsia" w:ascii="仿宋" w:hAnsi="仿宋" w:eastAsia="仿宋"/>
                    <w:szCs w:val="21"/>
                  </w:rPr>
                </w:pPr>
                <w:r>
                  <w:rPr>
                    <w:rFonts w:hint="eastAsia" w:ascii="仿宋" w:hAnsi="仿宋" w:eastAsia="仿宋"/>
                    <w:szCs w:val="21"/>
                  </w:rPr>
                  <w:t>资格</w:t>
                </w:r>
              </w:p>
              <w:p>
                <w:pPr>
                  <w:jc w:val="center"/>
                  <w:rPr>
                    <w:rFonts w:ascii="仿宋" w:hAnsi="仿宋" w:eastAsia="仿宋"/>
                    <w:szCs w:val="21"/>
                  </w:rPr>
                </w:pPr>
                <w:r>
                  <w:rPr>
                    <w:rFonts w:hint="eastAsia" w:ascii="仿宋" w:hAnsi="仿宋" w:eastAsia="仿宋"/>
                    <w:szCs w:val="21"/>
                  </w:rPr>
                  <w:t>证书</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注册消防工程师：提供注册证、职业资格证，每提供一个得1分，满分2分；</w:t>
                </w:r>
              </w:p>
              <w:p>
                <w:pPr>
                  <w:pStyle w:val="3"/>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中级建构筑物消防员：提供职业资格证，每提供一个得1分，满分2分；</w:t>
                </w:r>
              </w:p>
              <w:p>
                <w:pPr>
                  <w:rPr>
                    <w:rFonts w:ascii="仿宋" w:hAnsi="仿宋" w:eastAsia="仿宋" w:cs="宋体"/>
                    <w:color w:val="000000"/>
                    <w:kern w:val="0"/>
                    <w:szCs w:val="21"/>
                  </w:rPr>
                </w:pPr>
                <w:r>
                  <w:rPr>
                    <w:rFonts w:hint="eastAsia" w:asciiTheme="majorEastAsia" w:hAnsiTheme="majorEastAsia" w:eastAsiaTheme="majorEastAsia" w:cstheme="majorEastAsia"/>
                    <w:sz w:val="24"/>
                    <w:szCs w:val="24"/>
                  </w:rPr>
                  <w:t>中级及以上职称：提供与本项目相关专业职称证，每提供一个得1分，满分2分。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其他</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售后服务</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宋体" w:eastAsiaTheme="majorEastAsia"/>
                    <w:color w:val="000000"/>
                    <w:kern w:val="0"/>
                    <w:szCs w:val="21"/>
                    <w:lang w:eastAsia="zh-CN"/>
                  </w:rPr>
                </w:pPr>
                <w:r>
                  <w:rPr>
                    <w:rFonts w:hint="eastAsia" w:asciiTheme="majorEastAsia" w:hAnsiTheme="majorEastAsia" w:eastAsiaTheme="majorEastAsia" w:cstheme="majorEastAsia"/>
                    <w:sz w:val="24"/>
                    <w:szCs w:val="24"/>
                  </w:rPr>
                  <w:t>承诺质保期每延长一年得1分，满分2分；承诺提供24小时消防远程监控报警巡查服务得2分，满分2分；承诺其他售后服务得1分，满分1分</w:t>
                </w:r>
                <w:r>
                  <w:rPr>
                    <w:rFonts w:hint="eastAsia" w:asciiTheme="majorEastAsia" w:hAnsiTheme="majorEastAsia" w:eastAsiaTheme="majorEastAsia" w:cstheme="majorEastAsia"/>
                    <w:sz w:val="24"/>
                    <w:szCs w:val="24"/>
                    <w:lang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100</w:t>
                </w:r>
              </w:p>
            </w:tc>
            <w:tc>
              <w:tcPr>
                <w:tcW w:w="11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pStyle w:val="2"/>
        <w:adjustRightInd w:val="0"/>
        <w:snapToGrid w:val="0"/>
        <w:spacing w:before="312" w:beforeLines="100" w:after="312" w:afterLines="100"/>
        <w:jc w:val="center"/>
        <w:rPr>
          <w:rFonts w:ascii="仿宋_GB2312" w:hAnsi="仿宋_GB2312" w:eastAsia="仿宋_GB2312" w:cs="仿宋_GB2312"/>
        </w:rPr>
      </w:pPr>
      <w:bookmarkStart w:id="138" w:name="_Toc19588"/>
      <w:r>
        <w:rPr>
          <w:rFonts w:hint="eastAsia" w:ascii="仿宋_GB2312" w:hAnsi="仿宋_GB2312" w:eastAsia="仿宋_GB2312" w:cs="仿宋_GB2312"/>
        </w:rPr>
        <w:t>第五章 政府采购合同条款及格式</w:t>
      </w:r>
      <w:bookmarkEnd w:id="138"/>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39" w:name="_Toc30224_WPSOffice_Level1"/>
      <w:r>
        <w:rPr>
          <w:rFonts w:hint="eastAsia" w:ascii="仿宋_GB2312" w:hAnsi="仿宋_GB2312" w:eastAsia="仿宋_GB2312" w:cs="仿宋_GB2312"/>
          <w:b/>
          <w:sz w:val="44"/>
          <w:szCs w:val="44"/>
        </w:rPr>
        <w:t>政府采购合同条款</w:t>
      </w:r>
      <w:bookmarkEnd w:id="139"/>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0" w:name="_Toc10117_WPSOffice_Level1"/>
      <w:bookmarkStart w:id="141" w:name="_Toc398_WPSOffice_Level1"/>
      <w:bookmarkStart w:id="142" w:name="_Toc25596_WPSOffice_Level1"/>
      <w:r>
        <w:rPr>
          <w:rFonts w:hint="eastAsia" w:ascii="仿宋_GB2312" w:hAnsi="宋体" w:eastAsia="仿宋_GB2312"/>
          <w:b/>
          <w:bCs/>
          <w:szCs w:val="21"/>
        </w:rPr>
        <w:t>1.术语定义</w:t>
      </w:r>
      <w:bookmarkEnd w:id="140"/>
      <w:bookmarkEnd w:id="141"/>
      <w:bookmarkEnd w:id="14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3" w:name="_Toc22454_WPSOffice_Level1"/>
      <w:bookmarkStart w:id="144" w:name="_Toc750_WPSOffice_Level1"/>
      <w:bookmarkStart w:id="145" w:name="_Toc29737_WPSOffice_Level1"/>
      <w:r>
        <w:rPr>
          <w:rFonts w:hint="eastAsia"/>
        </w:rPr>
        <w:t>2.技术指标</w:t>
      </w:r>
      <w:bookmarkEnd w:id="143"/>
      <w:bookmarkEnd w:id="144"/>
      <w:bookmarkEnd w:id="14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46" w:name="_Toc1538_WPSOffice_Level1"/>
      <w:bookmarkStart w:id="147" w:name="_Toc17648_WPSOffice_Level1"/>
      <w:bookmarkStart w:id="148" w:name="_Toc19640_WPSOffice_Level1"/>
      <w:r>
        <w:rPr>
          <w:rFonts w:hint="eastAsia" w:ascii="仿宋_GB2312" w:hAnsi="宋体" w:eastAsia="仿宋_GB2312"/>
          <w:b/>
          <w:szCs w:val="21"/>
        </w:rPr>
        <w:t>3.交货</w:t>
      </w:r>
      <w:bookmarkEnd w:id="146"/>
      <w:bookmarkEnd w:id="147"/>
      <w:bookmarkEnd w:id="14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49" w:name="_Toc11745_WPSOffice_Level1"/>
      <w:bookmarkStart w:id="150" w:name="_Toc1266_WPSOffice_Level1"/>
      <w:bookmarkStart w:id="151" w:name="_Toc15048_WPSOffice_Level1"/>
      <w:r>
        <w:rPr>
          <w:rFonts w:hint="eastAsia" w:ascii="仿宋_GB2312" w:hAnsi="宋体" w:eastAsia="仿宋_GB2312"/>
          <w:b/>
          <w:szCs w:val="21"/>
        </w:rPr>
        <w:t>4.合同金额</w:t>
      </w:r>
      <w:bookmarkEnd w:id="149"/>
      <w:bookmarkEnd w:id="150"/>
      <w:bookmarkEnd w:id="151"/>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2" w:name="_Toc11969_WPSOffice_Level1"/>
      <w:bookmarkStart w:id="153" w:name="_Toc22359_WPSOffice_Level1"/>
      <w:bookmarkStart w:id="154" w:name="_Toc941_WPSOffice_Level1"/>
      <w:r>
        <w:rPr>
          <w:rFonts w:hint="eastAsia" w:ascii="仿宋_GB2312" w:hAnsi="宋体" w:eastAsia="仿宋_GB2312"/>
          <w:b/>
          <w:szCs w:val="21"/>
        </w:rPr>
        <w:t>5.付款</w:t>
      </w:r>
      <w:bookmarkEnd w:id="152"/>
      <w:bookmarkEnd w:id="153"/>
      <w:bookmarkEnd w:id="154"/>
    </w:p>
    <w:p>
      <w:pPr>
        <w:adjustRightInd w:val="0"/>
        <w:snapToGrid w:val="0"/>
        <w:spacing w:line="360" w:lineRule="auto"/>
        <w:ind w:firstLine="411" w:firstLineChars="196"/>
        <w:rPr>
          <w:rFonts w:ascii="仿宋_GB2312" w:hAnsi="宋体" w:eastAsia="仿宋_GB2312"/>
          <w:szCs w:val="21"/>
          <w:u w:val="single"/>
        </w:rPr>
      </w:pPr>
      <w:bookmarkStart w:id="155" w:name="_Toc22351_WPSOffice_Level2"/>
      <w:r>
        <w:rPr>
          <w:rFonts w:hint="eastAsia" w:ascii="仿宋_GB2312" w:hAnsi="宋体" w:eastAsia="仿宋_GB2312"/>
          <w:szCs w:val="21"/>
        </w:rPr>
        <w:t>5.1付款方式、条件：需方按照合同约定的方式和条件付款。</w:t>
      </w:r>
      <w:bookmarkEnd w:id="155"/>
    </w:p>
    <w:p>
      <w:pPr>
        <w:adjustRightInd w:val="0"/>
        <w:snapToGrid w:val="0"/>
        <w:spacing w:line="360" w:lineRule="auto"/>
        <w:ind w:firstLine="413" w:firstLineChars="196"/>
        <w:rPr>
          <w:rFonts w:ascii="仿宋_GB2312" w:hAnsi="宋体" w:eastAsia="仿宋_GB2312"/>
          <w:b/>
          <w:szCs w:val="21"/>
        </w:rPr>
      </w:pPr>
      <w:bookmarkStart w:id="156" w:name="_Toc10526_WPSOffice_Level1"/>
      <w:bookmarkStart w:id="157" w:name="_Toc30478_WPSOffice_Level1"/>
      <w:bookmarkStart w:id="158" w:name="_Toc27769_WPSOffice_Level1"/>
      <w:r>
        <w:rPr>
          <w:rFonts w:hint="eastAsia" w:ascii="仿宋_GB2312" w:hAnsi="宋体" w:eastAsia="仿宋_GB2312"/>
          <w:b/>
          <w:szCs w:val="21"/>
        </w:rPr>
        <w:t>6.验收</w:t>
      </w:r>
      <w:bookmarkEnd w:id="156"/>
      <w:bookmarkEnd w:id="157"/>
      <w:bookmarkEnd w:id="15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59" w:name="_Toc31292_WPSOffice_Level1"/>
      <w:bookmarkStart w:id="160" w:name="_Toc21868_WPSOffice_Level1"/>
      <w:bookmarkStart w:id="161" w:name="_Toc23127_WPSOffice_Level1"/>
      <w:r>
        <w:rPr>
          <w:rFonts w:hint="eastAsia" w:ascii="仿宋_GB2312" w:hAnsi="宋体" w:eastAsia="仿宋_GB2312"/>
          <w:b/>
          <w:szCs w:val="21"/>
        </w:rPr>
        <w:t>7.知识产权及有关规定</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2" w:name="_Toc21090_WPSOffice_Level1"/>
      <w:bookmarkStart w:id="163" w:name="_Toc24765_WPSOffice_Level1"/>
      <w:bookmarkStart w:id="164" w:name="_Toc26796_WPSOffice_Level1"/>
      <w:r>
        <w:rPr>
          <w:rFonts w:hint="eastAsia" w:ascii="仿宋_GB2312" w:hAnsi="宋体" w:eastAsia="仿宋_GB2312"/>
          <w:b/>
          <w:szCs w:val="21"/>
        </w:rPr>
        <w:t>8.包装要求</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5" w:name="_Toc1308_WPSOffice_Level1"/>
      <w:bookmarkStart w:id="166" w:name="_Toc2304_WPSOffice_Level1"/>
      <w:bookmarkStart w:id="167" w:name="_Toc26447_WPSOffice_Level1"/>
      <w:r>
        <w:rPr>
          <w:rFonts w:hint="eastAsia" w:ascii="仿宋_GB2312" w:hAnsi="宋体" w:eastAsia="仿宋_GB2312"/>
          <w:b/>
          <w:szCs w:val="21"/>
        </w:rPr>
        <w:t>9.伴随服务</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68" w:name="_Toc8205_WPSOffice_Level1"/>
      <w:bookmarkStart w:id="169" w:name="_Toc14320_WPSOffice_Level1"/>
      <w:bookmarkStart w:id="170" w:name="_Toc7636_WPSOffice_Level1"/>
      <w:r>
        <w:rPr>
          <w:rFonts w:hint="eastAsia" w:ascii="仿宋_GB2312" w:hAnsi="宋体" w:eastAsia="仿宋_GB2312"/>
          <w:b/>
          <w:szCs w:val="21"/>
        </w:rPr>
        <w:t>10.质量保证期</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1" w:name="_Toc18427_WPSOffice_Level1"/>
      <w:bookmarkStart w:id="172" w:name="_Toc16220_WPSOffice_Level1"/>
      <w:bookmarkStart w:id="173" w:name="_Toc13950_WPSOffice_Level1"/>
      <w:r>
        <w:rPr>
          <w:rFonts w:hint="eastAsia" w:ascii="仿宋_GB2312" w:hAnsi="宋体" w:eastAsia="仿宋_GB2312"/>
          <w:b/>
          <w:szCs w:val="21"/>
        </w:rPr>
        <w:t>11.质量保证</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4" w:name="_Toc29469_WPSOffice_Level1"/>
      <w:bookmarkStart w:id="175" w:name="_Toc24667_WPSOffice_Level1"/>
      <w:bookmarkStart w:id="176" w:name="_Toc9090_WPSOffice_Level1"/>
      <w:r>
        <w:rPr>
          <w:rFonts w:hint="eastAsia" w:ascii="仿宋_GB2312" w:hAnsi="宋体" w:eastAsia="仿宋_GB2312"/>
          <w:b/>
          <w:szCs w:val="21"/>
        </w:rPr>
        <w:t>12.技术服务和保修责任</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77" w:name="_Toc11781_WPSOffice_Level1"/>
      <w:bookmarkStart w:id="178" w:name="_Toc16924_WPSOffice_Level1"/>
      <w:bookmarkStart w:id="179" w:name="_Toc8548_WPSOffice_Level1"/>
      <w:r>
        <w:rPr>
          <w:rFonts w:hint="eastAsia" w:ascii="仿宋_GB2312" w:hAnsi="宋体" w:eastAsia="仿宋_GB2312"/>
          <w:b/>
          <w:szCs w:val="21"/>
        </w:rPr>
        <w:t>13.违约责任</w:t>
      </w:r>
      <w:bookmarkEnd w:id="177"/>
      <w:bookmarkEnd w:id="178"/>
      <w:bookmarkEnd w:id="17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0" w:name="_Toc21833_WPSOffice_Level1"/>
      <w:bookmarkStart w:id="181" w:name="_Toc32310_WPSOffice_Level1"/>
      <w:bookmarkStart w:id="182" w:name="_Toc28610_WPSOffice_Level1"/>
      <w:r>
        <w:rPr>
          <w:rFonts w:hint="eastAsia" w:ascii="仿宋_GB2312" w:hAnsi="宋体" w:eastAsia="仿宋_GB2312"/>
          <w:b/>
          <w:szCs w:val="21"/>
        </w:rPr>
        <w:t>14.不可抗力</w:t>
      </w:r>
      <w:bookmarkEnd w:id="180"/>
      <w:bookmarkEnd w:id="181"/>
      <w:bookmarkEnd w:id="18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3" w:name="_Toc12037_WPSOffice_Level1"/>
      <w:bookmarkStart w:id="184" w:name="_Toc13390_WPSOffice_Level1"/>
      <w:bookmarkStart w:id="185" w:name="_Toc3262_WPSOffice_Level1"/>
      <w:r>
        <w:rPr>
          <w:rFonts w:hint="eastAsia" w:ascii="仿宋_GB2312" w:hAnsi="宋体" w:eastAsia="仿宋_GB2312"/>
          <w:b/>
          <w:szCs w:val="21"/>
        </w:rPr>
        <w:t>15.争端的解决</w:t>
      </w:r>
      <w:bookmarkEnd w:id="183"/>
      <w:bookmarkEnd w:id="184"/>
      <w:bookmarkEnd w:id="18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86" w:name="_Toc1917_WPSOffice_Level1"/>
      <w:bookmarkStart w:id="187" w:name="_Toc7773_WPSOffice_Level1"/>
      <w:bookmarkStart w:id="188" w:name="_Toc27539_WPSOffice_Level1"/>
      <w:r>
        <w:rPr>
          <w:rFonts w:hint="eastAsia" w:ascii="仿宋_GB2312" w:hAnsi="宋体" w:eastAsia="仿宋_GB2312"/>
          <w:b/>
          <w:szCs w:val="21"/>
        </w:rPr>
        <w:t>16.违约终止政府采购合同</w:t>
      </w:r>
      <w:bookmarkEnd w:id="186"/>
      <w:bookmarkEnd w:id="187"/>
      <w:bookmarkEnd w:id="18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89" w:name="_Toc27976_WPSOffice_Level1"/>
      <w:bookmarkStart w:id="190" w:name="_Toc4220_WPSOffice_Level1"/>
      <w:bookmarkStart w:id="191" w:name="_Toc11967_WPSOffice_Level1"/>
      <w:r>
        <w:rPr>
          <w:rFonts w:hint="eastAsia" w:ascii="仿宋_GB2312" w:hAnsi="宋体" w:eastAsia="仿宋_GB2312"/>
          <w:b/>
          <w:szCs w:val="21"/>
        </w:rPr>
        <w:t>17.政府采购合同转让和分包</w:t>
      </w:r>
      <w:bookmarkEnd w:id="189"/>
      <w:bookmarkEnd w:id="190"/>
      <w:bookmarkEnd w:id="19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2" w:name="_Toc16873_WPSOffice_Level1"/>
      <w:bookmarkStart w:id="193" w:name="_Toc30020_WPSOffice_Level1"/>
      <w:bookmarkStart w:id="194" w:name="_Toc737_WPSOffice_Level1"/>
      <w:r>
        <w:rPr>
          <w:rFonts w:hint="eastAsia" w:ascii="仿宋_GB2312" w:hAnsi="宋体" w:eastAsia="仿宋_GB2312"/>
          <w:b/>
          <w:szCs w:val="21"/>
        </w:rPr>
        <w:t>18.适用法律：</w:t>
      </w:r>
      <w:bookmarkEnd w:id="192"/>
      <w:bookmarkEnd w:id="193"/>
      <w:bookmarkEnd w:id="19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5" w:name="_Toc20985_WPSOffice_Level1"/>
      <w:bookmarkStart w:id="196" w:name="_Toc29009_WPSOffice_Level1"/>
      <w:bookmarkStart w:id="197" w:name="_Toc23749_WPSOffice_Level1"/>
      <w:r>
        <w:rPr>
          <w:rFonts w:hint="eastAsia" w:ascii="仿宋_GB2312" w:hAnsi="宋体" w:eastAsia="仿宋_GB2312"/>
          <w:b/>
          <w:szCs w:val="21"/>
        </w:rPr>
        <w:t>19.政府采购合同生效</w:t>
      </w:r>
      <w:bookmarkEnd w:id="195"/>
      <w:bookmarkEnd w:id="196"/>
      <w:bookmarkEnd w:id="19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98" w:name="_Toc20274_WPSOffice_Level1"/>
      <w:bookmarkStart w:id="199" w:name="_Toc405_WPSOffice_Level1"/>
      <w:bookmarkStart w:id="200" w:name="_Toc12339_WPSOffice_Level1"/>
      <w:r>
        <w:rPr>
          <w:rFonts w:hint="eastAsia" w:ascii="仿宋_GB2312" w:hAnsi="宋体" w:eastAsia="仿宋_GB2312"/>
          <w:b/>
          <w:szCs w:val="21"/>
        </w:rPr>
        <w:t>20.政府采购合同附件</w:t>
      </w:r>
      <w:bookmarkEnd w:id="198"/>
      <w:bookmarkEnd w:id="199"/>
      <w:bookmarkEnd w:id="20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1" w:name="_Toc3518_WPSOffice_Level2"/>
      <w:r>
        <w:rPr>
          <w:rFonts w:hint="eastAsia" w:ascii="仿宋_GB2312" w:hAnsi="宋体" w:eastAsia="仿宋_GB2312"/>
          <w:szCs w:val="21"/>
        </w:rPr>
        <w:t>20.1招标文件；</w:t>
      </w:r>
      <w:bookmarkEnd w:id="201"/>
    </w:p>
    <w:p>
      <w:pPr>
        <w:adjustRightInd w:val="0"/>
        <w:snapToGrid w:val="0"/>
        <w:spacing w:line="360" w:lineRule="auto"/>
        <w:ind w:firstLine="411" w:firstLineChars="196"/>
        <w:rPr>
          <w:rFonts w:ascii="仿宋_GB2312" w:hAnsi="宋体" w:eastAsia="仿宋_GB2312"/>
          <w:szCs w:val="21"/>
        </w:rPr>
      </w:pPr>
      <w:bookmarkStart w:id="202" w:name="_Toc7342_WPSOffice_Level2"/>
      <w:r>
        <w:rPr>
          <w:rFonts w:hint="eastAsia" w:ascii="仿宋_GB2312" w:hAnsi="宋体" w:eastAsia="仿宋_GB2312"/>
          <w:szCs w:val="21"/>
        </w:rPr>
        <w:t>20.2招标文件的更正公告、变更公告；</w:t>
      </w:r>
      <w:bookmarkEnd w:id="202"/>
    </w:p>
    <w:p>
      <w:pPr>
        <w:adjustRightInd w:val="0"/>
        <w:snapToGrid w:val="0"/>
        <w:spacing w:line="360" w:lineRule="auto"/>
        <w:ind w:firstLine="411" w:firstLineChars="196"/>
        <w:rPr>
          <w:rFonts w:ascii="仿宋_GB2312" w:hAnsi="宋体" w:eastAsia="仿宋_GB2312"/>
          <w:szCs w:val="21"/>
        </w:rPr>
      </w:pPr>
      <w:bookmarkStart w:id="203" w:name="_Toc576_WPSOffice_Level2"/>
      <w:r>
        <w:rPr>
          <w:rFonts w:hint="eastAsia" w:ascii="仿宋_GB2312" w:hAnsi="宋体" w:eastAsia="仿宋_GB2312"/>
          <w:szCs w:val="21"/>
        </w:rPr>
        <w:t>20.3中标人提交的投标文件；</w:t>
      </w:r>
      <w:bookmarkEnd w:id="203"/>
    </w:p>
    <w:p>
      <w:pPr>
        <w:adjustRightInd w:val="0"/>
        <w:snapToGrid w:val="0"/>
        <w:spacing w:line="360" w:lineRule="auto"/>
        <w:ind w:firstLine="411" w:firstLineChars="196"/>
        <w:rPr>
          <w:rFonts w:ascii="仿宋_GB2312" w:hAnsi="宋体" w:eastAsia="仿宋_GB2312"/>
          <w:szCs w:val="21"/>
        </w:rPr>
      </w:pPr>
      <w:bookmarkStart w:id="204" w:name="_Toc25464_WPSOffice_Level2"/>
      <w:r>
        <w:rPr>
          <w:rFonts w:hint="eastAsia" w:ascii="仿宋_GB2312" w:hAnsi="宋体" w:eastAsia="仿宋_GB2312"/>
          <w:szCs w:val="21"/>
        </w:rPr>
        <w:t>20.4政府采购合同条款；</w:t>
      </w:r>
      <w:bookmarkEnd w:id="204"/>
    </w:p>
    <w:p>
      <w:pPr>
        <w:adjustRightInd w:val="0"/>
        <w:snapToGrid w:val="0"/>
        <w:spacing w:line="360" w:lineRule="auto"/>
        <w:ind w:firstLine="411" w:firstLineChars="196"/>
        <w:rPr>
          <w:rFonts w:ascii="仿宋_GB2312" w:hAnsi="宋体" w:eastAsia="仿宋_GB2312"/>
          <w:szCs w:val="21"/>
        </w:rPr>
      </w:pPr>
      <w:bookmarkStart w:id="205" w:name="_Toc25590_WPSOffice_Level2"/>
      <w:r>
        <w:rPr>
          <w:rFonts w:hint="eastAsia" w:ascii="仿宋_GB2312" w:hAnsi="宋体" w:eastAsia="仿宋_GB2312"/>
          <w:szCs w:val="21"/>
        </w:rPr>
        <w:t>20.5中标通知书；</w:t>
      </w:r>
      <w:bookmarkEnd w:id="205"/>
    </w:p>
    <w:p>
      <w:pPr>
        <w:adjustRightInd w:val="0"/>
        <w:snapToGrid w:val="0"/>
        <w:spacing w:line="360" w:lineRule="auto"/>
        <w:ind w:firstLine="411" w:firstLineChars="196"/>
        <w:rPr>
          <w:rFonts w:ascii="仿宋_GB2312" w:hAnsi="宋体" w:eastAsia="仿宋_GB2312"/>
          <w:szCs w:val="21"/>
        </w:rPr>
      </w:pPr>
      <w:bookmarkStart w:id="206" w:name="_Toc10297_WPSOffice_Level2"/>
      <w:r>
        <w:rPr>
          <w:rFonts w:hint="eastAsia" w:ascii="仿宋_GB2312" w:hAnsi="宋体" w:eastAsia="仿宋_GB2312"/>
          <w:szCs w:val="21"/>
        </w:rPr>
        <w:t>20.6政府采购合同的其它附件。</w:t>
      </w:r>
      <w:bookmarkEnd w:id="206"/>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07" w:name="_Toc3044_WPSOffice_Level1"/>
      <w:bookmarkStart w:id="208" w:name="_Toc372_WPSOffice_Level1"/>
      <w:bookmarkStart w:id="209" w:name="_Toc7342_WPSOffice_Level1"/>
      <w:r>
        <w:rPr>
          <w:rFonts w:hint="eastAsia" w:ascii="仿宋_GB2312" w:hAnsi="仿宋_GB2312" w:eastAsia="仿宋_GB2312" w:cs="仿宋_GB2312"/>
          <w:szCs w:val="28"/>
        </w:rPr>
        <w:t>合同格式</w:t>
      </w:r>
      <w:bookmarkEnd w:id="207"/>
      <w:bookmarkEnd w:id="208"/>
      <w:bookmarkEnd w:id="209"/>
    </w:p>
    <w:p>
      <w:pPr>
        <w:adjustRightInd w:val="0"/>
        <w:snapToGrid w:val="0"/>
        <w:spacing w:line="360" w:lineRule="auto"/>
        <w:jc w:val="center"/>
        <w:rPr>
          <w:rFonts w:ascii="仿宋_GB2312" w:hAnsi="宋体" w:eastAsia="仿宋_GB2312"/>
          <w:b/>
          <w:bCs/>
          <w:sz w:val="44"/>
          <w:szCs w:val="44"/>
        </w:rPr>
      </w:pPr>
      <w:bookmarkStart w:id="210" w:name="_Toc11644_WPSOffice_Level1"/>
      <w:bookmarkStart w:id="211" w:name="_Toc7832_WPSOffice_Level1"/>
      <w:r>
        <w:rPr>
          <w:rFonts w:hint="eastAsia" w:ascii="仿宋_GB2312" w:hAnsi="宋体" w:eastAsia="仿宋_GB2312"/>
          <w:b/>
          <w:bCs/>
          <w:sz w:val="44"/>
          <w:szCs w:val="44"/>
        </w:rPr>
        <w:t>政府采购合同格式</w:t>
      </w:r>
      <w:bookmarkEnd w:id="210"/>
      <w:bookmarkEnd w:id="211"/>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2" w:name="_Toc13230_WPSOffice_Level2"/>
      <w:r>
        <w:rPr>
          <w:rFonts w:hint="eastAsia" w:ascii="黑体" w:hAnsi="宋体" w:eastAsia="黑体"/>
          <w:b/>
          <w:szCs w:val="21"/>
        </w:rPr>
        <w:t>一、政府采购合同文件</w:t>
      </w:r>
      <w:bookmarkEnd w:id="21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3" w:name="_Toc19527_WPSOffice_Level2"/>
      <w:r>
        <w:rPr>
          <w:rFonts w:hint="eastAsia" w:ascii="黑体" w:hAnsi="宋体" w:eastAsia="黑体"/>
          <w:b/>
          <w:szCs w:val="21"/>
        </w:rPr>
        <w:t>二、政府采购合同范围和条件</w:t>
      </w:r>
      <w:bookmarkEnd w:id="21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4" w:name="_Toc18050_WPSOffice_Level2"/>
      <w:r>
        <w:rPr>
          <w:rFonts w:hint="eastAsia" w:ascii="黑体" w:hAnsi="宋体" w:eastAsia="黑体"/>
          <w:b/>
          <w:szCs w:val="21"/>
        </w:rPr>
        <w:t>三、政府采购合同标的</w:t>
      </w:r>
      <w:bookmarkEnd w:id="214"/>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27886_WPSOffice_Level2"/>
      <w:r>
        <w:rPr>
          <w:rFonts w:hint="eastAsia" w:ascii="黑体" w:hAnsi="宋体" w:eastAsia="黑体"/>
          <w:b/>
          <w:szCs w:val="21"/>
        </w:rPr>
        <w:t>四、政府采购合同金额</w:t>
      </w:r>
      <w:bookmarkEnd w:id="21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22211_WPSOffice_Level2"/>
      <w:r>
        <w:rPr>
          <w:rFonts w:hint="eastAsia" w:ascii="黑体" w:hAnsi="宋体" w:eastAsia="黑体"/>
          <w:b/>
          <w:szCs w:val="21"/>
        </w:rPr>
        <w:t>五、付款方式及条件</w:t>
      </w:r>
      <w:bookmarkEnd w:id="216"/>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17" w:name="_Toc27813_WPSOffice_Level2"/>
      <w:r>
        <w:rPr>
          <w:rFonts w:hint="eastAsia" w:ascii="黑体" w:hAnsi="宋体" w:eastAsia="黑体"/>
          <w:b/>
          <w:szCs w:val="21"/>
        </w:rPr>
        <w:t>六、交货时间和交货地点</w:t>
      </w:r>
      <w:bookmarkEnd w:id="217"/>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12497_WPSOffice_Level2"/>
      <w:r>
        <w:rPr>
          <w:rFonts w:hint="eastAsia" w:ascii="黑体" w:hAnsi="宋体" w:eastAsia="黑体"/>
          <w:b/>
          <w:szCs w:val="21"/>
        </w:rPr>
        <w:t>七、验收要求</w:t>
      </w:r>
      <w:bookmarkEnd w:id="218"/>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19" w:name="_Toc4868_WPSOffice_Level2"/>
      <w:r>
        <w:rPr>
          <w:rFonts w:hint="eastAsia" w:ascii="黑体" w:hAnsi="宋体" w:eastAsia="黑体"/>
          <w:b/>
          <w:szCs w:val="21"/>
        </w:rPr>
        <w:t>八、违约责任</w:t>
      </w:r>
      <w:bookmarkEnd w:id="21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0" w:name="_Toc24496_WPSOffice_Level2"/>
      <w:r>
        <w:rPr>
          <w:rFonts w:hint="eastAsia" w:ascii="黑体" w:hAnsi="宋体" w:eastAsia="黑体"/>
          <w:b/>
          <w:szCs w:val="21"/>
        </w:rPr>
        <w:t>九、争议解决</w:t>
      </w:r>
      <w:bookmarkEnd w:id="220"/>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1" w:name="_Toc24974_WPSOffice_Level2"/>
      <w:r>
        <w:rPr>
          <w:rFonts w:hint="eastAsia" w:ascii="黑体" w:hAnsi="宋体" w:eastAsia="黑体"/>
          <w:b/>
          <w:szCs w:val="21"/>
        </w:rPr>
        <w:t>十、合同生效</w:t>
      </w:r>
      <w:bookmarkEnd w:id="221"/>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6C354B34"/>
    <w:multiLevelType w:val="singleLevel"/>
    <w:tmpl w:val="6C354B34"/>
    <w:lvl w:ilvl="0" w:tentative="0">
      <w:start w:val="1"/>
      <w:numFmt w:val="decimal"/>
      <w:suff w:val="nothing"/>
      <w:lvlText w:val="%1．"/>
      <w:lvlJc w:val="left"/>
    </w:lvl>
  </w:abstractNum>
  <w:abstractNum w:abstractNumId="8">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D2162"/>
    <w:rsid w:val="0072300E"/>
    <w:rsid w:val="00750D08"/>
    <w:rsid w:val="007613E1"/>
    <w:rsid w:val="00777F6D"/>
    <w:rsid w:val="007D7342"/>
    <w:rsid w:val="00836CF3"/>
    <w:rsid w:val="00873CCF"/>
    <w:rsid w:val="008E0350"/>
    <w:rsid w:val="008E592E"/>
    <w:rsid w:val="008F00BF"/>
    <w:rsid w:val="00957660"/>
    <w:rsid w:val="009645B2"/>
    <w:rsid w:val="009744C2"/>
    <w:rsid w:val="00A41327"/>
    <w:rsid w:val="00A53930"/>
    <w:rsid w:val="00A6024C"/>
    <w:rsid w:val="00B703A9"/>
    <w:rsid w:val="00B808BB"/>
    <w:rsid w:val="00BA4F70"/>
    <w:rsid w:val="00CC10BA"/>
    <w:rsid w:val="00D32217"/>
    <w:rsid w:val="00D47FF5"/>
    <w:rsid w:val="00D55C7E"/>
    <w:rsid w:val="00DD1156"/>
    <w:rsid w:val="00EA0331"/>
    <w:rsid w:val="00F50D6A"/>
    <w:rsid w:val="00F51F23"/>
    <w:rsid w:val="00F56402"/>
    <w:rsid w:val="00FB3531"/>
    <w:rsid w:val="01AE7780"/>
    <w:rsid w:val="07006692"/>
    <w:rsid w:val="22057327"/>
    <w:rsid w:val="43FF1101"/>
    <w:rsid w:val="6AFC1AAF"/>
    <w:rsid w:val="74CF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szCs w:val="20"/>
    </w:rPr>
  </w:style>
  <w:style w:type="paragraph" w:styleId="7">
    <w:name w:val="Document Map"/>
    <w:basedOn w:val="1"/>
    <w:link w:val="40"/>
    <w:semiHidden/>
    <w:unhideWhenUsed/>
    <w:qFormat/>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qFormat/>
    <w:uiPriority w:val="0"/>
    <w:pPr>
      <w:spacing w:after="120"/>
    </w:pPr>
  </w:style>
  <w:style w:type="paragraph" w:styleId="10">
    <w:name w:val="Body Text Indent"/>
    <w:basedOn w:val="1"/>
    <w:link w:val="38"/>
    <w:unhideWhenUsed/>
    <w:qFormat/>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qFormat/>
    <w:uiPriority w:val="0"/>
    <w:rPr>
      <w:rFonts w:ascii="Arial" w:hAnsi="Arial" w:eastAsia="黑体" w:cs="Times New Roman"/>
      <w:b/>
      <w:bCs/>
      <w:sz w:val="32"/>
      <w:szCs w:val="32"/>
    </w:rPr>
  </w:style>
  <w:style w:type="character" w:customStyle="1" w:styleId="32">
    <w:name w:val="标题 3 Char"/>
    <w:basedOn w:val="22"/>
    <w:uiPriority w:val="0"/>
    <w:rPr>
      <w:rFonts w:ascii="Times New Roman" w:hAnsi="Times New Roman" w:eastAsia="宋体" w:cs="Times New Roman"/>
      <w:b/>
      <w:bCs/>
      <w:sz w:val="32"/>
      <w:szCs w:val="32"/>
    </w:rPr>
  </w:style>
  <w:style w:type="character" w:customStyle="1" w:styleId="33">
    <w:name w:val="标题 4 Char"/>
    <w:basedOn w:val="22"/>
    <w:link w:val="5"/>
    <w:qFormat/>
    <w:uiPriority w:val="0"/>
    <w:rPr>
      <w:rFonts w:ascii="宋体" w:hAnsi="宋体" w:eastAsia="宋体" w:cs="宋体"/>
      <w:kern w:val="0"/>
      <w:sz w:val="24"/>
      <w:szCs w:val="24"/>
    </w:rPr>
  </w:style>
  <w:style w:type="character" w:customStyle="1" w:styleId="34">
    <w:name w:val="标题 3 Char1"/>
    <w:basedOn w:val="22"/>
    <w:link w:val="4"/>
    <w:qFormat/>
    <w:locked/>
    <w:uiPriority w:val="0"/>
    <w:rPr>
      <w:rFonts w:ascii="Times New Roman" w:hAnsi="Times New Roman" w:eastAsia="宋体" w:cs="Times New Roman"/>
      <w:sz w:val="32"/>
      <w:szCs w:val="32"/>
    </w:rPr>
  </w:style>
  <w:style w:type="character" w:customStyle="1" w:styleId="35">
    <w:name w:val="HTML 预设格式 Char"/>
    <w:basedOn w:val="22"/>
    <w:link w:val="16"/>
    <w:uiPriority w:val="0"/>
    <w:rPr>
      <w:rFonts w:ascii="宋体" w:hAnsi="宋体" w:eastAsia="宋体" w:cs="宋体"/>
      <w:kern w:val="0"/>
      <w:sz w:val="24"/>
      <w:szCs w:val="24"/>
    </w:rPr>
  </w:style>
  <w:style w:type="character" w:customStyle="1" w:styleId="36">
    <w:name w:val="批注文字 Char"/>
    <w:basedOn w:val="22"/>
    <w:link w:val="8"/>
    <w:semiHidden/>
    <w:qFormat/>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qFormat/>
    <w:uiPriority w:val="0"/>
    <w:rPr>
      <w:rFonts w:ascii="宋体" w:hAnsi="Times New Roman" w:eastAsia="宋体" w:cs="Times New Roman"/>
      <w:sz w:val="24"/>
      <w:szCs w:val="20"/>
    </w:rPr>
  </w:style>
  <w:style w:type="character" w:customStyle="1" w:styleId="39">
    <w:name w:val="日期 Char"/>
    <w:basedOn w:val="22"/>
    <w:link w:val="12"/>
    <w:qFormat/>
    <w:uiPriority w:val="0"/>
    <w:rPr>
      <w:rFonts w:ascii="Times New Roman" w:hAnsi="Times New Roman" w:eastAsia="宋体" w:cs="Times New Roman"/>
      <w:sz w:val="24"/>
      <w:szCs w:val="20"/>
    </w:rPr>
  </w:style>
  <w:style w:type="character" w:customStyle="1" w:styleId="40">
    <w:name w:val="文档结构图 Char"/>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qFormat/>
    <w:uiPriority w:val="99"/>
    <w:rPr>
      <w:rFonts w:ascii="宋体" w:hAnsi="Courier New" w:eastAsia="宋体" w:cs="Courier New"/>
      <w:szCs w:val="21"/>
    </w:rPr>
  </w:style>
  <w:style w:type="character" w:customStyle="1" w:styleId="43">
    <w:name w:val="批注主题 Char"/>
    <w:basedOn w:val="36"/>
    <w:link w:val="18"/>
    <w:semiHidden/>
    <w:uiPriority w:val="0"/>
    <w:rPr>
      <w:rFonts w:ascii="Times New Roman" w:hAnsi="Times New Roman" w:eastAsia="宋体" w:cs="Times New Roman"/>
      <w:b/>
      <w:bCs/>
      <w:szCs w:val="24"/>
    </w:rPr>
  </w:style>
  <w:style w:type="character" w:customStyle="1" w:styleId="44">
    <w:name w:val="批注框文本 Char"/>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qFormat/>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uiPriority w:val="0"/>
    <w:pPr>
      <w:widowControl/>
      <w:spacing w:before="150" w:after="150"/>
      <w:jc w:val="left"/>
    </w:pPr>
    <w:rPr>
      <w:rFonts w:ascii="宋体" w:hAnsi="宋体" w:cs="宋体"/>
      <w:kern w:val="0"/>
      <w:sz w:val="24"/>
    </w:rPr>
  </w:style>
  <w:style w:type="paragraph" w:customStyle="1" w:styleId="55">
    <w:name w:val="pa-6"/>
    <w:basedOn w:val="1"/>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qFormat/>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qFormat/>
    <w:uiPriority w:val="0"/>
  </w:style>
  <w:style w:type="character" w:customStyle="1" w:styleId="71">
    <w:name w:val="yiyi21"/>
    <w:basedOn w:val="22"/>
    <w:uiPriority w:val="0"/>
    <w:rPr>
      <w:color w:val="003300"/>
      <w:sz w:val="18"/>
      <w:szCs w:val="18"/>
      <w:u w:val="none"/>
    </w:rPr>
  </w:style>
  <w:style w:type="character" w:customStyle="1" w:styleId="72">
    <w:name w:val="javascript"/>
    <w:basedOn w:val="22"/>
    <w:uiPriority w:val="0"/>
  </w:style>
  <w:style w:type="character" w:customStyle="1" w:styleId="73">
    <w:name w:val="ft141"/>
    <w:basedOn w:val="22"/>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uiPriority w:val="0"/>
  </w:style>
  <w:style w:type="character" w:customStyle="1" w:styleId="77">
    <w:name w:val="t22"/>
    <w:uiPriority w:val="0"/>
    <w:rPr>
      <w:rFonts w:hint="eastAsia" w:ascii="宋体" w:hAnsi="宋体" w:eastAsia="宋体"/>
      <w:color w:val="002B55"/>
      <w:sz w:val="18"/>
      <w:szCs w:val="18"/>
      <w:u w:val="none"/>
    </w:rPr>
  </w:style>
  <w:style w:type="character" w:customStyle="1" w:styleId="78">
    <w:name w:val="info"/>
    <w:basedOn w:val="22"/>
    <w:qFormat/>
    <w:uiPriority w:val="0"/>
  </w:style>
  <w:style w:type="character" w:customStyle="1" w:styleId="79">
    <w:name w:val="apple-converted-space"/>
    <w:basedOn w:val="22"/>
    <w:qFormat/>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lang w:val="en-US" w:eastAsia="zh-CN" w:bidi="ar-SA"/>
    </w:rPr>
  </w:style>
  <w:style w:type="paragraph" w:customStyle="1" w:styleId="87">
    <w:name w:val="WPSOffice手动目录 3"/>
    <w:qFormat/>
    <w:uiPriority w:val="0"/>
    <w:pPr>
      <w:ind w:left="400" w:leftChars="400"/>
    </w:pPr>
    <w:rPr>
      <w:rFonts w:ascii="Calibri" w:hAnsi="Calibri" w:eastAsia="宋体" w:cs="Times New Roman"/>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 w:type="character" w:customStyle="1" w:styleId="89">
    <w:name w:val="font61"/>
    <w:basedOn w:val="22"/>
    <w:qFormat/>
    <w:uiPriority w:val="0"/>
    <w:rPr>
      <w:rFonts w:hint="eastAsia" w:ascii="宋体" w:hAnsi="宋体" w:eastAsia="宋体" w:cs="宋体"/>
      <w:color w:val="000000"/>
      <w:sz w:val="24"/>
      <w:szCs w:val="24"/>
      <w:u w:val="none"/>
    </w:rPr>
  </w:style>
  <w:style w:type="character" w:customStyle="1" w:styleId="90">
    <w:name w:val="font01"/>
    <w:basedOn w:val="22"/>
    <w:qFormat/>
    <w:uiPriority w:val="0"/>
    <w:rPr>
      <w:rFonts w:hint="eastAsia" w:ascii="宋体" w:hAnsi="宋体" w:eastAsia="宋体" w:cs="宋体"/>
      <w:color w:val="000000"/>
      <w:sz w:val="24"/>
      <w:szCs w:val="24"/>
      <w:u w:val="none"/>
    </w:rPr>
  </w:style>
  <w:style w:type="character" w:customStyle="1" w:styleId="91">
    <w:name w:val="font41"/>
    <w:basedOn w:val="2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
      <w:docPartPr>
        <w:name w:val="{f304f261-89ac-4c45-ac33-038d04ebcc62}"/>
        <w:style w:val=""/>
        <w:category>
          <w:name w:val="常规"/>
          <w:gallery w:val="placeholder"/>
        </w:category>
        <w:types>
          <w:type w:val="bbPlcHdr"/>
        </w:types>
        <w:behaviors>
          <w:behavior w:val="content"/>
        </w:behaviors>
        <w:description w:val=""/>
        <w:guid w:val="{f304f261-89ac-4c45-ac33-038d04ebcc62}"/>
      </w:docPartPr>
      <w:docPartBody>
        <w:p>
          <w:pPr>
            <w:pStyle w:val="20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37B00-9A88-4EAC-82FA-F4048636F590}">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66</Pages>
  <Words>33663</Words>
  <Characters>36087</Characters>
  <Lines>1032</Lines>
  <Paragraphs>1079</Paragraphs>
  <TotalTime>6</TotalTime>
  <ScaleCrop>false</ScaleCrop>
  <LinksUpToDate>false</LinksUpToDate>
  <CharactersWithSpaces>38856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2023-05-03T03:39:09Z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YKSGZC2021029(2)</vt:lpwstr>
  </property>
</Properties>
</file>