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ind w:left="1807" w:hanging="1807" w:hangingChars="500"/>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营口市行政审批局固定资产投资项目节能评审中介咨询机构 </w:t>
          </w:r>
        </w:sdtContent>
      </w:sdt>
    </w:p>
    <w:p>
      <w:pPr>
        <w:spacing w:line="640" w:lineRule="exact"/>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YKSGZC2021050(2) </w:t>
          </w:r>
        </w:sdtContent>
      </w:sdt>
    </w:p>
    <w:p>
      <w:pPr>
        <w:spacing w:line="640" w:lineRule="exact"/>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hint="eastAsia" w:ascii="仿宋" w:hAnsi="仿宋" w:eastAsia="仿宋"/>
          <w:b/>
          <w:color w:val="000000"/>
          <w:sz w:val="44"/>
          <w:szCs w:val="44"/>
        </w:rPr>
        <w:t>新冠</w:t>
      </w:r>
      <w:bookmarkStart w:id="154" w:name="_GoBack"/>
      <w:bookmarkEnd w:id="154"/>
      <w:r>
        <w:rPr>
          <w:rFonts w:hint="eastAsia" w:ascii="仿宋" w:hAnsi="仿宋" w:eastAsia="仿宋"/>
          <w:b/>
          <w:color w:val="000000"/>
          <w:sz w:val="44"/>
          <w:szCs w:val="44"/>
        </w:rPr>
        <w:t>肺炎疫情防控期间开标注意事项</w:t>
      </w:r>
    </w:p>
    <w:p>
      <w:pPr>
        <w:jc w:val="center"/>
        <w:rPr>
          <w:b/>
          <w:color w:val="000000"/>
          <w:sz w:val="44"/>
          <w:szCs w:val="44"/>
        </w:rPr>
      </w:pPr>
    </w:p>
    <w:p>
      <w:pPr>
        <w:pStyle w:val="31"/>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31"/>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pPr>
        <w:pStyle w:val="31"/>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3.中、高风险地区（自行详查相关网站）人员禁止参加现场开标活动</w:t>
      </w:r>
      <w:r>
        <w:rPr>
          <w:rFonts w:hint="eastAsia" w:ascii="仿宋" w:hAnsi="仿宋" w:cs="仿宋"/>
          <w:color w:val="000000"/>
          <w:sz w:val="32"/>
          <w:szCs w:val="32"/>
        </w:rPr>
        <w:t>。</w:t>
      </w:r>
    </w:p>
    <w:p>
      <w:pPr>
        <w:rPr>
          <w:rFonts w:ascii="仿宋" w:hAnsi="仿宋" w:eastAsia="仿宋" w:cs="仿宋"/>
          <w:color w:val="000000"/>
          <w:sz w:val="32"/>
          <w:szCs w:val="32"/>
        </w:rPr>
      </w:pP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 系 人：马先生</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
      <w:pPr>
        <w:jc w:val="center"/>
        <w:rPr>
          <w:rFonts w:ascii="宋体" w:hAnsi="宋体"/>
          <w:b/>
          <w:sz w:val="72"/>
          <w:szCs w:val="72"/>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35393789"/>
      <w:bookmarkStart w:id="2" w:name="_Toc4485616"/>
      <w:bookmarkStart w:id="3" w:name="_Toc4485617"/>
      <w:bookmarkStart w:id="4" w:name="_Toc28359001"/>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营口市行政审批局固定资产投资项目节能评审中介咨询机构</w:t>
          </w:r>
        </w:sdtContent>
      </w:sdt>
      <w:r>
        <w:rPr>
          <w:rFonts w:hint="eastAsia" w:ascii="仿宋" w:hAnsi="仿宋" w:eastAsia="仿宋" w:cs="仿宋_GB2312"/>
          <w:szCs w:val="44"/>
        </w:rPr>
        <w:t>采购公告</w:t>
      </w:r>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营口市行政审批局固定资产投资项目节能评审中介咨询机构</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YKSGZC2021050(2)</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2021/9/24 14:00:00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28359079"/>
      <w:bookmarkStart w:id="6" w:name="_Toc35393621"/>
      <w:bookmarkStart w:id="7" w:name="_Toc35393790"/>
      <w:bookmarkStart w:id="8" w:name="_Toc28359002"/>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YKSGZC2021050(2)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营口市行政审批局固定资产投资项目节能评审中介咨询机构</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ascii="仿宋" w:hAnsi="仿宋" w:eastAsia="仿宋"/>
          <w:szCs w:val="21"/>
        </w:rPr>
      </w:pPr>
      <w:r>
        <w:rPr>
          <w:rFonts w:hint="eastAsia" w:ascii="仿宋" w:hAnsi="仿宋" w:eastAsia="仿宋"/>
          <w:szCs w:val="21"/>
        </w:rPr>
        <w:t>预算金额：500,000.00元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jc w:val="center"/>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最高限价（元/次）</w:t>
                </w:r>
              </w:p>
              <w:p>
                <w:pPr>
                  <w:pStyle w:val="12"/>
                  <w:jc w:val="center"/>
                  <w:rPr>
                    <w:rFonts w:ascii="仿宋" w:hAnsi="仿宋" w:eastAsia="仿宋"/>
                  </w:rPr>
                </w:pPr>
                <w:r>
                  <w:rPr>
                    <w:rFonts w:hint="eastAsia" w:ascii="仿宋" w:hAnsi="仿宋" w:eastAsia="仿宋"/>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jc w:val="left"/>
                  <w:rPr>
                    <w:rFonts w:ascii="仿宋" w:hAnsi="仿宋" w:eastAsia="仿宋"/>
                  </w:rPr>
                </w:pPr>
                <w:r>
                  <w:rPr>
                    <w:rFonts w:hint="eastAsia" w:ascii="仿宋" w:hAnsi="仿宋" w:eastAsia="仿宋"/>
                  </w:rPr>
                  <w:t>营口市行政审批局固定资产投资项目节能评审中介咨询机构</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300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rPr>
                      <w:t>综合评分法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仿宋" w:hAnsi="仿宋" w:eastAsia="仿宋"/>
                      </w:rPr>
                    </w:pPr>
                    <w:r>
                      <w:rPr>
                        <w:rFonts w:hint="eastAsia" w:ascii="仿宋" w:hAnsi="仿宋" w:eastAsia="仿宋"/>
                        <w:sz w:val="24"/>
                      </w:rPr>
                      <w:t>低价优先法</w:t>
                    </w:r>
                  </w:p>
                </w:tc>
              </w:sdtContent>
            </w:sdt>
          </w:tr>
        </w:tbl>
        <w:p>
          <w:pPr>
            <w:jc w:val="left"/>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最高限价（如有）：300元/次（单价）</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合同履行期限：自服务协议签订之日起两年内有效</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622"/>
      <w:bookmarkStart w:id="11" w:name="_Toc35393791"/>
      <w:bookmarkStart w:id="12" w:name="_Toc28359080"/>
      <w:bookmarkStart w:id="13" w:name="_Toc28359003"/>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4" w:name="_Toc28359081"/>
      <w:bookmarkStart w:id="15" w:name="_Toc28359004"/>
      <w:r>
        <w:rPr>
          <w:rFonts w:ascii="仿宋" w:hAnsi="仿宋" w:eastAsia="仿宋"/>
          <w:szCs w:val="21"/>
        </w:rPr>
        <w:t>2</w:t>
      </w:r>
      <w:r>
        <w:rPr>
          <w:rFonts w:hint="eastAsia" w:ascii="仿宋" w:hAnsi="仿宋" w:eastAsia="仿宋"/>
          <w:szCs w:val="21"/>
        </w:rPr>
        <w:t>.落实政府采购政策需满足的资格要求：本项目【专门面向中小微企业】</w:t>
      </w:r>
    </w:p>
    <w:p>
      <w:pPr>
        <w:spacing w:line="276" w:lineRule="auto"/>
        <w:ind w:firstLine="420" w:firstLineChars="200"/>
        <w:rPr>
          <w:rFonts w:ascii="仿宋" w:hAnsi="仿宋" w:eastAsia="仿宋"/>
          <w:szCs w:val="21"/>
        </w:rPr>
      </w:pPr>
      <w:r>
        <w:rPr>
          <w:rFonts w:hint="eastAsia" w:ascii="仿宋" w:hAnsi="仿宋" w:eastAsia="仿宋"/>
          <w:szCs w:val="21"/>
        </w:rPr>
        <w:t>3.本项目的特定资格要求：</w:t>
      </w:r>
    </w:p>
    <w:p>
      <w:pPr>
        <w:keepNext/>
        <w:keepLines/>
        <w:spacing w:line="276" w:lineRule="auto"/>
        <w:ind w:firstLine="420" w:firstLineChars="200"/>
        <w:outlineLvl w:val="1"/>
        <w:rPr>
          <w:rFonts w:ascii="仿宋" w:hAnsi="仿宋" w:eastAsia="仿宋"/>
          <w:szCs w:val="21"/>
        </w:rPr>
      </w:pPr>
      <w:r>
        <w:rPr>
          <w:rFonts w:hint="eastAsia" w:ascii="仿宋" w:hAnsi="仿宋" w:eastAsia="仿宋"/>
          <w:szCs w:val="21"/>
        </w:rPr>
        <w:t>（1）须具备工程咨询资质或工程资信资质</w:t>
      </w:r>
    </w:p>
    <w:p>
      <w:pPr>
        <w:keepNext/>
        <w:keepLines/>
        <w:spacing w:line="276" w:lineRule="auto"/>
        <w:ind w:firstLine="420" w:firstLineChars="200"/>
        <w:outlineLvl w:val="1"/>
        <w:rPr>
          <w:rFonts w:ascii="仿宋" w:hAnsi="仿宋" w:eastAsia="仿宋"/>
          <w:szCs w:val="21"/>
        </w:rPr>
      </w:pPr>
      <w:r>
        <w:rPr>
          <w:rFonts w:hint="eastAsia" w:ascii="仿宋" w:hAnsi="仿宋" w:eastAsia="仿宋"/>
          <w:szCs w:val="21"/>
        </w:rPr>
        <w:t>（2）办公场所的房屋产权证明或房屋租赁证明</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623"/>
      <w:bookmarkStart w:id="17"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2021年09月22日17:00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8" w:name="_Toc35393624"/>
      <w:bookmarkStart w:id="19" w:name="_Toc35393793"/>
      <w:bookmarkStart w:id="20" w:name="_Toc28359082"/>
      <w:bookmarkStart w:id="21" w:name="_Toc28359005"/>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r>
            <w:rPr>
              <w:rFonts w:hint="eastAsia" w:ascii="仿宋" w:hAnsi="仿宋" w:eastAsia="仿宋"/>
              <w:szCs w:val="21"/>
            </w:rPr>
            <w:t>2021/9/24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开标室(五)</w:t>
          </w:r>
        </w:sdtContent>
      </w:sdt>
    </w:p>
    <w:p>
      <w:pPr>
        <w:keepNext/>
        <w:keepLines/>
        <w:spacing w:line="276" w:lineRule="auto"/>
        <w:outlineLvl w:val="1"/>
        <w:rPr>
          <w:rFonts w:ascii="仿宋" w:hAnsi="仿宋" w:eastAsia="仿宋" w:cs="宋体"/>
          <w:bCs/>
          <w:szCs w:val="21"/>
        </w:rPr>
      </w:pPr>
      <w:bookmarkStart w:id="22" w:name="_Toc28359084"/>
      <w:bookmarkStart w:id="23" w:name="_Toc28359007"/>
      <w:bookmarkStart w:id="24" w:name="_Toc35393625"/>
      <w:bookmarkStart w:id="25" w:name="_Toc35393794"/>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r>
            <w:rPr>
              <w:rFonts w:hint="eastAsia" w:ascii="仿宋" w:hAnsi="仿宋" w:eastAsia="仿宋"/>
              <w:szCs w:val="21"/>
            </w:rPr>
            <w:t>2021/9/24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开标室(五)</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0417-2872518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795"/>
      <w:bookmarkStart w:id="27" w:name="_Toc35393626"/>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8" w:name="_Toc35393796"/>
      <w:bookmarkStart w:id="29" w:name="_Toc28359085"/>
      <w:bookmarkStart w:id="30" w:name="_Toc28359008"/>
      <w:bookmarkStart w:id="31" w:name="_Toc35393627"/>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营口市行政审批局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民生路28号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rPr>
            <w:t>0417-2818123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ADD696F87A4240BD8BE2F41861BF0EB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E9750C0F18C347EBBEC2C85348F746BF"/>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64276BBC648149F5B7CCE8BC7C8753DF"/>
          </w:placeholder>
        </w:sdtPr>
        <w:sdtEndPr>
          <w:rPr>
            <w:rFonts w:hint="eastAsia" w:ascii="仿宋" w:hAnsi="仿宋" w:eastAsia="仿宋"/>
            <w:szCs w:val="21"/>
          </w:rPr>
        </w:sdtEndPr>
        <w:sdtContent>
          <w:r>
            <w:rPr>
              <w:rFonts w:hint="eastAsia" w:ascii="仿宋" w:hAnsi="仿宋" w:eastAsia="仿宋"/>
              <w:szCs w:val="21"/>
            </w:rPr>
            <w:t>0417-2972508</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AEC27B429488460EA7011CAC3FD97D01"/>
          </w:placeholder>
        </w:sdtPr>
        <w:sdtEndPr>
          <w:rPr>
            <w:rFonts w:hint="eastAsia" w:ascii="仿宋" w:hAnsi="仿宋" w:eastAsia="仿宋"/>
            <w:szCs w:val="21"/>
          </w:rPr>
        </w:sdtEndPr>
        <w:sdtContent>
          <w:r>
            <w:rPr>
              <w:rFonts w:hint="eastAsia" w:ascii="仿宋" w:hAnsi="仿宋" w:eastAsia="仿宋"/>
              <w:szCs w:val="21"/>
            </w:rPr>
            <w:t>丁先生</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239A5ED1B49E408488245517E3A3F597"/>
          </w:placeholder>
        </w:sdtPr>
        <w:sdtEndPr>
          <w:rPr>
            <w:rFonts w:hint="eastAsia" w:ascii="仿宋" w:hAnsi="仿宋" w:eastAsia="仿宋"/>
            <w:szCs w:val="21"/>
          </w:rPr>
        </w:sdtEndPr>
        <w:sdtContent>
          <w:r>
            <w:rPr>
              <w:rFonts w:hint="eastAsia" w:ascii="仿宋" w:hAnsi="仿宋" w:eastAsia="仿宋"/>
              <w:szCs w:val="21"/>
            </w:rPr>
            <w:t>0417-2972508</w:t>
          </w:r>
        </w:sdtContent>
      </w:sdt>
    </w:p>
    <w:bookmarkEnd w:id="2"/>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3"/>
    </w:p>
    <w:p>
      <w:pPr>
        <w:pStyle w:val="3"/>
        <w:adjustRightInd w:val="0"/>
        <w:snapToGrid w:val="0"/>
        <w:spacing w:before="0" w:after="0" w:line="360" w:lineRule="auto"/>
        <w:jc w:val="center"/>
        <w:rPr>
          <w:rFonts w:ascii="仿宋" w:hAnsi="仿宋" w:eastAsia="仿宋" w:cs="仿宋_GB2312"/>
        </w:rPr>
      </w:pPr>
      <w:bookmarkStart w:id="32" w:name="_Toc533340139"/>
      <w:bookmarkStart w:id="33" w:name="_Toc4485618"/>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sdtPr>
      <w:sdtEndPr>
        <w:rPr>
          <w:rFonts w:hint="eastAsia"/>
          <w:szCs w:val="24"/>
        </w:rPr>
      </w:sdtEndPr>
      <w:sdtContent>
        <w:p>
          <w:bookmarkStart w:id="34" w:name="sys_招标项目基本内容及要求：Block"/>
          <w:bookmarkEnd w:id="34"/>
          <w:bookmarkStart w:id="35" w:name="sys_招标项目基本内容及要求其他：Block"/>
          <w:bookmarkEnd w:id="35"/>
          <w:bookmarkStart w:id="36" w:name="招标项目基本内容及要求：Block"/>
          <w:bookmarkEnd w:id="36"/>
          <w:bookmarkStart w:id="37" w:name="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营口市行政审批局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营口市西市区民生路28号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徐科长</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0417-2218123</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丁先生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0417-2972508</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1、须具备工程咨询资质或工程资信资质</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2、办公场所的房屋产权证明或房屋租赁证明</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500,000.00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300.00</w:t>
                </w:r>
                <w:r>
                  <w:rPr>
                    <w:rFonts w:hint="eastAsia" w:ascii="仿宋_GB2312" w:hAnsi="仿宋_GB2312" w:eastAsia="仿宋_GB2312" w:cs="仿宋_GB2312"/>
                    <w:bCs/>
                    <w:kern w:val="0"/>
                    <w:szCs w:val="21"/>
                  </w:rPr>
                  <w:t>元/次（单价）</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rPr>
                  <w:t>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0"/>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2</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2</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3</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25,000.00元</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rPr>
                    <w:rFonts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ascii="仿宋_GB2312" w:hAnsi="仿宋_GB2312" w:eastAsia="仿宋_GB2312" w:cs="仿宋_GB2312"/>
        </w:rPr>
      </w:pPr>
      <w:bookmarkStart w:id="38" w:name="_Toc4485619"/>
      <w:bookmarkStart w:id="39" w:name="_Toc533340140"/>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6" w:name="_Toc4485621"/>
      <w:bookmarkStart w:id="47" w:name="_Toc533340142"/>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投标文件内容及格式：Block"/>
      <w:bookmarkEnd w:id="49"/>
      <w:bookmarkStart w:id="50" w:name="sys_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51" w:name="sys_资格性证明材料：Document"/>
          <w:bookmarkStart w:id="52" w:name="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法定代表人（或非法人组织负责人）身份证明书（自然人参加磋商的无需提供，授权委托人参加磋商的无需提供）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其它资格证明文件：1、须具备工程咨询资质或工程资信资质</w:t>
                </w:r>
              </w:p>
            </w:tc>
            <w:sdt>
              <w:sdtPr>
                <w:rPr>
                  <w:rFonts w:hint="eastAsia" w:ascii="仿宋" w:hAnsi="仿宋" w:eastAsia="仿宋"/>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其它资格证明文件：2、办公场所的房屋产权证明或房屋租赁证明</w:t>
                </w:r>
              </w:p>
            </w:tc>
            <w:sdt>
              <w:sdtPr>
                <w:rPr>
                  <w:rFonts w:hint="eastAsia" w:ascii="仿宋" w:hAnsi="仿宋" w:eastAsia="仿宋"/>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中小企业声明函</w:t>
                </w:r>
              </w:p>
            </w:tc>
            <w:tc>
              <w:tcPr>
                <w:tcW w:w="1031" w:type="dxa"/>
                <w:vAlign w:val="center"/>
              </w:tcPr>
              <w:sdt>
                <w:sdtPr>
                  <w:rPr>
                    <w:rFonts w:hint="eastAsia" w:ascii="仿宋" w:hAnsi="仿宋" w:eastAsia="仿宋"/>
                    <w:sz w:val="24"/>
                  </w:rPr>
                  <w:alias w:val="包号"/>
                  <w:tag w:val="包号"/>
                  <w:id w:val="-9830811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p>
                    <w:pPr>
                      <w:rPr>
                        <w:rFonts w:ascii="仿宋" w:hAnsi="仿宋" w:eastAsia="仿宋"/>
                        <w:sz w:val="24"/>
                      </w:rPr>
                    </w:pPr>
                    <w:r>
                      <w:rPr>
                        <w:rFonts w:hint="eastAsia" w:ascii="仿宋" w:hAnsi="仿宋" w:eastAsia="仿宋"/>
                        <w:sz w:val="24"/>
                      </w:rPr>
                      <w:t>全部</w:t>
                    </w:r>
                  </w:p>
                </w:sdtContent>
              </w:sdt>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4656"/>
            <w:gridCol w:w="1218"/>
            <w:gridCol w:w="82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 w:val="20"/>
                    <w:szCs w:val="21"/>
                  </w:rPr>
                  <w:fldChar w:fldCharType="begin"/>
                </w:r>
                <w:r>
                  <w:rPr>
                    <w:rFonts w:hint="eastAsia" w:ascii="仿宋" w:hAnsi="仿宋" w:eastAsia="仿宋"/>
                    <w:kern w:val="0"/>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6" w:beforeLines="50" w:line="276"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 w:val="20"/>
                    <w:szCs w:val="21"/>
                  </w:rPr>
                  <w:fldChar w:fldCharType="begin"/>
                </w:r>
                <w:r>
                  <w:rPr>
                    <w:rFonts w:hint="eastAsia" w:ascii="仿宋" w:hAnsi="仿宋" w:eastAsia="仿宋"/>
                    <w:kern w:val="0"/>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工程咨询机构基本情况表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全部</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19</w:t>
                </w:r>
              </w:p>
            </w:tc>
            <w:tc>
              <w:tcPr>
                <w:tcW w:w="1235" w:type="dxa"/>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工程咨询机构执业资格人员表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全部</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w:t>
                </w:r>
              </w:p>
            </w:tc>
            <w:tc>
              <w:tcPr>
                <w:tcW w:w="1235" w:type="dxa"/>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工程咨询机构人员结构表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全部</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21</w:t>
                </w:r>
              </w:p>
            </w:tc>
            <w:tc>
              <w:tcPr>
                <w:tcW w:w="1235" w:type="dxa"/>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工程咨询机构业绩表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全部</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22</w:t>
                </w: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2" w:beforeLines="100" w:after="312" w:afterLines="100" w:line="480" w:lineRule="exact"/>
        <w:ind w:right="630" w:rightChars="300"/>
        <w:jc w:val="center"/>
        <w:rPr>
          <w:rFonts w:ascii="仿宋_GB2312" w:hAnsi="仿宋_GB2312" w:eastAsia="仿宋_GB2312" w:cs="仿宋_GB2312"/>
          <w:b/>
          <w:sz w:val="28"/>
          <w:szCs w:val="28"/>
        </w:rPr>
      </w:pPr>
    </w:p>
    <w:p>
      <w:pPr>
        <w:spacing w:before="312" w:beforeLines="100" w:after="312" w:afterLines="100" w:line="480" w:lineRule="exact"/>
        <w:ind w:right="630" w:rightChars="300"/>
        <w:jc w:val="center"/>
        <w:rPr>
          <w:rFonts w:ascii="仿宋_GB2312" w:hAnsi="仿宋_GB2312" w:eastAsia="仿宋_GB2312" w:cs="仿宋_GB2312"/>
          <w:b/>
          <w:sz w:val="28"/>
          <w:szCs w:val="28"/>
        </w:rPr>
      </w:pPr>
    </w:p>
    <w:p>
      <w:pPr>
        <w:spacing w:before="312" w:beforeLines="100" w:after="312" w:afterLines="100" w:line="480" w:lineRule="exact"/>
        <w:ind w:right="630" w:rightChars="300"/>
        <w:jc w:val="center"/>
        <w:rPr>
          <w:rFonts w:ascii="仿宋_GB2312" w:hAnsi="仿宋_GB2312" w:eastAsia="仿宋_GB2312" w:cs="仿宋_GB2312"/>
          <w:b/>
          <w:sz w:val="28"/>
          <w:szCs w:val="28"/>
        </w:rPr>
      </w:pPr>
    </w:p>
    <w:p>
      <w:pPr>
        <w:spacing w:before="312" w:beforeLines="100" w:after="312"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6" w:beforeLines="50" w:after="156" w:afterLines="50" w:line="400" w:lineRule="exact"/>
        <w:ind w:right="630" w:rightChars="300"/>
        <w:rPr>
          <w:rFonts w:ascii="仿宋_GB2312" w:hAnsi="仿宋_GB2312" w:eastAsia="仿宋_GB2312" w:cs="仿宋_GB2312"/>
          <w:sz w:val="24"/>
        </w:rPr>
      </w:pP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6" w:beforeLines="50" w:after="156" w:afterLines="50" w:line="400" w:lineRule="exact"/>
        <w:ind w:right="1050" w:rightChars="500" w:firstLine="420" w:firstLineChars="200"/>
        <w:rPr>
          <w:rFonts w:ascii="仿宋_GB2312" w:hAnsi="仿宋_GB2312" w:eastAsia="仿宋_GB2312" w:cs="仿宋_GB2312"/>
          <w:szCs w:val="21"/>
        </w:rPr>
      </w:pPr>
    </w:p>
    <w:p>
      <w:pPr>
        <w:spacing w:before="156" w:beforeLines="50" w:after="156"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ascii="仿宋_GB2312" w:hAnsi="仿宋_GB2312" w:eastAsia="仿宋_GB2312" w:cs="仿宋_GB2312"/>
          <w:b/>
          <w:sz w:val="28"/>
          <w:szCs w:val="28"/>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718" w:type="dxa"/>
            <w:vAlign w:val="center"/>
          </w:tcPr>
          <w:p>
            <w:pPr>
              <w:adjustRightInd w:val="0"/>
              <w:snapToGrid w:val="0"/>
              <w:ind w:left="-82" w:leftChars="-39" w:right="-46" w:rightChars="-22"/>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ind w:right="105" w:rightChars="50" w:firstLine="422" w:firstLineChars="200"/>
        <w:jc w:val="left"/>
        <w:rPr>
          <w:rFonts w:ascii="仿宋" w:hAnsi="仿宋" w:cs="仿宋_GB2312"/>
          <w:b/>
          <w:bCs/>
          <w:szCs w:val="21"/>
        </w:rPr>
      </w:pPr>
      <w:r>
        <w:rPr>
          <w:rFonts w:hint="eastAsia" w:ascii="仿宋" w:hAnsi="仿宋" w:cs="仿宋_GB2312"/>
          <w:b/>
          <w:bCs/>
          <w:szCs w:val="21"/>
        </w:rPr>
        <w:t>响应总价：固定单价不超过300元。</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p>
    <w:p>
      <w:pPr>
        <w:pStyle w:val="3"/>
        <w:adjustRightInd w:val="0"/>
        <w:snapToGrid w:val="0"/>
        <w:spacing w:before="12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1315"/>
        <w:gridCol w:w="941"/>
        <w:gridCol w:w="97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7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72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rPr>
                <w:rFonts w:ascii="仿宋_GB2312" w:hAnsi="仿宋_GB2312" w:eastAsia="仿宋_GB2312" w:cs="仿宋_GB2312"/>
                <w:sz w:val="24"/>
              </w:rPr>
            </w:pPr>
            <w:r>
              <w:rPr>
                <w:rFonts w:hint="eastAsia" w:ascii="仿宋_GB2312" w:hAnsi="仿宋_GB2312" w:eastAsia="仿宋_GB2312" w:cs="仿宋_GB2312"/>
                <w:sz w:val="24"/>
              </w:rPr>
              <w:t>四、项目需求</w:t>
            </w:r>
          </w:p>
          <w:p>
            <w:pPr>
              <w:adjustRightInd w:val="0"/>
              <w:snapToGrid w:val="0"/>
              <w:ind w:hanging="1"/>
              <w:jc w:val="left"/>
              <w:rPr>
                <w:rFonts w:ascii="仿宋_GB2312" w:hAnsi="仿宋_GB2312" w:eastAsia="仿宋_GB2312" w:cs="仿宋_GB2312"/>
                <w:sz w:val="24"/>
              </w:rPr>
            </w:pPr>
            <w:r>
              <w:rPr>
                <w:rFonts w:hint="eastAsia" w:ascii="仿宋_GB2312" w:hAnsi="仿宋_GB2312" w:eastAsia="仿宋_GB2312" w:cs="仿宋_GB2312"/>
                <w:sz w:val="24"/>
              </w:rPr>
              <w:t>公开招标固定资产投资项目节能评审中介咨询机构1家，固定单价不超过300元。中标后中介咨询机构派一名专业技术人员进驻营口市行政审批局现场办公。</w:t>
            </w:r>
          </w:p>
          <w:p>
            <w:pPr>
              <w:adjustRightInd w:val="0"/>
              <w:snapToGrid w:val="0"/>
              <w:ind w:hanging="1"/>
              <w:jc w:val="left"/>
              <w:rPr>
                <w:rFonts w:ascii="仿宋_GB2312" w:hAnsi="仿宋_GB2312" w:eastAsia="仿宋_GB2312" w:cs="仿宋_GB2312"/>
                <w:sz w:val="24"/>
              </w:rPr>
            </w:pPr>
            <w:r>
              <w:rPr>
                <w:rFonts w:hint="eastAsia" w:ascii="仿宋_GB2312" w:hAnsi="仿宋_GB2312" w:eastAsia="仿宋_GB2312" w:cs="仿宋_GB2312"/>
                <w:sz w:val="24"/>
              </w:rPr>
              <w:t>中标的评审中介咨询机构在评审工作结束后需出具完整的评审报告，主要包括以下内容：</w:t>
            </w:r>
          </w:p>
          <w:p>
            <w:pPr>
              <w:jc w:val="left"/>
              <w:rPr>
                <w:rFonts w:ascii="仿宋_GB2312" w:hAnsi="仿宋_GB2312" w:eastAsia="仿宋_GB2312" w:cs="仿宋_GB2312"/>
                <w:b/>
                <w:sz w:val="24"/>
              </w:rPr>
            </w:pPr>
            <w:r>
              <w:rPr>
                <w:rFonts w:hint="eastAsia" w:ascii="仿宋_GB2312" w:hAnsi="仿宋_GB2312" w:eastAsia="仿宋_GB2312" w:cs="仿宋_GB2312"/>
                <w:b/>
                <w:sz w:val="24"/>
              </w:rPr>
              <w:t>关于固定资产投资项目节能报告的评审意见模板</w:t>
            </w:r>
          </w:p>
          <w:p>
            <w:pPr>
              <w:spacing w:before="312" w:beforeLines="100" w:line="360" w:lineRule="auto"/>
              <w:rPr>
                <w:rFonts w:ascii="仿宋_GB2312" w:hAnsi="仿宋_GB2312" w:eastAsia="仿宋_GB2312" w:cs="仿宋_GB2312"/>
                <w:sz w:val="24"/>
              </w:rPr>
            </w:pPr>
            <w:r>
              <w:rPr>
                <w:rFonts w:hint="eastAsia" w:ascii="仿宋_GB2312" w:hAnsi="仿宋_GB2312" w:eastAsia="仿宋_GB2312" w:cs="仿宋_GB2312"/>
                <w:sz w:val="24"/>
              </w:rPr>
              <w:t>名头：关于xx项目的节能报告的评审意见</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文件主送：营口市行政审批局</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文件绪言：包括委托单位、评审单位、被评审单位、评审时间、评审地点、项目名称、项目设备节能情况、项目工艺节能情况、存在的主要问题、修改情况等。</w:t>
            </w:r>
          </w:p>
          <w:p>
            <w:pPr>
              <w:spacing w:before="312" w:beforeLines="100" w:line="360" w:lineRule="auto"/>
              <w:rPr>
                <w:rFonts w:ascii="仿宋_GB2312" w:hAnsi="仿宋_GB2312" w:eastAsia="仿宋_GB2312" w:cs="仿宋_GB2312"/>
                <w:sz w:val="24"/>
              </w:rPr>
            </w:pPr>
            <w:r>
              <w:rPr>
                <w:rFonts w:hint="eastAsia" w:ascii="仿宋_GB2312" w:hAnsi="仿宋_GB2312" w:eastAsia="仿宋_GB2312" w:cs="仿宋_GB2312"/>
                <w:sz w:val="24"/>
              </w:rPr>
              <w:t>1、评估依据要全面并及时查新。</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2、项目概况要全面，综合分析能源供应条件是否具备。</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3、项目用能总量、能源消费结构是否合理；项目综合能源消费增量及其影响。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4、项目能效水平。项目能耗指标是否符合国家、地方和行业节能设计规范及标准，是否达到国家单位产品综合能耗准入值标准要求。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5、项目建设方案节能评估要准确。</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6、项目用能装置。项目有无采用明令禁止或淘汰的落后工艺、设备的现象。</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7、节能措施情况。项目是否已经采用国家和省明文规定必须采用的节能新工艺、新技术、新产品。</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8、报告中存在的主要问题及修改建议。</w:t>
            </w:r>
          </w:p>
          <w:p>
            <w:pPr>
              <w:spacing w:line="360" w:lineRule="auto"/>
              <w:rPr>
                <w:rFonts w:ascii="仿宋_GB2312" w:hAnsi="仿宋_GB2312" w:eastAsia="仿宋_GB2312" w:cs="仿宋_GB2312"/>
                <w:szCs w:val="21"/>
              </w:rPr>
            </w:pPr>
            <w:r>
              <w:rPr>
                <w:rFonts w:hint="eastAsia" w:ascii="仿宋_GB2312" w:hAnsi="仿宋_GB2312" w:eastAsia="仿宋_GB2312" w:cs="仿宋_GB2312"/>
                <w:sz w:val="24"/>
              </w:rPr>
              <w:t>9、结论。</w:t>
            </w:r>
          </w:p>
        </w:tc>
        <w:tc>
          <w:tcPr>
            <w:tcW w:w="13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472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1315"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1．“响应文件响应内容”一栏由供应商按照采购文件要求填写并进行逐项响应。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履约期限：自服务协议签订之日起两年内有效</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履约地点：营口市行政审批局指定地点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付款方式及条件：采取固定单价的方式，每年服务费为：中标确定的单个单价*每年完成项目个数，中标后每半年一结算。</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142" w:type="dxa"/>
                <w:vAlign w:val="center"/>
              </w:tcPr>
              <w:p>
                <w:pPr>
                  <w:adjustRightInd w:val="0"/>
                  <w:snapToGrid w:val="0"/>
                  <w:ind w:right="105" w:rightChars="50"/>
                  <w:rPr>
                    <w:rFonts w:ascii="仿宋" w:hAnsi="仿宋" w:eastAsia="仿宋" w:cs="宋体"/>
                    <w:szCs w:val="21"/>
                  </w:rPr>
                </w:pPr>
                <w:r>
                  <w:rPr>
                    <w:rFonts w:hint="eastAsia" w:ascii="仿宋_GB2312" w:hAnsi="仿宋_GB2312" w:eastAsia="仿宋_GB2312" w:cs="仿宋_GB2312"/>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53" w:name="_Toc4541_WPSOffice_Level2"/>
      <w:bookmarkStart w:id="54" w:name="_Toc19164_WPSOffice_Level2"/>
      <w:r>
        <w:rPr>
          <w:rFonts w:hint="eastAsia" w:ascii="仿宋_GB2312" w:hAnsi="仿宋_GB2312" w:eastAsia="仿宋_GB2312" w:cs="仿宋_GB2312"/>
          <w:b/>
          <w:bCs/>
          <w:sz w:val="32"/>
          <w:szCs w:val="32"/>
        </w:rPr>
        <w:t>中小企业声明函</w:t>
      </w:r>
      <w:bookmarkEnd w:id="53"/>
      <w:bookmarkEnd w:id="5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宋体" w:hAnsi="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spacing w:line="360" w:lineRule="auto"/>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p>
    <w:p>
      <w:pPr>
        <w:pStyle w:val="3"/>
        <w:rPr>
          <w:rFonts w:ascii="仿宋_GB2312" w:hAnsi="仿宋_GB2312" w:eastAsia="仿宋_GB2312" w:cs="仿宋_GB2312"/>
          <w:szCs w:val="28"/>
        </w:rPr>
      </w:pPr>
      <w:r>
        <w:rPr>
          <w:rFonts w:hint="eastAsia" w:ascii="仿宋_GB2312" w:hAnsi="仿宋_GB2312" w:eastAsia="仿宋_GB2312" w:cs="仿宋_GB2312"/>
          <w:szCs w:val="28"/>
        </w:rPr>
        <w:t>格式17</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格式18</w:t>
      </w:r>
    </w:p>
    <w:p>
      <w:pPr>
        <w:spacing w:before="312" w:beforeLines="100" w:after="312"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rPr>
          <w:rFonts w:ascii="仿宋_GB2312" w:hAnsi="仿宋_GB2312" w:eastAsia="仿宋_GB2312" w:cs="仿宋_GB2312"/>
          <w:b/>
          <w:bCs/>
          <w:sz w:val="28"/>
          <w:szCs w:val="28"/>
        </w:rPr>
      </w:pPr>
      <w:r>
        <w:rPr>
          <w:rFonts w:ascii="仿宋" w:hAnsi="仿宋" w:eastAsia="仿宋" w:cs="仿宋_GB2312"/>
          <w:kern w:val="0"/>
          <w:sz w:val="20"/>
          <w:szCs w:val="21"/>
        </w:rPr>
        <w:br w:type="page"/>
      </w:r>
      <w:r>
        <w:rPr>
          <w:rFonts w:hint="eastAsia" w:ascii="仿宋_GB2312" w:hAnsi="仿宋_GB2312" w:eastAsia="仿宋_GB2312" w:cs="仿宋_GB2312"/>
          <w:b/>
          <w:bCs/>
          <w:sz w:val="28"/>
          <w:szCs w:val="28"/>
        </w:rPr>
        <w:t>格式19</w:t>
      </w:r>
    </w:p>
    <w:p>
      <w:pPr>
        <w:jc w:val="center"/>
        <w:rPr>
          <w:b/>
          <w:color w:val="FF0000"/>
          <w:sz w:val="44"/>
          <w:szCs w:val="44"/>
        </w:rPr>
      </w:pPr>
      <w:r>
        <w:rPr>
          <w:rFonts w:hint="eastAsia" w:ascii="宋体" w:hAnsi="宋体"/>
          <w:b/>
          <w:color w:val="FF0000"/>
          <w:sz w:val="44"/>
          <w:szCs w:val="44"/>
        </w:rPr>
        <w:t>工程</w:t>
      </w:r>
      <w:r>
        <w:rPr>
          <w:rFonts w:hint="eastAsia"/>
          <w:b/>
          <w:color w:val="FF0000"/>
          <w:sz w:val="44"/>
          <w:szCs w:val="44"/>
        </w:rPr>
        <w:t>咨询机构基本情况表</w:t>
      </w:r>
    </w:p>
    <w:tbl>
      <w:tblPr>
        <w:tblStyle w:val="16"/>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688"/>
        <w:gridCol w:w="1538"/>
        <w:gridCol w:w="821"/>
        <w:gridCol w:w="81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机构名称</w:t>
            </w:r>
          </w:p>
        </w:tc>
        <w:tc>
          <w:tcPr>
            <w:tcW w:w="7407" w:type="dxa"/>
            <w:gridSpan w:val="5"/>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通讯地址</w:t>
            </w:r>
          </w:p>
        </w:tc>
        <w:tc>
          <w:tcPr>
            <w:tcW w:w="7407" w:type="dxa"/>
            <w:gridSpan w:val="5"/>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邮政编码</w:t>
            </w:r>
          </w:p>
        </w:tc>
        <w:tc>
          <w:tcPr>
            <w:tcW w:w="2688" w:type="dxa"/>
          </w:tcPr>
          <w:p>
            <w:pPr>
              <w:spacing w:line="360" w:lineRule="auto"/>
              <w:rPr>
                <w:rFonts w:ascii="仿宋" w:hAnsi="仿宋" w:eastAsia="仿宋" w:cs="Lucida Sans Unicode"/>
                <w:color w:val="000000"/>
                <w:sz w:val="24"/>
              </w:rPr>
            </w:pPr>
          </w:p>
        </w:tc>
        <w:tc>
          <w:tcPr>
            <w:tcW w:w="2359"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传真号码</w:t>
            </w: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40" w:type="dxa"/>
            <w:vMerge w:val="restart"/>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w:t>
            </w:r>
          </w:p>
        </w:tc>
        <w:tc>
          <w:tcPr>
            <w:tcW w:w="268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姓名</w:t>
            </w:r>
          </w:p>
        </w:tc>
        <w:tc>
          <w:tcPr>
            <w:tcW w:w="2359"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办公电话</w:t>
            </w:r>
          </w:p>
        </w:tc>
        <w:tc>
          <w:tcPr>
            <w:tcW w:w="2360"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40" w:type="dxa"/>
            <w:vMerge w:val="continue"/>
          </w:tcPr>
          <w:p>
            <w:pPr>
              <w:spacing w:line="360" w:lineRule="auto"/>
              <w:rPr>
                <w:rFonts w:ascii="仿宋" w:hAnsi="仿宋" w:eastAsia="仿宋" w:cs="Lucida Sans Unicode"/>
                <w:color w:val="000000"/>
                <w:sz w:val="24"/>
              </w:rPr>
            </w:pPr>
          </w:p>
        </w:tc>
        <w:tc>
          <w:tcPr>
            <w:tcW w:w="2688" w:type="dxa"/>
          </w:tcPr>
          <w:p>
            <w:pPr>
              <w:spacing w:line="360" w:lineRule="auto"/>
              <w:rPr>
                <w:rFonts w:ascii="仿宋" w:hAnsi="仿宋" w:eastAsia="仿宋" w:cs="Lucida Sans Unicode"/>
                <w:color w:val="000000"/>
                <w:sz w:val="24"/>
              </w:rPr>
            </w:pPr>
          </w:p>
        </w:tc>
        <w:tc>
          <w:tcPr>
            <w:tcW w:w="2359" w:type="dxa"/>
            <w:gridSpan w:val="2"/>
          </w:tcPr>
          <w:p>
            <w:pPr>
              <w:spacing w:line="360" w:lineRule="auto"/>
              <w:rPr>
                <w:rFonts w:ascii="仿宋" w:hAnsi="仿宋" w:eastAsia="仿宋" w:cs="Lucida Sans Unicode"/>
                <w:color w:val="000000"/>
                <w:sz w:val="24"/>
              </w:rPr>
            </w:pP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2018-2020年有哪些其他资格、资质</w:t>
            </w:r>
          </w:p>
        </w:tc>
        <w:tc>
          <w:tcPr>
            <w:tcW w:w="2688" w:type="dxa"/>
          </w:tcPr>
          <w:p>
            <w:pPr>
              <w:spacing w:line="360" w:lineRule="auto"/>
              <w:rPr>
                <w:rFonts w:ascii="仿宋" w:hAnsi="仿宋" w:eastAsia="仿宋" w:cs="Lucida Sans Unicode"/>
                <w:color w:val="000000"/>
                <w:sz w:val="24"/>
              </w:rPr>
            </w:pPr>
          </w:p>
        </w:tc>
        <w:tc>
          <w:tcPr>
            <w:tcW w:w="2359" w:type="dxa"/>
            <w:gridSpan w:val="2"/>
            <w:vAlign w:val="center"/>
          </w:tcPr>
          <w:p>
            <w:pPr>
              <w:spacing w:line="360" w:lineRule="auto"/>
              <w:rPr>
                <w:rFonts w:ascii="仿宋" w:hAnsi="仿宋" w:eastAsia="仿宋" w:cs="Lucida Sans Unicode"/>
                <w:color w:val="000000"/>
                <w:sz w:val="24"/>
              </w:rPr>
            </w:pP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428"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2019-2021年曾经取得过哪些部门（市级及以上）节能相关评审机构资格</w:t>
            </w:r>
          </w:p>
        </w:tc>
        <w:tc>
          <w:tcPr>
            <w:tcW w:w="4719" w:type="dxa"/>
            <w:gridSpan w:val="4"/>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428" w:type="dxa"/>
            <w:gridSpan w:val="2"/>
            <w:tcBorders>
              <w:tl2br w:val="single" w:color="auto" w:sz="4" w:space="0"/>
            </w:tcBorders>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 xml:space="preserve">                   年    度</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项    目</w:t>
            </w:r>
          </w:p>
        </w:tc>
        <w:tc>
          <w:tcPr>
            <w:tcW w:w="1538" w:type="dxa"/>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2019年</w:t>
            </w:r>
          </w:p>
        </w:tc>
        <w:tc>
          <w:tcPr>
            <w:tcW w:w="1640" w:type="dxa"/>
            <w:gridSpan w:val="2"/>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2020年</w:t>
            </w:r>
          </w:p>
        </w:tc>
        <w:tc>
          <w:tcPr>
            <w:tcW w:w="1541" w:type="dxa"/>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428"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完成工程建设项目评审报告份数（合计）</w:t>
            </w:r>
          </w:p>
        </w:tc>
        <w:tc>
          <w:tcPr>
            <w:tcW w:w="1538" w:type="dxa"/>
          </w:tcPr>
          <w:p>
            <w:pPr>
              <w:spacing w:line="360" w:lineRule="auto"/>
              <w:rPr>
                <w:rFonts w:ascii="仿宋" w:hAnsi="仿宋" w:eastAsia="仿宋" w:cs="Lucida Sans Unicode"/>
                <w:color w:val="000000"/>
                <w:sz w:val="24"/>
              </w:rPr>
            </w:pPr>
          </w:p>
        </w:tc>
        <w:tc>
          <w:tcPr>
            <w:tcW w:w="1640" w:type="dxa"/>
            <w:gridSpan w:val="2"/>
          </w:tcPr>
          <w:p>
            <w:pPr>
              <w:spacing w:line="360" w:lineRule="auto"/>
              <w:rPr>
                <w:rFonts w:ascii="仿宋" w:hAnsi="仿宋" w:eastAsia="仿宋" w:cs="Lucida Sans Unicode"/>
                <w:color w:val="000000"/>
                <w:sz w:val="24"/>
              </w:rPr>
            </w:pPr>
          </w:p>
        </w:tc>
        <w:tc>
          <w:tcPr>
            <w:tcW w:w="1541"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428" w:type="dxa"/>
            <w:gridSpan w:val="2"/>
            <w:vAlign w:val="center"/>
          </w:tcPr>
          <w:p>
            <w:pPr>
              <w:spacing w:line="360" w:lineRule="auto"/>
              <w:rPr>
                <w:rFonts w:ascii="仿宋" w:hAnsi="仿宋" w:eastAsia="仿宋" w:cs="Lucida Sans Unicode"/>
                <w:color w:val="000000"/>
                <w:sz w:val="24"/>
                <w:highlight w:val="yellow"/>
              </w:rPr>
            </w:pPr>
            <w:r>
              <w:rPr>
                <w:rFonts w:hint="eastAsia" w:ascii="仿宋" w:hAnsi="仿宋" w:eastAsia="仿宋" w:cs="Lucida Sans Unicode"/>
                <w:color w:val="000000"/>
                <w:sz w:val="24"/>
              </w:rPr>
              <w:t>编制节能报告份数（合计）</w:t>
            </w:r>
          </w:p>
        </w:tc>
        <w:tc>
          <w:tcPr>
            <w:tcW w:w="1538" w:type="dxa"/>
          </w:tcPr>
          <w:p>
            <w:pPr>
              <w:spacing w:line="360" w:lineRule="auto"/>
              <w:rPr>
                <w:rFonts w:ascii="仿宋" w:hAnsi="仿宋" w:eastAsia="仿宋" w:cs="Lucida Sans Unicode"/>
                <w:color w:val="000000"/>
                <w:sz w:val="24"/>
              </w:rPr>
            </w:pPr>
          </w:p>
        </w:tc>
        <w:tc>
          <w:tcPr>
            <w:tcW w:w="1640" w:type="dxa"/>
            <w:gridSpan w:val="2"/>
          </w:tcPr>
          <w:p>
            <w:pPr>
              <w:spacing w:line="360" w:lineRule="auto"/>
              <w:rPr>
                <w:rFonts w:ascii="仿宋" w:hAnsi="仿宋" w:eastAsia="仿宋" w:cs="Lucida Sans Unicode"/>
                <w:color w:val="000000"/>
                <w:sz w:val="24"/>
              </w:rPr>
            </w:pPr>
          </w:p>
        </w:tc>
        <w:tc>
          <w:tcPr>
            <w:tcW w:w="1541"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rPr>
          <w:rFonts w:ascii="仿宋" w:hAnsi="仿宋" w:eastAsia="仿宋" w:cs="仿宋_GB2312"/>
          <w:kern w:val="0"/>
          <w:sz w:val="20"/>
          <w:szCs w:val="21"/>
        </w:rPr>
      </w:pPr>
      <w:r>
        <w:rPr>
          <w:rFonts w:ascii="仿宋" w:hAnsi="仿宋" w:eastAsia="仿宋" w:cs="仿宋_GB2312"/>
          <w:kern w:val="0"/>
          <w:sz w:val="20"/>
          <w:szCs w:val="21"/>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格式20</w:t>
      </w:r>
    </w:p>
    <w:p>
      <w:pPr>
        <w:jc w:val="center"/>
        <w:rPr>
          <w:b/>
          <w:color w:val="FF0000"/>
          <w:sz w:val="44"/>
          <w:szCs w:val="44"/>
        </w:rPr>
      </w:pPr>
      <w:r>
        <w:rPr>
          <w:rFonts w:hint="eastAsia"/>
          <w:b/>
          <w:color w:val="FF0000"/>
          <w:sz w:val="44"/>
          <w:szCs w:val="44"/>
        </w:rPr>
        <w:t>工程咨询机构执业资格人员表</w:t>
      </w:r>
    </w:p>
    <w:p>
      <w:pPr>
        <w:jc w:val="center"/>
        <w:rPr>
          <w:b/>
          <w:color w:val="000000"/>
          <w:sz w:val="24"/>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6"/>
        <w:gridCol w:w="776"/>
        <w:gridCol w:w="788"/>
        <w:gridCol w:w="832"/>
        <w:gridCol w:w="1598"/>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姓名</w:t>
            </w:r>
          </w:p>
        </w:tc>
        <w:tc>
          <w:tcPr>
            <w:tcW w:w="776"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性别</w:t>
            </w:r>
          </w:p>
        </w:tc>
        <w:tc>
          <w:tcPr>
            <w:tcW w:w="776"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年龄</w:t>
            </w:r>
          </w:p>
        </w:tc>
        <w:tc>
          <w:tcPr>
            <w:tcW w:w="78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执龄</w:t>
            </w:r>
          </w:p>
        </w:tc>
        <w:tc>
          <w:tcPr>
            <w:tcW w:w="832"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学历</w:t>
            </w:r>
          </w:p>
        </w:tc>
        <w:tc>
          <w:tcPr>
            <w:tcW w:w="159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专业</w:t>
            </w:r>
          </w:p>
        </w:tc>
        <w:tc>
          <w:tcPr>
            <w:tcW w:w="156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执业资格</w:t>
            </w:r>
          </w:p>
        </w:tc>
        <w:tc>
          <w:tcPr>
            <w:tcW w:w="1842"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证书注册编号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注：1.“执龄”为在中介机构的执业时间。</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2.将执业人员注册证书（复印件）附后页。</w:t>
      </w: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r>
        <w:rPr>
          <w:rFonts w:hint="eastAsia" w:ascii="宋体" w:hAnsi="宋体" w:cs="Arial"/>
          <w:color w:val="000000"/>
          <w:sz w:val="24"/>
        </w:rPr>
        <w:t xml:space="preserve">              </w:t>
      </w: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格式21</w:t>
      </w:r>
    </w:p>
    <w:p>
      <w:pPr>
        <w:jc w:val="center"/>
        <w:rPr>
          <w:b/>
          <w:color w:val="FF0000"/>
          <w:sz w:val="44"/>
          <w:szCs w:val="44"/>
        </w:rPr>
      </w:pPr>
      <w:r>
        <w:rPr>
          <w:rFonts w:hint="eastAsia" w:ascii="宋体" w:hAnsi="宋体"/>
          <w:b/>
          <w:color w:val="FF0000"/>
          <w:sz w:val="44"/>
          <w:szCs w:val="44"/>
        </w:rPr>
        <w:t>工程咨询机构人员结构表</w:t>
      </w:r>
    </w:p>
    <w:tbl>
      <w:tblPr>
        <w:tblStyle w:val="16"/>
        <w:tblpPr w:leftFromText="180" w:rightFromText="180" w:vertAnchor="text" w:horzAnchor="margin" w:tblpXSpec="center" w:tblpY="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613" w:type="dxa"/>
            <w:gridSpan w:val="2"/>
            <w:vAlign w:val="center"/>
          </w:tcPr>
          <w:p>
            <w:pPr>
              <w:spacing w:line="360" w:lineRule="auto"/>
              <w:rPr>
                <w:rFonts w:ascii="仿宋" w:hAnsi="仿宋" w:eastAsia="仿宋" w:cs="Lucida Sans Unicode"/>
                <w:color w:val="000000"/>
                <w:sz w:val="24"/>
              </w:rPr>
            </w:pPr>
            <w:r>
              <w:rPr>
                <w:rFonts w:ascii="仿宋" w:hAnsi="仿宋" w:eastAsia="仿宋" w:cs="Lucida Sans Unicode"/>
                <w:color w:val="000000"/>
                <w:sz w:val="24"/>
              </w:rPr>
              <w:t>取得</w:t>
            </w:r>
            <w:r>
              <w:rPr>
                <w:rFonts w:hint="eastAsia" w:ascii="仿宋" w:hAnsi="仿宋" w:eastAsia="仿宋" w:cs="Lucida Sans Unicode"/>
                <w:color w:val="000000"/>
                <w:sz w:val="24"/>
              </w:rPr>
              <w:t>注册咨询</w:t>
            </w:r>
            <w:r>
              <w:rPr>
                <w:rFonts w:ascii="仿宋" w:hAnsi="仿宋" w:eastAsia="仿宋" w:cs="Lucida Sans Unicode"/>
                <w:color w:val="000000"/>
                <w:sz w:val="24"/>
              </w:rPr>
              <w:t>工程师注册证书的人员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人数</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平均年龄</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本科及以上学历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大专及以下学历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613" w:type="dxa"/>
            <w:gridSpan w:val="2"/>
            <w:vAlign w:val="center"/>
          </w:tcPr>
          <w:p>
            <w:pPr>
              <w:spacing w:line="360" w:lineRule="auto"/>
              <w:rPr>
                <w:rFonts w:ascii="仿宋" w:hAnsi="仿宋" w:eastAsia="仿宋" w:cs="Lucida Sans Unicode"/>
                <w:color w:val="000000"/>
                <w:sz w:val="24"/>
              </w:rPr>
            </w:pPr>
            <w:r>
              <w:rPr>
                <w:rFonts w:ascii="仿宋" w:hAnsi="仿宋" w:eastAsia="仿宋" w:cs="Lucida Sans Unicode"/>
                <w:color w:val="000000"/>
                <w:sz w:val="24"/>
              </w:rPr>
              <w:t>具有工程类中级</w:t>
            </w:r>
            <w:r>
              <w:rPr>
                <w:rFonts w:hint="eastAsia" w:ascii="仿宋" w:hAnsi="仿宋" w:eastAsia="仿宋" w:cs="Lucida Sans Unicode"/>
                <w:color w:val="000000"/>
                <w:sz w:val="24"/>
              </w:rPr>
              <w:t>及中级</w:t>
            </w:r>
            <w:r>
              <w:rPr>
                <w:rFonts w:ascii="仿宋" w:hAnsi="仿宋" w:eastAsia="仿宋" w:cs="Lucida Sans Unicode"/>
                <w:color w:val="000000"/>
                <w:sz w:val="24"/>
              </w:rPr>
              <w:t>以上专业技术职称的人员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人数</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平均年龄</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本科及以上学历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大专及以下学历</w:t>
            </w:r>
          </w:p>
        </w:tc>
        <w:tc>
          <w:tcPr>
            <w:tcW w:w="5758"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 xml:space="preserve">   注：将注册证书、资格证书（复印件）附后页。</w:t>
      </w:r>
    </w:p>
    <w:p>
      <w:pPr>
        <w:spacing w:line="360" w:lineRule="auto"/>
        <w:rPr>
          <w:rFonts w:ascii="仿宋" w:hAnsi="仿宋" w:eastAsia="仿宋" w:cs="Lucida Sans Unicode"/>
          <w:color w:val="000000"/>
          <w:sz w:val="24"/>
        </w:rPr>
      </w:pP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spacing w:line="440" w:lineRule="exact"/>
        <w:rPr>
          <w:rFonts w:ascii="仿宋" w:hAnsi="仿宋" w:eastAsia="仿宋"/>
          <w:color w:val="000000"/>
          <w:sz w:val="24"/>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格式22</w:t>
      </w:r>
    </w:p>
    <w:p>
      <w:pPr>
        <w:spacing w:line="500" w:lineRule="exact"/>
        <w:jc w:val="center"/>
        <w:rPr>
          <w:rFonts w:ascii="仿宋" w:hAnsi="仿宋" w:eastAsia="仿宋"/>
          <w:b/>
          <w:bCs/>
          <w:color w:val="FF0000"/>
          <w:sz w:val="44"/>
          <w:szCs w:val="32"/>
        </w:rPr>
      </w:pPr>
      <w:r>
        <w:rPr>
          <w:rFonts w:hint="eastAsia" w:ascii="仿宋" w:hAnsi="仿宋" w:eastAsia="仿宋"/>
          <w:b/>
          <w:bCs/>
          <w:color w:val="FF0000"/>
          <w:sz w:val="44"/>
          <w:szCs w:val="32"/>
        </w:rPr>
        <w:t>工程咨询机构业绩表</w:t>
      </w:r>
    </w:p>
    <w:p>
      <w:pPr>
        <w:spacing w:line="306" w:lineRule="atLeast"/>
        <w:jc w:val="left"/>
        <w:rPr>
          <w:rFonts w:ascii="仿宋_GB2312" w:eastAsia="仿宋_GB2312"/>
          <w:color w:val="000000"/>
          <w:sz w:val="24"/>
        </w:rPr>
      </w:pPr>
    </w:p>
    <w:tbl>
      <w:tblPr>
        <w:tblStyle w:val="16"/>
        <w:tblW w:w="9965" w:type="dxa"/>
        <w:tblInd w:w="-7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35"/>
        <w:gridCol w:w="1260"/>
        <w:gridCol w:w="945"/>
        <w:gridCol w:w="1073"/>
        <w:gridCol w:w="720"/>
        <w:gridCol w:w="1042"/>
        <w:gridCol w:w="1055"/>
        <w:gridCol w:w="1276"/>
        <w:gridCol w:w="1134"/>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73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序号</w:t>
            </w:r>
          </w:p>
        </w:tc>
        <w:tc>
          <w:tcPr>
            <w:tcW w:w="1260"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工程项目名称</w:t>
            </w:r>
          </w:p>
        </w:tc>
        <w:tc>
          <w:tcPr>
            <w:tcW w:w="945"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项目建设地址</w:t>
            </w:r>
            <w:r>
              <w:rPr>
                <w:rFonts w:hint="eastAsia" w:ascii="宋体" w:hAnsi="宋体"/>
                <w:color w:val="000000"/>
                <w:sz w:val="18"/>
                <w:szCs w:val="18"/>
              </w:rPr>
              <w:t>（**市**区、县）</w:t>
            </w:r>
          </w:p>
        </w:tc>
        <w:tc>
          <w:tcPr>
            <w:tcW w:w="1073"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委托咨询服务工程内容的投资额  </w:t>
            </w:r>
          </w:p>
        </w:tc>
        <w:tc>
          <w:tcPr>
            <w:tcW w:w="720"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服务</w:t>
            </w:r>
          </w:p>
          <w:p>
            <w:pPr>
              <w:jc w:val="center"/>
              <w:rPr>
                <w:rFonts w:ascii="宋体" w:hAnsi="宋体"/>
                <w:color w:val="000000"/>
                <w:sz w:val="24"/>
              </w:rPr>
            </w:pPr>
            <w:r>
              <w:rPr>
                <w:rFonts w:hint="eastAsia" w:ascii="宋体" w:hAnsi="宋体"/>
                <w:color w:val="000000"/>
                <w:sz w:val="24"/>
              </w:rPr>
              <w:t>内容</w:t>
            </w:r>
          </w:p>
        </w:tc>
        <w:tc>
          <w:tcPr>
            <w:tcW w:w="1042" w:type="dxa"/>
            <w:tcBorders>
              <w:top w:val="single" w:color="000000" w:sz="6"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合同起止时间</w:t>
            </w:r>
          </w:p>
        </w:tc>
        <w:tc>
          <w:tcPr>
            <w:tcW w:w="1055" w:type="dxa"/>
            <w:tcBorders>
              <w:top w:val="single" w:color="000000" w:sz="6"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咨询服务费合同金额</w:t>
            </w:r>
          </w:p>
        </w:tc>
        <w:tc>
          <w:tcPr>
            <w:tcW w:w="1276" w:type="dxa"/>
            <w:tcBorders>
              <w:top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委托单位</w:t>
            </w:r>
          </w:p>
        </w:tc>
        <w:tc>
          <w:tcPr>
            <w:tcW w:w="113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联系人</w:t>
            </w:r>
          </w:p>
        </w:tc>
        <w:tc>
          <w:tcPr>
            <w:tcW w:w="72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1</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3" w:hRule="atLeast"/>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2</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6" w:hRule="atLeast"/>
        </w:trPr>
        <w:tc>
          <w:tcPr>
            <w:tcW w:w="735" w:type="dxa"/>
            <w:tcBorders>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0" w:hRule="atLeast"/>
        </w:trPr>
        <w:tc>
          <w:tcPr>
            <w:tcW w:w="735" w:type="dxa"/>
            <w:tcBorders>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8" w:hRule="atLeast"/>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7" w:hRule="atLeast"/>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rPr>
        <w:tc>
          <w:tcPr>
            <w:tcW w:w="735" w:type="dxa"/>
            <w:tcBorders>
              <w:left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rPr>
        <w:tc>
          <w:tcPr>
            <w:tcW w:w="735" w:type="dxa"/>
            <w:tcBorders>
              <w:left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rPr>
        <w:tc>
          <w:tcPr>
            <w:tcW w:w="735" w:type="dxa"/>
            <w:tcBorders>
              <w:left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40</w:t>
            </w: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rPr>
        <w:tc>
          <w:tcPr>
            <w:tcW w:w="5775" w:type="dxa"/>
            <w:gridSpan w:val="6"/>
            <w:tcBorders>
              <w:left w:val="single" w:color="000000" w:sz="6" w:space="0"/>
              <w:right w:val="single" w:color="000000" w:sz="6" w:space="0"/>
            </w:tcBorders>
            <w:vAlign w:val="center"/>
          </w:tcPr>
          <w:p>
            <w:pPr>
              <w:jc w:val="center"/>
              <w:rPr>
                <w:rFonts w:ascii="仿宋_GB2312" w:eastAsia="仿宋_GB2312"/>
                <w:color w:val="000000"/>
                <w:sz w:val="24"/>
              </w:rPr>
            </w:pPr>
            <w:r>
              <w:rPr>
                <w:rFonts w:hint="eastAsia" w:ascii="宋体" w:hAnsi="宋体"/>
                <w:color w:val="000000"/>
                <w:sz w:val="24"/>
              </w:rPr>
              <w:t>咨询服务费合同金额合计</w:t>
            </w:r>
          </w:p>
        </w:tc>
        <w:tc>
          <w:tcPr>
            <w:tcW w:w="4190" w:type="dxa"/>
            <w:gridSpan w:val="4"/>
            <w:tcBorders>
              <w:right w:val="single" w:color="000000" w:sz="6" w:space="0"/>
            </w:tcBorders>
            <w:vAlign w:val="center"/>
          </w:tcPr>
          <w:p>
            <w:pPr>
              <w:jc w:val="center"/>
              <w:rPr>
                <w:rFonts w:ascii="仿宋_GB2312" w:eastAsia="仿宋_GB2312"/>
                <w:color w:val="000000"/>
                <w:sz w:val="24"/>
              </w:rPr>
            </w:pPr>
          </w:p>
        </w:tc>
      </w:tr>
    </w:tbl>
    <w:p>
      <w:pPr>
        <w:spacing w:line="500" w:lineRule="exact"/>
        <w:rPr>
          <w:rFonts w:ascii="仿宋" w:hAnsi="仿宋" w:eastAsia="仿宋" w:cs="Lucida Sans Unicode"/>
          <w:color w:val="000000"/>
          <w:sz w:val="24"/>
        </w:rPr>
      </w:pPr>
      <w:r>
        <w:rPr>
          <w:rFonts w:hint="eastAsia" w:ascii="仿宋" w:hAnsi="仿宋" w:eastAsia="仿宋" w:cs="Lucida Sans Unicode"/>
          <w:color w:val="000000"/>
          <w:sz w:val="24"/>
        </w:rPr>
        <w:t>注：1.投标人应提供2019-2021年所承担的与本次招标文件服务需求有关的、类似的服务业绩。投标人提供的项目业绩，工程建设地点</w:t>
      </w:r>
      <w:r>
        <w:rPr>
          <w:rFonts w:hint="eastAsia" w:ascii="仿宋" w:hAnsi="仿宋" w:eastAsia="仿宋" w:cs="Lucida Sans Unicode"/>
          <w:sz w:val="24"/>
        </w:rPr>
        <w:t>须在辽宁省行政</w:t>
      </w:r>
      <w:r>
        <w:rPr>
          <w:rFonts w:hint="eastAsia" w:ascii="仿宋" w:hAnsi="仿宋" w:eastAsia="仿宋" w:cs="Lucida Sans Unicode"/>
          <w:color w:val="000000"/>
          <w:sz w:val="24"/>
        </w:rPr>
        <w:t>区域范围内。</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2.项目数量不超过40个，超过40个的按照序号前40个计算。</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3.填写此表时，如内容较多可另加附页详细说明。</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4.此表所列内容必须与所提供的计划通知书或同类服务合同（复印件）相一致。如不一致评审时将扣除相应分数，情节严重时将取消评审资格。</w:t>
      </w:r>
    </w:p>
    <w:p>
      <w:pPr>
        <w:spacing w:line="500" w:lineRule="exact"/>
        <w:rPr>
          <w:rFonts w:ascii="仿宋" w:hAnsi="仿宋" w:eastAsia="仿宋" w:cs="Lucida Sans Unicode"/>
          <w:color w:val="000000"/>
          <w:sz w:val="24"/>
        </w:rPr>
      </w:pPr>
      <w:r>
        <w:rPr>
          <w:rFonts w:hint="eastAsia" w:ascii="仿宋" w:hAnsi="仿宋" w:eastAsia="仿宋" w:cs="Lucida Sans Unicode"/>
          <w:color w:val="000000"/>
          <w:sz w:val="24"/>
        </w:rPr>
        <w:t>投标人名称（并加盖公章）：</w:t>
      </w:r>
      <w:r>
        <w:rPr>
          <w:rFonts w:hint="eastAsia" w:ascii="仿宋" w:hAnsi="仿宋" w:eastAsia="仿宋" w:cs="Lucida Sans Unicode"/>
          <w:color w:val="000000"/>
          <w:sz w:val="24"/>
          <w:u w:val="single"/>
        </w:rPr>
        <w:t xml:space="preserve">                             </w:t>
      </w:r>
    </w:p>
    <w:p>
      <w:pPr>
        <w:spacing w:line="500" w:lineRule="exact"/>
        <w:rPr>
          <w:rFonts w:ascii="仿宋" w:hAnsi="仿宋" w:eastAsia="仿宋" w:cs="Lucida Sans Unicode"/>
          <w:color w:val="000000"/>
          <w:sz w:val="24"/>
          <w:u w:val="single"/>
        </w:rPr>
      </w:pPr>
      <w:r>
        <w:rPr>
          <w:rFonts w:hint="eastAsia" w:ascii="仿宋" w:hAnsi="仿宋" w:eastAsia="仿宋" w:cs="Lucida Sans Unicode"/>
          <w:color w:val="000000"/>
          <w:sz w:val="24"/>
        </w:rPr>
        <w:t>法定代表人或其授权委托人：</w:t>
      </w:r>
      <w:r>
        <w:rPr>
          <w:rFonts w:hint="eastAsia" w:ascii="仿宋" w:hAnsi="仿宋" w:eastAsia="仿宋" w:cs="Lucida Sans Unicode"/>
          <w:color w:val="000000"/>
          <w:sz w:val="24"/>
          <w:u w:val="single"/>
        </w:rPr>
        <w:t>（法定代表人可签字或加盖名章，授权委托人必须签字）</w:t>
      </w:r>
      <w:r>
        <w:rPr>
          <w:rFonts w:hint="eastAsia" w:ascii="仿宋" w:hAnsi="仿宋" w:eastAsia="仿宋" w:cs="Lucida Sans Unicode"/>
          <w:color w:val="000000"/>
          <w:sz w:val="24"/>
        </w:rPr>
        <w:t xml:space="preserve">                   签署日期：</w:t>
      </w:r>
      <w:r>
        <w:rPr>
          <w:rFonts w:hint="eastAsia" w:ascii="仿宋" w:hAnsi="仿宋" w:eastAsia="仿宋" w:cs="Lucida Sans Unicode"/>
          <w:color w:val="000000"/>
          <w:sz w:val="24"/>
          <w:u w:val="single"/>
        </w:rPr>
        <w:t xml:space="preserve">          年        月        日</w:t>
      </w:r>
    </w:p>
    <w:p>
      <w:pPr>
        <w:spacing w:line="440" w:lineRule="exact"/>
        <w:rPr>
          <w:rFonts w:ascii="仿宋" w:hAnsi="仿宋" w:eastAsia="仿宋"/>
          <w:color w:val="000000"/>
          <w:sz w:val="24"/>
        </w:rPr>
        <w:sectPr>
          <w:pgSz w:w="11906" w:h="16838"/>
          <w:pgMar w:top="1440" w:right="1800" w:bottom="1440" w:left="1800" w:header="851" w:footer="992" w:gutter="0"/>
          <w:cols w:space="425" w:num="1"/>
          <w:docGrid w:type="lines" w:linePitch="312" w:charSpace="0"/>
        </w:sectPr>
      </w:pPr>
    </w:p>
    <w:p>
      <w:pPr>
        <w:rPr>
          <w:rFonts w:ascii="仿宋" w:hAnsi="仿宋" w:eastAsia="仿宋" w:cs="仿宋_GB2312"/>
          <w:kern w:val="0"/>
          <w:sz w:val="20"/>
          <w:szCs w:val="21"/>
        </w:rPr>
      </w:pPr>
    </w:p>
    <w:p>
      <w:pPr>
        <w:widowControl/>
        <w:jc w:val="left"/>
        <w:outlineLvl w:val="1"/>
        <w:rPr>
          <w:rFonts w:ascii="仿宋" w:hAnsi="仿宋" w:eastAsia="仿宋" w:cs="仿宋_GB2312"/>
          <w:kern w:val="0"/>
          <w:sz w:val="20"/>
          <w:szCs w:val="21"/>
        </w:rPr>
      </w:pP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bookmarkEnd w:id="4"/>
    <w:sdt>
      <w:sdtPr>
        <w:rPr>
          <w:rFonts w:hint="eastAsia" w:ascii="仿宋" w:hAnsi="仿宋" w:eastAsia="仿宋"/>
          <w:sz w:val="24"/>
        </w:rPr>
        <w:alias w:val="项目详细需求"/>
        <w:tag w:val="项目详细需求"/>
        <w:id w:val="890777327"/>
        <w:lock w:val="sdtLocked"/>
      </w:sdtPr>
      <w:sdtEndPr>
        <w:rPr>
          <w:rFonts w:hint="eastAsia" w:ascii="仿宋" w:hAnsi="仿宋" w:eastAsia="仿宋"/>
          <w:sz w:val="24"/>
        </w:rPr>
      </w:sdtEndPr>
      <w:sdtContent>
        <w:sdt>
          <w:sdtPr>
            <w:rPr>
              <w:rFonts w:hint="eastAsia" w:ascii="仿宋" w:hAnsi="仿宋" w:eastAsia="仿宋"/>
              <w:sz w:val="24"/>
            </w:rPr>
            <w:alias w:val="项目详细需求"/>
            <w:tag w:val="项目详细需求"/>
            <w:id w:val="964780933"/>
            <w:lock w:val="sdtLocked"/>
          </w:sdtPr>
          <w:sdtEndPr>
            <w:rPr>
              <w:rFonts w:hint="eastAsia" w:ascii="仿宋" w:hAnsi="仿宋" w:eastAsia="仿宋"/>
              <w:sz w:val="24"/>
            </w:rPr>
          </w:sdtEndPr>
          <w:sdtContent>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jc w:val="center"/>
                    <w:rPr>
                      <w:b/>
                      <w:sz w:val="36"/>
                    </w:rPr>
                  </w:pPr>
                  <w:r>
                    <w:rPr>
                      <w:rFonts w:hint="eastAsia"/>
                      <w:b/>
                      <w:sz w:val="36"/>
                    </w:rPr>
                    <w:t>固定资产投资项目节能评审中介咨询机构招标要求</w:t>
                  </w:r>
                </w:p>
                <w:p>
                  <w:pPr>
                    <w:jc w:val="center"/>
                    <w:rPr>
                      <w:sz w:val="32"/>
                      <w:szCs w:val="32"/>
                    </w:rPr>
                  </w:pPr>
                </w:p>
                <w:p>
                  <w:pPr>
                    <w:jc w:val="center"/>
                    <w:rPr>
                      <w:szCs w:val="21"/>
                    </w:rPr>
                  </w:pPr>
                </w:p>
                <w:p>
                  <w:pPr>
                    <w:spacing w:line="360" w:lineRule="auto"/>
                    <w:rPr>
                      <w:rFonts w:ascii="仿宋_GB2312" w:eastAsia="仿宋_GB2312"/>
                      <w:sz w:val="28"/>
                      <w:szCs w:val="28"/>
                    </w:rPr>
                  </w:pPr>
                  <w:r>
                    <w:rPr>
                      <w:rFonts w:hint="eastAsia" w:ascii="仿宋_GB2312" w:eastAsia="仿宋_GB2312"/>
                      <w:sz w:val="28"/>
                      <w:szCs w:val="28"/>
                    </w:rPr>
                    <w:t>一、本项目为专门面向中小企业采购项目。</w:t>
                  </w:r>
                </w:p>
                <w:p>
                  <w:pPr>
                    <w:spacing w:line="360" w:lineRule="auto"/>
                    <w:rPr>
                      <w:rFonts w:ascii="仿宋_GB2312" w:eastAsia="仿宋_GB2312"/>
                      <w:sz w:val="28"/>
                      <w:szCs w:val="28"/>
                    </w:rPr>
                  </w:pPr>
                  <w:r>
                    <w:rPr>
                      <w:rFonts w:hint="eastAsia" w:ascii="仿宋_GB2312" w:eastAsia="仿宋_GB2312"/>
                      <w:sz w:val="28"/>
                      <w:szCs w:val="28"/>
                    </w:rPr>
                    <w:t>二、本项目资格条件：</w:t>
                  </w:r>
                </w:p>
                <w:p>
                  <w:pPr>
                    <w:spacing w:line="360" w:lineRule="auto"/>
                    <w:rPr>
                      <w:rFonts w:ascii="仿宋_GB2312" w:eastAsia="仿宋_GB2312"/>
                      <w:sz w:val="28"/>
                      <w:szCs w:val="28"/>
                    </w:rPr>
                  </w:pPr>
                  <w:r>
                    <w:rPr>
                      <w:rFonts w:hint="eastAsia" w:ascii="仿宋_GB2312" w:eastAsia="仿宋_GB2312"/>
                      <w:sz w:val="28"/>
                      <w:szCs w:val="28"/>
                    </w:rPr>
                    <w:t>1、投标人须具备工程咨询资质或工程资信资质</w:t>
                  </w:r>
                </w:p>
                <w:p>
                  <w:pPr>
                    <w:spacing w:line="360" w:lineRule="auto"/>
                    <w:rPr>
                      <w:rFonts w:ascii="仿宋_GB2312" w:eastAsia="仿宋_GB2312"/>
                      <w:sz w:val="28"/>
                      <w:szCs w:val="28"/>
                    </w:rPr>
                  </w:pPr>
                  <w:r>
                    <w:rPr>
                      <w:rFonts w:hint="eastAsia" w:ascii="仿宋_GB2312" w:eastAsia="仿宋_GB2312"/>
                      <w:sz w:val="28"/>
                      <w:szCs w:val="28"/>
                    </w:rPr>
                    <w:t>2、办公场所的房屋产权证明或房屋租赁证明</w:t>
                  </w:r>
                </w:p>
                <w:p>
                  <w:pPr>
                    <w:spacing w:line="360" w:lineRule="auto"/>
                    <w:rPr>
                      <w:rFonts w:ascii="仿宋_GB2312" w:eastAsia="仿宋_GB2312"/>
                      <w:sz w:val="28"/>
                      <w:szCs w:val="28"/>
                    </w:rPr>
                  </w:pPr>
                  <w:r>
                    <w:rPr>
                      <w:rFonts w:hint="eastAsia" w:ascii="仿宋_GB2312" w:eastAsia="仿宋_GB2312"/>
                      <w:sz w:val="28"/>
                      <w:szCs w:val="28"/>
                    </w:rPr>
                    <w:t>三、合同条款</w:t>
                  </w:r>
                </w:p>
                <w:p>
                  <w:pPr>
                    <w:spacing w:line="360" w:lineRule="auto"/>
                    <w:rPr>
                      <w:rFonts w:ascii="仿宋_GB2312" w:eastAsia="仿宋_GB2312"/>
                      <w:sz w:val="28"/>
                      <w:szCs w:val="28"/>
                    </w:rPr>
                  </w:pPr>
                  <w:r>
                    <w:rPr>
                      <w:rFonts w:hint="eastAsia" w:ascii="仿宋_GB2312" w:eastAsia="仿宋_GB2312"/>
                      <w:sz w:val="28"/>
                      <w:szCs w:val="28"/>
                    </w:rPr>
                    <w:t>1、服务期：自服务协议签订之日起两年内有效</w:t>
                  </w:r>
                </w:p>
                <w:p>
                  <w:pPr>
                    <w:spacing w:line="360" w:lineRule="auto"/>
                    <w:rPr>
                      <w:rFonts w:ascii="仿宋_GB2312" w:eastAsia="仿宋_GB2312"/>
                      <w:sz w:val="28"/>
                      <w:szCs w:val="28"/>
                    </w:rPr>
                  </w:pPr>
                  <w:r>
                    <w:rPr>
                      <w:rFonts w:hint="eastAsia" w:ascii="仿宋_GB2312" w:eastAsia="仿宋_GB2312"/>
                      <w:sz w:val="28"/>
                      <w:szCs w:val="28"/>
                    </w:rPr>
                    <w:t>2、服务对象：营口市全市固定资产投资项目节能中介咨询业务</w:t>
                  </w:r>
                </w:p>
                <w:p>
                  <w:pPr>
                    <w:spacing w:line="360" w:lineRule="auto"/>
                    <w:rPr>
                      <w:rFonts w:ascii="仿宋_GB2312" w:eastAsia="仿宋_GB2312"/>
                      <w:sz w:val="28"/>
                      <w:szCs w:val="28"/>
                    </w:rPr>
                  </w:pPr>
                  <w:r>
                    <w:rPr>
                      <w:rFonts w:hint="eastAsia" w:ascii="仿宋_GB2312" w:eastAsia="仿宋_GB2312"/>
                      <w:sz w:val="28"/>
                      <w:szCs w:val="28"/>
                    </w:rPr>
                    <w:t>3、付款方式：采取固定单价的方式，每年服务费为：中标确定的单个单价*每年完成项目个数，中标后每半年一结算。</w:t>
                  </w:r>
                </w:p>
                <w:p>
                  <w:pPr>
                    <w:spacing w:line="360" w:lineRule="auto"/>
                    <w:rPr>
                      <w:rFonts w:ascii="仿宋_GB2312" w:eastAsia="仿宋_GB2312"/>
                      <w:sz w:val="28"/>
                      <w:szCs w:val="28"/>
                    </w:rPr>
                  </w:pPr>
                  <w:r>
                    <w:rPr>
                      <w:rFonts w:hint="eastAsia" w:ascii="仿宋_GB2312" w:eastAsia="仿宋_GB2312"/>
                      <w:sz w:val="28"/>
                      <w:szCs w:val="28"/>
                    </w:rPr>
                    <w:t>四、项目需求</w:t>
                  </w:r>
                </w:p>
                <w:p>
                  <w:pPr>
                    <w:spacing w:line="360" w:lineRule="auto"/>
                    <w:rPr>
                      <w:rFonts w:ascii="仿宋_GB2312" w:eastAsia="仿宋_GB2312"/>
                      <w:sz w:val="28"/>
                      <w:szCs w:val="28"/>
                    </w:rPr>
                  </w:pPr>
                  <w:r>
                    <w:rPr>
                      <w:rFonts w:hint="eastAsia" w:ascii="仿宋_GB2312" w:eastAsia="仿宋_GB2312"/>
                      <w:sz w:val="28"/>
                      <w:szCs w:val="28"/>
                    </w:rPr>
                    <w:t>公开招标固定资产投资项目节能评审中介咨询机构1家，固定单价不超过300元。中标后中介咨询机构派一名专业技术人员进驻营口市行政审批局现场办公。</w:t>
                  </w:r>
                </w:p>
                <w:p>
                  <w:pPr>
                    <w:spacing w:line="360" w:lineRule="auto"/>
                    <w:rPr>
                      <w:rFonts w:ascii="仿宋_GB2312" w:eastAsia="仿宋_GB2312"/>
                      <w:sz w:val="28"/>
                      <w:szCs w:val="28"/>
                    </w:rPr>
                  </w:pPr>
                  <w:r>
                    <w:rPr>
                      <w:rFonts w:hint="eastAsia" w:ascii="仿宋_GB2312" w:eastAsia="仿宋_GB2312"/>
                      <w:sz w:val="28"/>
                      <w:szCs w:val="28"/>
                    </w:rPr>
                    <w:t>中标的评审中介咨询机构在评审工作结束后需出具完整的评审报告，主要包括以下内容：</w:t>
                  </w:r>
                </w:p>
                <w:p>
                  <w:pPr>
                    <w:rPr>
                      <w:rFonts w:ascii="仿宋" w:hAnsi="仿宋" w:eastAsia="仿宋"/>
                      <w:b/>
                      <w:bCs/>
                      <w:color w:val="000000"/>
                      <w:sz w:val="44"/>
                      <w:szCs w:val="32"/>
                    </w:rPr>
                  </w:pPr>
                </w:p>
                <w:p>
                  <w:pPr>
                    <w:rPr>
                      <w:b/>
                      <w:sz w:val="36"/>
                    </w:rPr>
                  </w:pPr>
                </w:p>
                <w:p>
                  <w:pPr>
                    <w:rPr>
                      <w:b/>
                      <w:sz w:val="36"/>
                    </w:rPr>
                  </w:pPr>
                  <w:r>
                    <w:rPr>
                      <w:rFonts w:hint="eastAsia"/>
                      <w:b/>
                      <w:sz w:val="36"/>
                    </w:rPr>
                    <w:br w:type="page"/>
                  </w:r>
                </w:p>
                <w:p>
                  <w:pPr>
                    <w:jc w:val="center"/>
                    <w:rPr>
                      <w:b/>
                      <w:sz w:val="36"/>
                    </w:rPr>
                  </w:pPr>
                  <w:r>
                    <w:rPr>
                      <w:rFonts w:hint="eastAsia"/>
                      <w:b/>
                      <w:sz w:val="36"/>
                    </w:rPr>
                    <w:t>关于固定资产投资项目节能报告的评审意见模板</w:t>
                  </w:r>
                </w:p>
                <w:p>
                  <w:pPr>
                    <w:spacing w:before="319" w:beforeLines="100" w:line="360" w:lineRule="auto"/>
                    <w:rPr>
                      <w:rFonts w:ascii="仿宋_GB2312" w:eastAsia="仿宋_GB2312"/>
                      <w:sz w:val="28"/>
                      <w:szCs w:val="28"/>
                    </w:rPr>
                  </w:pPr>
                  <w:r>
                    <w:rPr>
                      <w:rFonts w:hint="eastAsia" w:ascii="仿宋_GB2312" w:eastAsia="仿宋_GB2312"/>
                      <w:sz w:val="28"/>
                      <w:szCs w:val="28"/>
                    </w:rPr>
                    <w:t>名头：关于</w:t>
                  </w:r>
                  <w:r>
                    <w:rPr>
                      <w:rFonts w:ascii="仿宋_GB2312" w:eastAsia="仿宋_GB2312"/>
                      <w:sz w:val="28"/>
                      <w:szCs w:val="28"/>
                    </w:rPr>
                    <w:t>xx</w:t>
                  </w:r>
                  <w:r>
                    <w:rPr>
                      <w:rFonts w:hint="eastAsia" w:ascii="仿宋_GB2312" w:eastAsia="仿宋_GB2312"/>
                      <w:sz w:val="28"/>
                      <w:szCs w:val="28"/>
                    </w:rPr>
                    <w:t>项目的节能报告的评审意见</w:t>
                  </w:r>
                </w:p>
                <w:p>
                  <w:pPr>
                    <w:spacing w:line="360" w:lineRule="auto"/>
                    <w:rPr>
                      <w:rFonts w:ascii="仿宋_GB2312" w:eastAsia="仿宋_GB2312"/>
                      <w:sz w:val="28"/>
                      <w:szCs w:val="28"/>
                    </w:rPr>
                  </w:pPr>
                  <w:r>
                    <w:rPr>
                      <w:rFonts w:hint="eastAsia" w:ascii="仿宋_GB2312" w:eastAsia="仿宋_GB2312"/>
                      <w:sz w:val="28"/>
                      <w:szCs w:val="28"/>
                    </w:rPr>
                    <w:t>文件主送：营口市行政审批局</w:t>
                  </w:r>
                </w:p>
                <w:p>
                  <w:pPr>
                    <w:spacing w:line="360" w:lineRule="auto"/>
                    <w:rPr>
                      <w:rFonts w:ascii="仿宋_GB2312" w:eastAsia="仿宋_GB2312"/>
                      <w:sz w:val="28"/>
                      <w:szCs w:val="28"/>
                    </w:rPr>
                  </w:pPr>
                  <w:r>
                    <w:rPr>
                      <w:rFonts w:hint="eastAsia" w:ascii="仿宋_GB2312" w:eastAsia="仿宋_GB2312"/>
                      <w:sz w:val="28"/>
                      <w:szCs w:val="28"/>
                    </w:rPr>
                    <w:t>文件绪言：包括委托单位、评审单位、被评审单位、评审时间、评审地点、项目名称、项目设备节能情况、项目工艺节能情况、存在的主要问题、修改情况等。</w:t>
                  </w:r>
                </w:p>
                <w:p>
                  <w:pPr>
                    <w:spacing w:before="319" w:beforeLines="100" w:line="360" w:lineRule="auto"/>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、评估依据要全面并及时查新。</w:t>
                  </w:r>
                </w:p>
                <w:p>
                  <w:pPr>
                    <w:spacing w:line="360" w:lineRule="auto"/>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、项目概况要全面，综合分析能源供应条件是否具备。</w:t>
                  </w:r>
                </w:p>
                <w:p>
                  <w:pPr>
                    <w:spacing w:line="360" w:lineRule="auto"/>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、项目用能总量、能源消费结构是否合理；项目综合能源消费增量及其影响。</w:t>
                  </w:r>
                </w:p>
                <w:p>
                  <w:pPr>
                    <w:spacing w:line="360" w:lineRule="auto"/>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、项目能效水平。项目能耗指标是否符合国家、地方和行业节能设计规范及标准，是否达到国家单位产品综合能耗准入值标准要求。</w:t>
                  </w:r>
                </w:p>
                <w:p>
                  <w:pPr>
                    <w:spacing w:line="360" w:lineRule="auto"/>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、项目建设方案节能评估要准确。</w:t>
                  </w:r>
                </w:p>
                <w:p>
                  <w:pPr>
                    <w:spacing w:line="360" w:lineRule="auto"/>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、项目用能装置。项目有无采用明令禁止或淘汰的落后工艺、设备的现象。</w:t>
                  </w:r>
                </w:p>
                <w:p>
                  <w:pPr>
                    <w:spacing w:line="360" w:lineRule="auto"/>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、节能措施情况。项目是否已经采用国家和省明文规定必须采用的节能新工艺、新技术、新产品。</w:t>
                  </w:r>
                </w:p>
                <w:p>
                  <w:pPr>
                    <w:spacing w:line="360" w:lineRule="auto"/>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、报告中存在的主要问题及修改建议。</w:t>
                  </w:r>
                </w:p>
                <w:p>
                  <w:pPr>
                    <w:spacing w:line="360" w:lineRule="auto"/>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、结论。</w:t>
                  </w:r>
                </w:p>
                <w:p>
                  <w:pPr>
                    <w:spacing w:line="360" w:lineRule="auto"/>
                    <w:rPr>
                      <w:rFonts w:ascii="宋体" w:hAnsi="宋体"/>
                      <w:b/>
                      <w:color w:val="FF0000"/>
                      <w:sz w:val="44"/>
                      <w:szCs w:val="44"/>
                    </w:rPr>
                  </w:pPr>
                  <w:r>
                    <w:rPr>
                      <w:rFonts w:ascii="仿宋_GB2312" w:eastAsia="仿宋_GB2312"/>
                      <w:sz w:val="28"/>
                      <w:szCs w:val="28"/>
                    </w:rPr>
                    <w:t>10</w:t>
                  </w:r>
                  <w:r>
                    <w:rPr>
                      <w:rFonts w:hint="eastAsia" w:ascii="仿宋_GB2312" w:eastAsia="仿宋_GB2312"/>
                      <w:sz w:val="28"/>
                      <w:szCs w:val="28"/>
                    </w:rPr>
                    <w:t>、附表。</w:t>
                  </w:r>
                </w:p>
                <w:p>
                  <w:pPr>
                    <w:rPr>
                      <w:rFonts w:ascii="宋体" w:hAnsi="宋体"/>
                      <w:b/>
                      <w:color w:val="FF0000"/>
                      <w:sz w:val="44"/>
                      <w:szCs w:val="44"/>
                    </w:rPr>
                  </w:pPr>
                  <w:r>
                    <w:rPr>
                      <w:rFonts w:hint="eastAsia" w:ascii="宋体" w:hAnsi="宋体"/>
                      <w:b/>
                      <w:color w:val="FF0000"/>
                      <w:sz w:val="44"/>
                      <w:szCs w:val="44"/>
                    </w:rPr>
                    <w:br w:type="page"/>
                  </w:r>
                </w:p>
                <w:p>
                  <w:pPr>
                    <w:jc w:val="center"/>
                    <w:rPr>
                      <w:b/>
                      <w:color w:val="FF0000"/>
                      <w:sz w:val="44"/>
                      <w:szCs w:val="44"/>
                    </w:rPr>
                  </w:pPr>
                  <w:r>
                    <w:rPr>
                      <w:rFonts w:hint="eastAsia" w:ascii="宋体" w:hAnsi="宋体"/>
                      <w:b/>
                      <w:color w:val="FF0000"/>
                      <w:sz w:val="44"/>
                      <w:szCs w:val="44"/>
                    </w:rPr>
                    <w:t>工程</w:t>
                  </w:r>
                  <w:r>
                    <w:rPr>
                      <w:rFonts w:hint="eastAsia"/>
                      <w:b/>
                      <w:color w:val="FF0000"/>
                      <w:sz w:val="44"/>
                      <w:szCs w:val="44"/>
                    </w:rPr>
                    <w:t>咨询机构基本情况表</w:t>
                  </w:r>
                </w:p>
                <w:tbl>
                  <w:tblPr>
                    <w:tblStyle w:val="16"/>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688"/>
                    <w:gridCol w:w="1538"/>
                    <w:gridCol w:w="821"/>
                    <w:gridCol w:w="81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机构名称</w:t>
                        </w:r>
                      </w:p>
                    </w:tc>
                    <w:tc>
                      <w:tcPr>
                        <w:tcW w:w="7407" w:type="dxa"/>
                        <w:gridSpan w:val="5"/>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通讯地址</w:t>
                        </w:r>
                      </w:p>
                    </w:tc>
                    <w:tc>
                      <w:tcPr>
                        <w:tcW w:w="7407" w:type="dxa"/>
                        <w:gridSpan w:val="5"/>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邮政编码</w:t>
                        </w:r>
                      </w:p>
                    </w:tc>
                    <w:tc>
                      <w:tcPr>
                        <w:tcW w:w="2688" w:type="dxa"/>
                      </w:tcPr>
                      <w:p>
                        <w:pPr>
                          <w:spacing w:line="360" w:lineRule="auto"/>
                          <w:rPr>
                            <w:rFonts w:ascii="仿宋" w:hAnsi="仿宋" w:eastAsia="仿宋" w:cs="Lucida Sans Unicode"/>
                            <w:color w:val="000000"/>
                            <w:sz w:val="24"/>
                          </w:rPr>
                        </w:pPr>
                      </w:p>
                    </w:tc>
                    <w:tc>
                      <w:tcPr>
                        <w:tcW w:w="2359"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传真号码</w:t>
                        </w: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40" w:type="dxa"/>
                        <w:vMerge w:val="restart"/>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w:t>
                        </w:r>
                      </w:p>
                    </w:tc>
                    <w:tc>
                      <w:tcPr>
                        <w:tcW w:w="268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姓名</w:t>
                        </w:r>
                      </w:p>
                    </w:tc>
                    <w:tc>
                      <w:tcPr>
                        <w:tcW w:w="2359"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办公电话</w:t>
                        </w:r>
                      </w:p>
                    </w:tc>
                    <w:tc>
                      <w:tcPr>
                        <w:tcW w:w="2360"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40" w:type="dxa"/>
                        <w:vMerge w:val="continue"/>
                      </w:tcPr>
                      <w:p>
                        <w:pPr>
                          <w:spacing w:line="360" w:lineRule="auto"/>
                          <w:rPr>
                            <w:rFonts w:ascii="仿宋" w:hAnsi="仿宋" w:eastAsia="仿宋" w:cs="Lucida Sans Unicode"/>
                            <w:color w:val="000000"/>
                            <w:sz w:val="24"/>
                          </w:rPr>
                        </w:pPr>
                      </w:p>
                    </w:tc>
                    <w:tc>
                      <w:tcPr>
                        <w:tcW w:w="2688" w:type="dxa"/>
                      </w:tcPr>
                      <w:p>
                        <w:pPr>
                          <w:spacing w:line="360" w:lineRule="auto"/>
                          <w:rPr>
                            <w:rFonts w:ascii="仿宋" w:hAnsi="仿宋" w:eastAsia="仿宋" w:cs="Lucida Sans Unicode"/>
                            <w:color w:val="000000"/>
                            <w:sz w:val="24"/>
                          </w:rPr>
                        </w:pPr>
                      </w:p>
                    </w:tc>
                    <w:tc>
                      <w:tcPr>
                        <w:tcW w:w="2359" w:type="dxa"/>
                        <w:gridSpan w:val="2"/>
                      </w:tcPr>
                      <w:p>
                        <w:pPr>
                          <w:spacing w:line="360" w:lineRule="auto"/>
                          <w:rPr>
                            <w:rFonts w:ascii="仿宋" w:hAnsi="仿宋" w:eastAsia="仿宋" w:cs="Lucida Sans Unicode"/>
                            <w:color w:val="000000"/>
                            <w:sz w:val="24"/>
                          </w:rPr>
                        </w:pP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2018-2020年有哪些其他资格、资质</w:t>
                        </w:r>
                      </w:p>
                    </w:tc>
                    <w:tc>
                      <w:tcPr>
                        <w:tcW w:w="2688" w:type="dxa"/>
                      </w:tcPr>
                      <w:p>
                        <w:pPr>
                          <w:spacing w:line="360" w:lineRule="auto"/>
                          <w:rPr>
                            <w:rFonts w:ascii="仿宋" w:hAnsi="仿宋" w:eastAsia="仿宋" w:cs="Lucida Sans Unicode"/>
                            <w:color w:val="000000"/>
                            <w:sz w:val="24"/>
                          </w:rPr>
                        </w:pPr>
                      </w:p>
                    </w:tc>
                    <w:tc>
                      <w:tcPr>
                        <w:tcW w:w="2359" w:type="dxa"/>
                        <w:gridSpan w:val="2"/>
                        <w:vAlign w:val="center"/>
                      </w:tcPr>
                      <w:p>
                        <w:pPr>
                          <w:spacing w:line="360" w:lineRule="auto"/>
                          <w:rPr>
                            <w:rFonts w:ascii="仿宋" w:hAnsi="仿宋" w:eastAsia="仿宋" w:cs="Lucida Sans Unicode"/>
                            <w:color w:val="000000"/>
                            <w:sz w:val="24"/>
                          </w:rPr>
                        </w:pPr>
                      </w:p>
                    </w:tc>
                    <w:tc>
                      <w:tcPr>
                        <w:tcW w:w="2360" w:type="dxa"/>
                        <w:gridSpan w:val="2"/>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28"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2019-2021年曾经取得过哪些部门（市级及以上）节能相关评审机构资格</w:t>
                        </w:r>
                      </w:p>
                    </w:tc>
                    <w:tc>
                      <w:tcPr>
                        <w:tcW w:w="4719" w:type="dxa"/>
                        <w:gridSpan w:val="4"/>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428" w:type="dxa"/>
                        <w:gridSpan w:val="2"/>
                        <w:tcBorders>
                          <w:tl2br w:val="single" w:color="auto" w:sz="4" w:space="0"/>
                        </w:tcBorders>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 xml:space="preserve">                   年    度</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项    目</w:t>
                        </w:r>
                      </w:p>
                    </w:tc>
                    <w:tc>
                      <w:tcPr>
                        <w:tcW w:w="1538" w:type="dxa"/>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2019年</w:t>
                        </w:r>
                      </w:p>
                    </w:tc>
                    <w:tc>
                      <w:tcPr>
                        <w:tcW w:w="1640" w:type="dxa"/>
                        <w:gridSpan w:val="2"/>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2020年</w:t>
                        </w:r>
                      </w:p>
                    </w:tc>
                    <w:tc>
                      <w:tcPr>
                        <w:tcW w:w="1541" w:type="dxa"/>
                        <w:vAlign w:val="center"/>
                      </w:tcPr>
                      <w:p>
                        <w:pPr>
                          <w:spacing w:line="360" w:lineRule="auto"/>
                          <w:jc w:val="center"/>
                          <w:rPr>
                            <w:rFonts w:ascii="仿宋" w:hAnsi="仿宋" w:eastAsia="仿宋" w:cs="Lucida Sans Unicode"/>
                            <w:color w:val="000000"/>
                            <w:sz w:val="24"/>
                          </w:rPr>
                        </w:pPr>
                        <w:r>
                          <w:rPr>
                            <w:rFonts w:hint="eastAsia" w:ascii="仿宋" w:hAnsi="仿宋" w:eastAsia="仿宋" w:cs="Lucida Sans Unicode"/>
                            <w:color w:val="000000"/>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28" w:type="dxa"/>
                        <w:gridSpan w:val="2"/>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完成工程建设项目评审报告份数（合计）</w:t>
                        </w:r>
                      </w:p>
                    </w:tc>
                    <w:tc>
                      <w:tcPr>
                        <w:tcW w:w="1538" w:type="dxa"/>
                      </w:tcPr>
                      <w:p>
                        <w:pPr>
                          <w:spacing w:line="360" w:lineRule="auto"/>
                          <w:rPr>
                            <w:rFonts w:ascii="仿宋" w:hAnsi="仿宋" w:eastAsia="仿宋" w:cs="Lucida Sans Unicode"/>
                            <w:color w:val="000000"/>
                            <w:sz w:val="24"/>
                          </w:rPr>
                        </w:pPr>
                      </w:p>
                    </w:tc>
                    <w:tc>
                      <w:tcPr>
                        <w:tcW w:w="1640" w:type="dxa"/>
                        <w:gridSpan w:val="2"/>
                      </w:tcPr>
                      <w:p>
                        <w:pPr>
                          <w:spacing w:line="360" w:lineRule="auto"/>
                          <w:rPr>
                            <w:rFonts w:ascii="仿宋" w:hAnsi="仿宋" w:eastAsia="仿宋" w:cs="Lucida Sans Unicode"/>
                            <w:color w:val="000000"/>
                            <w:sz w:val="24"/>
                          </w:rPr>
                        </w:pPr>
                      </w:p>
                    </w:tc>
                    <w:tc>
                      <w:tcPr>
                        <w:tcW w:w="1541"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28" w:type="dxa"/>
                        <w:gridSpan w:val="2"/>
                        <w:vAlign w:val="center"/>
                      </w:tcPr>
                      <w:p>
                        <w:pPr>
                          <w:spacing w:line="360" w:lineRule="auto"/>
                          <w:rPr>
                            <w:rFonts w:ascii="仿宋" w:hAnsi="仿宋" w:eastAsia="仿宋" w:cs="Lucida Sans Unicode"/>
                            <w:color w:val="000000"/>
                            <w:sz w:val="24"/>
                            <w:highlight w:val="yellow"/>
                          </w:rPr>
                        </w:pPr>
                        <w:r>
                          <w:rPr>
                            <w:rFonts w:hint="eastAsia" w:ascii="仿宋" w:hAnsi="仿宋" w:eastAsia="仿宋" w:cs="Lucida Sans Unicode"/>
                            <w:color w:val="000000"/>
                            <w:sz w:val="24"/>
                          </w:rPr>
                          <w:t>编制节能报告份数（合计）</w:t>
                        </w:r>
                      </w:p>
                    </w:tc>
                    <w:tc>
                      <w:tcPr>
                        <w:tcW w:w="1538" w:type="dxa"/>
                      </w:tcPr>
                      <w:p>
                        <w:pPr>
                          <w:spacing w:line="360" w:lineRule="auto"/>
                          <w:rPr>
                            <w:rFonts w:ascii="仿宋" w:hAnsi="仿宋" w:eastAsia="仿宋" w:cs="Lucida Sans Unicode"/>
                            <w:color w:val="000000"/>
                            <w:sz w:val="24"/>
                          </w:rPr>
                        </w:pPr>
                      </w:p>
                    </w:tc>
                    <w:tc>
                      <w:tcPr>
                        <w:tcW w:w="1640" w:type="dxa"/>
                        <w:gridSpan w:val="2"/>
                      </w:tcPr>
                      <w:p>
                        <w:pPr>
                          <w:spacing w:line="360" w:lineRule="auto"/>
                          <w:rPr>
                            <w:rFonts w:ascii="仿宋" w:hAnsi="仿宋" w:eastAsia="仿宋" w:cs="Lucida Sans Unicode"/>
                            <w:color w:val="000000"/>
                            <w:sz w:val="24"/>
                          </w:rPr>
                        </w:pPr>
                      </w:p>
                    </w:tc>
                    <w:tc>
                      <w:tcPr>
                        <w:tcW w:w="1541"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jc w:val="center"/>
                    <w:rPr>
                      <w:b/>
                      <w:color w:val="FF0000"/>
                      <w:sz w:val="44"/>
                      <w:szCs w:val="44"/>
                    </w:rPr>
                  </w:pPr>
                </w:p>
                <w:p>
                  <w:pPr>
                    <w:jc w:val="center"/>
                    <w:rPr>
                      <w:b/>
                      <w:color w:val="FF0000"/>
                      <w:sz w:val="44"/>
                      <w:szCs w:val="44"/>
                    </w:rPr>
                  </w:pPr>
                </w:p>
                <w:p>
                  <w:pPr>
                    <w:rPr>
                      <w:b/>
                      <w:color w:val="FF0000"/>
                      <w:sz w:val="44"/>
                      <w:szCs w:val="44"/>
                    </w:rPr>
                  </w:pPr>
                </w:p>
                <w:p>
                  <w:pPr>
                    <w:jc w:val="center"/>
                    <w:rPr>
                      <w:b/>
                      <w:color w:val="FF0000"/>
                      <w:sz w:val="44"/>
                      <w:szCs w:val="44"/>
                    </w:rPr>
                  </w:pPr>
                </w:p>
                <w:p>
                  <w:pPr>
                    <w:jc w:val="center"/>
                    <w:rPr>
                      <w:b/>
                      <w:color w:val="FF0000"/>
                      <w:sz w:val="44"/>
                      <w:szCs w:val="44"/>
                    </w:rPr>
                  </w:pPr>
                </w:p>
                <w:p>
                  <w:pPr>
                    <w:rPr>
                      <w:b/>
                      <w:color w:val="FF0000"/>
                      <w:sz w:val="44"/>
                      <w:szCs w:val="44"/>
                    </w:rPr>
                  </w:pPr>
                  <w:r>
                    <w:rPr>
                      <w:rFonts w:hint="eastAsia"/>
                      <w:b/>
                      <w:color w:val="FF0000"/>
                      <w:sz w:val="44"/>
                      <w:szCs w:val="44"/>
                    </w:rPr>
                    <w:br w:type="page"/>
                  </w:r>
                </w:p>
                <w:p>
                  <w:pPr>
                    <w:jc w:val="center"/>
                    <w:rPr>
                      <w:b/>
                      <w:color w:val="FF0000"/>
                      <w:sz w:val="44"/>
                      <w:szCs w:val="44"/>
                    </w:rPr>
                  </w:pPr>
                  <w:r>
                    <w:rPr>
                      <w:rFonts w:hint="eastAsia"/>
                      <w:b/>
                      <w:color w:val="FF0000"/>
                      <w:sz w:val="44"/>
                      <w:szCs w:val="44"/>
                    </w:rPr>
                    <w:t>工程咨询机构执业资格人员表</w:t>
                  </w:r>
                </w:p>
                <w:p>
                  <w:pPr>
                    <w:jc w:val="center"/>
                    <w:rPr>
                      <w:b/>
                      <w:color w:val="000000"/>
                      <w:sz w:val="24"/>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6"/>
                    <w:gridCol w:w="776"/>
                    <w:gridCol w:w="788"/>
                    <w:gridCol w:w="832"/>
                    <w:gridCol w:w="1598"/>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姓名</w:t>
                        </w:r>
                      </w:p>
                    </w:tc>
                    <w:tc>
                      <w:tcPr>
                        <w:tcW w:w="776"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性别</w:t>
                        </w:r>
                      </w:p>
                    </w:tc>
                    <w:tc>
                      <w:tcPr>
                        <w:tcW w:w="776"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年龄</w:t>
                        </w:r>
                      </w:p>
                    </w:tc>
                    <w:tc>
                      <w:tcPr>
                        <w:tcW w:w="78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执龄</w:t>
                        </w:r>
                      </w:p>
                    </w:tc>
                    <w:tc>
                      <w:tcPr>
                        <w:tcW w:w="832"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学历</w:t>
                        </w:r>
                      </w:p>
                    </w:tc>
                    <w:tc>
                      <w:tcPr>
                        <w:tcW w:w="1598"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专业</w:t>
                        </w:r>
                      </w:p>
                    </w:tc>
                    <w:tc>
                      <w:tcPr>
                        <w:tcW w:w="1560"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执业资格</w:t>
                        </w:r>
                      </w:p>
                    </w:tc>
                    <w:tc>
                      <w:tcPr>
                        <w:tcW w:w="1842"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证书注册编号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76" w:type="dxa"/>
                      </w:tcPr>
                      <w:p>
                        <w:pPr>
                          <w:spacing w:line="360" w:lineRule="auto"/>
                          <w:rPr>
                            <w:rFonts w:ascii="仿宋" w:hAnsi="仿宋" w:eastAsia="仿宋" w:cs="Lucida Sans Unicode"/>
                            <w:color w:val="000000"/>
                            <w:sz w:val="24"/>
                          </w:rPr>
                        </w:pPr>
                      </w:p>
                    </w:tc>
                    <w:tc>
                      <w:tcPr>
                        <w:tcW w:w="788" w:type="dxa"/>
                      </w:tcPr>
                      <w:p>
                        <w:pPr>
                          <w:spacing w:line="360" w:lineRule="auto"/>
                          <w:rPr>
                            <w:rFonts w:ascii="仿宋" w:hAnsi="仿宋" w:eastAsia="仿宋" w:cs="Lucida Sans Unicode"/>
                            <w:color w:val="000000"/>
                            <w:sz w:val="24"/>
                          </w:rPr>
                        </w:pPr>
                      </w:p>
                    </w:tc>
                    <w:tc>
                      <w:tcPr>
                        <w:tcW w:w="832" w:type="dxa"/>
                      </w:tcPr>
                      <w:p>
                        <w:pPr>
                          <w:spacing w:line="360" w:lineRule="auto"/>
                          <w:rPr>
                            <w:rFonts w:ascii="仿宋" w:hAnsi="仿宋" w:eastAsia="仿宋" w:cs="Lucida Sans Unicode"/>
                            <w:color w:val="000000"/>
                            <w:sz w:val="24"/>
                          </w:rPr>
                        </w:pPr>
                      </w:p>
                    </w:tc>
                    <w:tc>
                      <w:tcPr>
                        <w:tcW w:w="1598" w:type="dxa"/>
                      </w:tcPr>
                      <w:p>
                        <w:pPr>
                          <w:spacing w:line="360" w:lineRule="auto"/>
                          <w:rPr>
                            <w:rFonts w:ascii="仿宋" w:hAnsi="仿宋" w:eastAsia="仿宋" w:cs="Lucida Sans Unicode"/>
                            <w:color w:val="000000"/>
                            <w:sz w:val="24"/>
                          </w:rPr>
                        </w:pPr>
                      </w:p>
                    </w:tc>
                    <w:tc>
                      <w:tcPr>
                        <w:tcW w:w="1560" w:type="dxa"/>
                      </w:tcPr>
                      <w:p>
                        <w:pPr>
                          <w:spacing w:line="360" w:lineRule="auto"/>
                          <w:rPr>
                            <w:rFonts w:ascii="仿宋" w:hAnsi="仿宋" w:eastAsia="仿宋" w:cs="Lucida Sans Unicode"/>
                            <w:color w:val="000000"/>
                            <w:sz w:val="24"/>
                          </w:rPr>
                        </w:pPr>
                      </w:p>
                    </w:tc>
                    <w:tc>
                      <w:tcPr>
                        <w:tcW w:w="1842"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注：1.“执龄”为在中介机构的执业时间。</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2.将执业人员注册证书（复印件）附后页。</w:t>
                  </w: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spacing w:line="360" w:lineRule="auto"/>
                    <w:rPr>
                      <w:rFonts w:ascii="仿宋" w:hAnsi="仿宋" w:eastAsia="仿宋" w:cs="Lucida Sans Unicode"/>
                      <w:color w:val="000000"/>
                      <w:sz w:val="24"/>
                    </w:rPr>
                  </w:pPr>
                  <w:r>
                    <w:rPr>
                      <w:color w:val="000000"/>
                    </w:rPr>
                    <w:br w:type="page"/>
                  </w:r>
                </w:p>
                <w:p>
                  <w:pPr>
                    <w:jc w:val="center"/>
                    <w:rPr>
                      <w:b/>
                      <w:color w:val="FF0000"/>
                      <w:sz w:val="44"/>
                      <w:szCs w:val="44"/>
                    </w:rPr>
                  </w:pPr>
                  <w:r>
                    <w:rPr>
                      <w:rFonts w:hint="eastAsia" w:ascii="宋体" w:hAnsi="宋体"/>
                      <w:b/>
                      <w:color w:val="FF0000"/>
                      <w:sz w:val="44"/>
                      <w:szCs w:val="44"/>
                    </w:rPr>
                    <w:t>工程咨询机构人员结构表</w:t>
                  </w:r>
                </w:p>
                <w:tbl>
                  <w:tblPr>
                    <w:tblStyle w:val="16"/>
                    <w:tblpPr w:leftFromText="180" w:rightFromText="180" w:vertAnchor="text" w:horzAnchor="margin" w:tblpXSpec="center" w:tblpY="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613" w:type="dxa"/>
                        <w:gridSpan w:val="2"/>
                        <w:vAlign w:val="center"/>
                      </w:tcPr>
                      <w:p>
                        <w:pPr>
                          <w:spacing w:line="360" w:lineRule="auto"/>
                          <w:rPr>
                            <w:rFonts w:ascii="仿宋" w:hAnsi="仿宋" w:eastAsia="仿宋" w:cs="Lucida Sans Unicode"/>
                            <w:color w:val="000000"/>
                            <w:sz w:val="24"/>
                          </w:rPr>
                        </w:pPr>
                        <w:r>
                          <w:rPr>
                            <w:rFonts w:ascii="仿宋" w:hAnsi="仿宋" w:eastAsia="仿宋" w:cs="Lucida Sans Unicode"/>
                            <w:color w:val="000000"/>
                            <w:sz w:val="24"/>
                          </w:rPr>
                          <w:t>取得</w:t>
                        </w:r>
                        <w:r>
                          <w:rPr>
                            <w:rFonts w:hint="eastAsia" w:ascii="仿宋" w:hAnsi="仿宋" w:eastAsia="仿宋" w:cs="Lucida Sans Unicode"/>
                            <w:color w:val="000000"/>
                            <w:sz w:val="24"/>
                          </w:rPr>
                          <w:t>注册咨询</w:t>
                        </w:r>
                        <w:r>
                          <w:rPr>
                            <w:rFonts w:ascii="仿宋" w:hAnsi="仿宋" w:eastAsia="仿宋" w:cs="Lucida Sans Unicode"/>
                            <w:color w:val="000000"/>
                            <w:sz w:val="24"/>
                          </w:rPr>
                          <w:t>工程师注册证书的人员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人数</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平均年龄</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本科及以上学历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大专及以下学历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613" w:type="dxa"/>
                        <w:gridSpan w:val="2"/>
                        <w:vAlign w:val="center"/>
                      </w:tcPr>
                      <w:p>
                        <w:pPr>
                          <w:spacing w:line="360" w:lineRule="auto"/>
                          <w:rPr>
                            <w:rFonts w:ascii="仿宋" w:hAnsi="仿宋" w:eastAsia="仿宋" w:cs="Lucida Sans Unicode"/>
                            <w:color w:val="000000"/>
                            <w:sz w:val="24"/>
                          </w:rPr>
                        </w:pPr>
                        <w:r>
                          <w:rPr>
                            <w:rFonts w:ascii="仿宋" w:hAnsi="仿宋" w:eastAsia="仿宋" w:cs="Lucida Sans Unicode"/>
                            <w:color w:val="000000"/>
                            <w:sz w:val="24"/>
                          </w:rPr>
                          <w:t>具有工程类中级</w:t>
                        </w:r>
                        <w:r>
                          <w:rPr>
                            <w:rFonts w:hint="eastAsia" w:ascii="仿宋" w:hAnsi="仿宋" w:eastAsia="仿宋" w:cs="Lucida Sans Unicode"/>
                            <w:color w:val="000000"/>
                            <w:sz w:val="24"/>
                          </w:rPr>
                          <w:t>及中级</w:t>
                        </w:r>
                        <w:r>
                          <w:rPr>
                            <w:rFonts w:ascii="仿宋" w:hAnsi="仿宋" w:eastAsia="仿宋" w:cs="Lucida Sans Unicode"/>
                            <w:color w:val="000000"/>
                            <w:sz w:val="24"/>
                          </w:rPr>
                          <w:t>以上专业技术职称的人员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人数</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平均年龄</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本科及以上学历</w:t>
                        </w:r>
                      </w:p>
                    </w:tc>
                    <w:tc>
                      <w:tcPr>
                        <w:tcW w:w="5758" w:type="dxa"/>
                      </w:tcPr>
                      <w:p>
                        <w:pPr>
                          <w:spacing w:line="360" w:lineRule="auto"/>
                          <w:rPr>
                            <w:rFonts w:ascii="仿宋" w:hAnsi="仿宋" w:eastAsia="仿宋" w:cs="Lucida Sans Unicod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5" w:type="dxa"/>
                        <w:vAlign w:val="center"/>
                      </w:tcPr>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大专及以下学历</w:t>
                        </w:r>
                      </w:p>
                    </w:tc>
                    <w:tc>
                      <w:tcPr>
                        <w:tcW w:w="5758" w:type="dxa"/>
                      </w:tcPr>
                      <w:p>
                        <w:pPr>
                          <w:spacing w:line="360" w:lineRule="auto"/>
                          <w:rPr>
                            <w:rFonts w:ascii="仿宋" w:hAnsi="仿宋" w:eastAsia="仿宋" w:cs="Lucida Sans Unicode"/>
                            <w:color w:val="000000"/>
                            <w:sz w:val="24"/>
                          </w:rPr>
                        </w:pPr>
                      </w:p>
                    </w:tc>
                  </w:tr>
                </w:tbl>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 xml:space="preserve">   注：将注册证书、资格证书（复印件）附后页。</w:t>
                  </w:r>
                </w:p>
                <w:p>
                  <w:pPr>
                    <w:spacing w:line="360" w:lineRule="auto"/>
                    <w:rPr>
                      <w:rFonts w:ascii="仿宋" w:hAnsi="仿宋" w:eastAsia="仿宋" w:cs="Lucida Sans Unicode"/>
                      <w:color w:val="000000"/>
                      <w:sz w:val="24"/>
                    </w:rPr>
                  </w:pPr>
                </w:p>
                <w:p>
                  <w:pPr>
                    <w:spacing w:line="360" w:lineRule="auto"/>
                    <w:rPr>
                      <w:rFonts w:ascii="仿宋" w:hAnsi="仿宋" w:eastAsia="仿宋" w:cs="Lucida Sans Unicode"/>
                      <w:color w:val="000000"/>
                      <w:sz w:val="24"/>
                      <w:u w:val="single"/>
                    </w:rPr>
                  </w:pPr>
                  <w:r>
                    <w:rPr>
                      <w:rFonts w:hint="eastAsia" w:ascii="仿宋" w:hAnsi="仿宋" w:eastAsia="仿宋" w:cs="Lucida Sans Unicode"/>
                      <w:color w:val="000000"/>
                      <w:sz w:val="24"/>
                    </w:rPr>
                    <w:t>投标人名称：</w:t>
                  </w:r>
                  <w:r>
                    <w:rPr>
                      <w:rFonts w:hint="eastAsia" w:ascii="仿宋" w:hAnsi="仿宋" w:eastAsia="仿宋" w:cs="Lucida Sans Unicode"/>
                      <w:color w:val="000000"/>
                      <w:sz w:val="24"/>
                      <w:u w:val="single"/>
                    </w:rPr>
                    <w:t>（加盖公章）</w:t>
                  </w:r>
                  <w:r>
                    <w:rPr>
                      <w:rFonts w:ascii="仿宋" w:hAnsi="仿宋" w:eastAsia="仿宋" w:cs="Lucida Sans Unicode"/>
                      <w:color w:val="000000"/>
                      <w:sz w:val="24"/>
                      <w:u w:val="single"/>
                    </w:rPr>
                    <w:t xml:space="preserve">                </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法定代表人或其授权代表人：</w:t>
                  </w:r>
                  <w:r>
                    <w:rPr>
                      <w:rFonts w:hint="eastAsia" w:ascii="宋体" w:hAnsi="宋体" w:cs="Arial"/>
                      <w:color w:val="000000"/>
                      <w:sz w:val="24"/>
                      <w:u w:val="single"/>
                    </w:rPr>
                    <w:t>（法定代表人可签字或加盖名章，授权委托人必须签字）</w:t>
                  </w:r>
                </w:p>
                <w:p>
                  <w:pPr>
                    <w:spacing w:line="360" w:lineRule="auto"/>
                    <w:rPr>
                      <w:rFonts w:ascii="仿宋" w:hAnsi="仿宋" w:eastAsia="仿宋" w:cs="Lucida Sans Unicode"/>
                      <w:color w:val="000000"/>
                      <w:sz w:val="24"/>
                    </w:rPr>
                  </w:pPr>
                  <w:r>
                    <w:rPr>
                      <w:rFonts w:hint="eastAsia" w:ascii="仿宋" w:hAnsi="仿宋" w:eastAsia="仿宋" w:cs="Lucida Sans Unicode"/>
                      <w:color w:val="000000"/>
                      <w:sz w:val="24"/>
                    </w:rPr>
                    <w:t>签署日期：</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年</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月</w:t>
                  </w:r>
                  <w:r>
                    <w:rPr>
                      <w:rFonts w:ascii="仿宋" w:hAnsi="仿宋" w:eastAsia="仿宋" w:cs="Lucida Sans Unicode"/>
                      <w:color w:val="000000"/>
                      <w:sz w:val="24"/>
                      <w:u w:val="single"/>
                    </w:rPr>
                    <w:t xml:space="preserve">      </w:t>
                  </w:r>
                  <w:r>
                    <w:rPr>
                      <w:rFonts w:hint="eastAsia" w:ascii="仿宋" w:hAnsi="仿宋" w:eastAsia="仿宋" w:cs="Lucida Sans Unicode"/>
                      <w:color w:val="000000"/>
                      <w:sz w:val="24"/>
                      <w:u w:val="single"/>
                    </w:rPr>
                    <w:t>日</w:t>
                  </w:r>
                </w:p>
                <w:p>
                  <w:pPr>
                    <w:spacing w:line="440" w:lineRule="exact"/>
                    <w:rPr>
                      <w:rFonts w:ascii="仿宋" w:hAnsi="仿宋" w:eastAsia="仿宋"/>
                      <w:color w:val="000000"/>
                      <w:sz w:val="24"/>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p>
                <w:p>
                  <w:pPr>
                    <w:spacing w:line="500" w:lineRule="exact"/>
                    <w:jc w:val="center"/>
                    <w:rPr>
                      <w:rFonts w:ascii="仿宋" w:hAnsi="仿宋" w:eastAsia="仿宋"/>
                      <w:b/>
                      <w:bCs/>
                      <w:color w:val="FF0000"/>
                      <w:sz w:val="44"/>
                      <w:szCs w:val="32"/>
                    </w:rPr>
                  </w:pPr>
                  <w:r>
                    <w:rPr>
                      <w:rFonts w:hint="eastAsia" w:ascii="仿宋" w:hAnsi="仿宋" w:eastAsia="仿宋"/>
                      <w:b/>
                      <w:bCs/>
                      <w:color w:val="FF0000"/>
                      <w:sz w:val="44"/>
                      <w:szCs w:val="32"/>
                    </w:rPr>
                    <w:t>工程咨询机构业绩表</w:t>
                  </w:r>
                </w:p>
                <w:p>
                  <w:pPr>
                    <w:spacing w:line="306" w:lineRule="atLeast"/>
                    <w:jc w:val="left"/>
                    <w:rPr>
                      <w:rFonts w:ascii="仿宋_GB2312" w:eastAsia="仿宋_GB2312"/>
                      <w:color w:val="000000"/>
                      <w:sz w:val="24"/>
                    </w:rPr>
                  </w:pPr>
                </w:p>
                <w:tbl>
                  <w:tblPr>
                    <w:tblStyle w:val="16"/>
                    <w:tblW w:w="99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35"/>
                    <w:gridCol w:w="1260"/>
                    <w:gridCol w:w="945"/>
                    <w:gridCol w:w="1073"/>
                    <w:gridCol w:w="720"/>
                    <w:gridCol w:w="1042"/>
                    <w:gridCol w:w="1055"/>
                    <w:gridCol w:w="1276"/>
                    <w:gridCol w:w="1134"/>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73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序号</w:t>
                        </w:r>
                      </w:p>
                    </w:tc>
                    <w:tc>
                      <w:tcPr>
                        <w:tcW w:w="1260"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工程项目名称</w:t>
                        </w:r>
                      </w:p>
                    </w:tc>
                    <w:tc>
                      <w:tcPr>
                        <w:tcW w:w="945"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项目建设地址</w:t>
                        </w:r>
                        <w:r>
                          <w:rPr>
                            <w:rFonts w:hint="eastAsia" w:ascii="宋体" w:hAnsi="宋体"/>
                            <w:color w:val="000000"/>
                            <w:sz w:val="18"/>
                            <w:szCs w:val="18"/>
                          </w:rPr>
                          <w:t>（**市**区、县）</w:t>
                        </w:r>
                      </w:p>
                    </w:tc>
                    <w:tc>
                      <w:tcPr>
                        <w:tcW w:w="1073"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委托咨询服务工程内容的投资额  </w:t>
                        </w:r>
                      </w:p>
                    </w:tc>
                    <w:tc>
                      <w:tcPr>
                        <w:tcW w:w="720"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服务</w:t>
                        </w:r>
                      </w:p>
                      <w:p>
                        <w:pPr>
                          <w:jc w:val="center"/>
                          <w:rPr>
                            <w:rFonts w:ascii="宋体" w:hAnsi="宋体"/>
                            <w:color w:val="000000"/>
                            <w:sz w:val="24"/>
                          </w:rPr>
                        </w:pPr>
                        <w:r>
                          <w:rPr>
                            <w:rFonts w:hint="eastAsia" w:ascii="宋体" w:hAnsi="宋体"/>
                            <w:color w:val="000000"/>
                            <w:sz w:val="24"/>
                          </w:rPr>
                          <w:t>内容</w:t>
                        </w:r>
                      </w:p>
                    </w:tc>
                    <w:tc>
                      <w:tcPr>
                        <w:tcW w:w="1042" w:type="dxa"/>
                        <w:tcBorders>
                          <w:top w:val="single" w:color="000000" w:sz="6"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合同起止时间</w:t>
                        </w:r>
                      </w:p>
                    </w:tc>
                    <w:tc>
                      <w:tcPr>
                        <w:tcW w:w="1055" w:type="dxa"/>
                        <w:tcBorders>
                          <w:top w:val="single" w:color="000000" w:sz="6"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咨询服务费合同金额</w:t>
                        </w:r>
                      </w:p>
                    </w:tc>
                    <w:tc>
                      <w:tcPr>
                        <w:tcW w:w="1276" w:type="dxa"/>
                        <w:tcBorders>
                          <w:top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委托单位</w:t>
                        </w:r>
                      </w:p>
                    </w:tc>
                    <w:tc>
                      <w:tcPr>
                        <w:tcW w:w="113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联系人</w:t>
                        </w:r>
                      </w:p>
                    </w:tc>
                    <w:tc>
                      <w:tcPr>
                        <w:tcW w:w="72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24"/>
                          </w:rPr>
                        </w:pPr>
                        <w:r>
                          <w:rPr>
                            <w:rFonts w:hint="eastAsia" w:ascii="宋体" w:hAnsi="宋体"/>
                            <w:color w:val="000000"/>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1</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3" w:hRule="atLeast"/>
                      <w:jc w:val="center"/>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2</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6" w:hRule="atLeast"/>
                      <w:jc w:val="center"/>
                    </w:trPr>
                    <w:tc>
                      <w:tcPr>
                        <w:tcW w:w="735" w:type="dxa"/>
                        <w:tcBorders>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0" w:hRule="atLeast"/>
                      <w:jc w:val="center"/>
                    </w:trPr>
                    <w:tc>
                      <w:tcPr>
                        <w:tcW w:w="735" w:type="dxa"/>
                        <w:tcBorders>
                          <w:left w:val="single" w:color="000000" w:sz="6" w:space="0"/>
                          <w:bottom w:val="single" w:color="000000" w:sz="6"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8" w:hRule="atLeast"/>
                      <w:jc w:val="center"/>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7" w:hRule="atLeast"/>
                      <w:jc w:val="center"/>
                    </w:trPr>
                    <w:tc>
                      <w:tcPr>
                        <w:tcW w:w="735" w:type="dxa"/>
                        <w:tcBorders>
                          <w:left w:val="single" w:color="000000" w:sz="6" w:space="0"/>
                          <w:bottom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bottom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c>
                      <w:tcPr>
                        <w:tcW w:w="1042"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055" w:type="dxa"/>
                        <w:tcBorders>
                          <w:bottom w:val="single" w:color="000000" w:sz="6" w:space="0"/>
                          <w:right w:val="single" w:color="000000" w:sz="6" w:space="0"/>
                        </w:tcBorders>
                        <w:vAlign w:val="center"/>
                      </w:tcPr>
                      <w:p>
                        <w:pPr>
                          <w:jc w:val="center"/>
                          <w:rPr>
                            <w:rFonts w:ascii="仿宋_GB2312" w:eastAsia="仿宋_GB2312"/>
                            <w:color w:val="000000"/>
                            <w:sz w:val="24"/>
                          </w:rPr>
                        </w:pPr>
                      </w:p>
                    </w:tc>
                    <w:tc>
                      <w:tcPr>
                        <w:tcW w:w="1276" w:type="dxa"/>
                        <w:tcBorders>
                          <w:bottom w:val="single" w:color="000000" w:sz="6" w:space="0"/>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bottom w:val="single" w:color="000000" w:sz="6"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jc w:val="center"/>
                    </w:trPr>
                    <w:tc>
                      <w:tcPr>
                        <w:tcW w:w="735" w:type="dxa"/>
                        <w:tcBorders>
                          <w:left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jc w:val="center"/>
                    </w:trPr>
                    <w:tc>
                      <w:tcPr>
                        <w:tcW w:w="735" w:type="dxa"/>
                        <w:tcBorders>
                          <w:left w:val="single" w:color="000000" w:sz="6" w:space="0"/>
                          <w:right w:val="single" w:color="auto" w:sz="4" w:space="0"/>
                        </w:tcBorders>
                      </w:tcPr>
                      <w:p>
                        <w:pPr>
                          <w:jc w:val="center"/>
                          <w:rPr>
                            <w:rFonts w:ascii="宋体" w:hAnsi="宋体"/>
                            <w:color w:val="000000"/>
                            <w:sz w:val="24"/>
                          </w:rPr>
                        </w:pP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jc w:val="center"/>
                    </w:trPr>
                    <w:tc>
                      <w:tcPr>
                        <w:tcW w:w="735" w:type="dxa"/>
                        <w:tcBorders>
                          <w:left w:val="single" w:color="000000" w:sz="6" w:space="0"/>
                          <w:right w:val="single" w:color="auto" w:sz="4" w:space="0"/>
                        </w:tcBorders>
                      </w:tcPr>
                      <w:p>
                        <w:pPr>
                          <w:jc w:val="center"/>
                          <w:rPr>
                            <w:rFonts w:ascii="宋体" w:hAnsi="宋体"/>
                            <w:color w:val="000000"/>
                            <w:sz w:val="24"/>
                          </w:rPr>
                        </w:pPr>
                        <w:r>
                          <w:rPr>
                            <w:rFonts w:hint="eastAsia" w:ascii="宋体" w:hAnsi="宋体"/>
                            <w:color w:val="000000"/>
                            <w:sz w:val="24"/>
                          </w:rPr>
                          <w:t>40</w:t>
                        </w:r>
                      </w:p>
                    </w:tc>
                    <w:tc>
                      <w:tcPr>
                        <w:tcW w:w="1260" w:type="dxa"/>
                        <w:tcBorders>
                          <w:left w:val="single" w:color="000000" w:sz="6" w:space="0"/>
                          <w:right w:val="single" w:color="auto" w:sz="4" w:space="0"/>
                        </w:tcBorders>
                        <w:vAlign w:val="center"/>
                      </w:tcPr>
                      <w:p>
                        <w:pPr>
                          <w:jc w:val="center"/>
                          <w:rPr>
                            <w:rFonts w:ascii="仿宋_GB2312" w:eastAsia="仿宋_GB2312"/>
                            <w:color w:val="000000"/>
                            <w:sz w:val="24"/>
                          </w:rPr>
                        </w:pPr>
                      </w:p>
                    </w:tc>
                    <w:tc>
                      <w:tcPr>
                        <w:tcW w:w="945"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1073"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0" w:type="dxa"/>
                        <w:tcBorders>
                          <w:left w:val="single" w:color="auto" w:sz="4" w:space="0"/>
                          <w:right w:val="single" w:color="000000" w:sz="6" w:space="0"/>
                        </w:tcBorders>
                        <w:vAlign w:val="center"/>
                      </w:tcPr>
                      <w:p>
                        <w:pPr>
                          <w:jc w:val="center"/>
                          <w:rPr>
                            <w:rFonts w:ascii="仿宋_GB2312" w:eastAsia="仿宋_GB2312"/>
                            <w:color w:val="000000"/>
                            <w:sz w:val="24"/>
                          </w:rPr>
                        </w:pPr>
                      </w:p>
                    </w:tc>
                    <w:tc>
                      <w:tcPr>
                        <w:tcW w:w="1042" w:type="dxa"/>
                        <w:tcBorders>
                          <w:right w:val="single" w:color="000000" w:sz="6" w:space="0"/>
                        </w:tcBorders>
                        <w:vAlign w:val="center"/>
                      </w:tcPr>
                      <w:p>
                        <w:pPr>
                          <w:jc w:val="center"/>
                          <w:rPr>
                            <w:rFonts w:ascii="仿宋_GB2312" w:eastAsia="仿宋_GB2312"/>
                            <w:color w:val="000000"/>
                            <w:sz w:val="24"/>
                          </w:rPr>
                        </w:pPr>
                      </w:p>
                    </w:tc>
                    <w:tc>
                      <w:tcPr>
                        <w:tcW w:w="1055" w:type="dxa"/>
                        <w:tcBorders>
                          <w:right w:val="single" w:color="000000" w:sz="6" w:space="0"/>
                        </w:tcBorders>
                        <w:vAlign w:val="center"/>
                      </w:tcPr>
                      <w:p>
                        <w:pPr>
                          <w:jc w:val="center"/>
                          <w:rPr>
                            <w:rFonts w:ascii="仿宋_GB2312" w:eastAsia="仿宋_GB2312"/>
                            <w:color w:val="000000"/>
                            <w:sz w:val="24"/>
                          </w:rPr>
                        </w:pPr>
                      </w:p>
                    </w:tc>
                    <w:tc>
                      <w:tcPr>
                        <w:tcW w:w="1276" w:type="dxa"/>
                        <w:tcBorders>
                          <w:right w:val="single" w:color="auto" w:sz="4" w:space="0"/>
                        </w:tcBorders>
                        <w:vAlign w:val="center"/>
                      </w:tcPr>
                      <w:p>
                        <w:pPr>
                          <w:jc w:val="center"/>
                          <w:rPr>
                            <w:rFonts w:ascii="仿宋_GB2312" w:eastAsia="仿宋_GB2312"/>
                            <w:color w:val="000000"/>
                            <w:sz w:val="24"/>
                          </w:rPr>
                        </w:pPr>
                      </w:p>
                    </w:tc>
                    <w:tc>
                      <w:tcPr>
                        <w:tcW w:w="1134" w:type="dxa"/>
                        <w:tcBorders>
                          <w:left w:val="single" w:color="auto" w:sz="4" w:space="0"/>
                          <w:right w:val="single" w:color="auto" w:sz="4" w:space="0"/>
                        </w:tcBorders>
                        <w:vAlign w:val="center"/>
                      </w:tcPr>
                      <w:p>
                        <w:pPr>
                          <w:jc w:val="center"/>
                          <w:rPr>
                            <w:rFonts w:ascii="仿宋_GB2312" w:eastAsia="仿宋_GB2312"/>
                            <w:color w:val="000000"/>
                            <w:sz w:val="24"/>
                          </w:rPr>
                        </w:pPr>
                      </w:p>
                    </w:tc>
                    <w:tc>
                      <w:tcPr>
                        <w:tcW w:w="725" w:type="dxa"/>
                        <w:tcBorders>
                          <w:left w:val="single" w:color="auto" w:sz="4" w:space="0"/>
                          <w:right w:val="single" w:color="000000" w:sz="6" w:space="0"/>
                        </w:tcBorders>
                        <w:vAlign w:val="center"/>
                      </w:tcPr>
                      <w:p>
                        <w:pPr>
                          <w:jc w:val="center"/>
                          <w:rPr>
                            <w:rFonts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jc w:val="center"/>
                    </w:trPr>
                    <w:tc>
                      <w:tcPr>
                        <w:tcW w:w="5775" w:type="dxa"/>
                        <w:gridSpan w:val="6"/>
                        <w:tcBorders>
                          <w:left w:val="single" w:color="000000" w:sz="6" w:space="0"/>
                          <w:right w:val="single" w:color="000000" w:sz="6" w:space="0"/>
                        </w:tcBorders>
                        <w:vAlign w:val="center"/>
                      </w:tcPr>
                      <w:p>
                        <w:pPr>
                          <w:jc w:val="center"/>
                          <w:rPr>
                            <w:rFonts w:ascii="仿宋_GB2312" w:eastAsia="仿宋_GB2312"/>
                            <w:color w:val="000000"/>
                            <w:sz w:val="24"/>
                          </w:rPr>
                        </w:pPr>
                        <w:r>
                          <w:rPr>
                            <w:rFonts w:hint="eastAsia" w:ascii="宋体" w:hAnsi="宋体"/>
                            <w:color w:val="000000"/>
                            <w:sz w:val="24"/>
                          </w:rPr>
                          <w:t>咨询服务费合同金额合计</w:t>
                        </w:r>
                      </w:p>
                    </w:tc>
                    <w:tc>
                      <w:tcPr>
                        <w:tcW w:w="4190" w:type="dxa"/>
                        <w:gridSpan w:val="4"/>
                        <w:tcBorders>
                          <w:right w:val="single" w:color="000000" w:sz="6" w:space="0"/>
                        </w:tcBorders>
                        <w:vAlign w:val="center"/>
                      </w:tcPr>
                      <w:p>
                        <w:pPr>
                          <w:jc w:val="center"/>
                          <w:rPr>
                            <w:rFonts w:ascii="仿宋_GB2312" w:eastAsia="仿宋_GB2312"/>
                            <w:color w:val="000000"/>
                            <w:sz w:val="24"/>
                          </w:rPr>
                        </w:pPr>
                      </w:p>
                    </w:tc>
                  </w:tr>
                </w:tbl>
                <w:p>
                  <w:pPr>
                    <w:spacing w:line="500" w:lineRule="exact"/>
                    <w:rPr>
                      <w:rFonts w:ascii="仿宋" w:hAnsi="仿宋" w:eastAsia="仿宋" w:cs="Lucida Sans Unicode"/>
                      <w:color w:val="000000"/>
                      <w:sz w:val="24"/>
                    </w:rPr>
                  </w:pPr>
                  <w:r>
                    <w:rPr>
                      <w:rFonts w:hint="eastAsia" w:ascii="仿宋" w:hAnsi="仿宋" w:eastAsia="仿宋" w:cs="Lucida Sans Unicode"/>
                      <w:color w:val="000000"/>
                      <w:sz w:val="24"/>
                    </w:rPr>
                    <w:t>注：1.投标人应提供2019-2021年所承担的与本次招标文件服务需求有关的、类似的服务业绩。投标人提供的项目业绩，工程建设地点</w:t>
                  </w:r>
                  <w:r>
                    <w:rPr>
                      <w:rFonts w:hint="eastAsia" w:ascii="仿宋" w:hAnsi="仿宋" w:eastAsia="仿宋" w:cs="Lucida Sans Unicode"/>
                      <w:sz w:val="24"/>
                    </w:rPr>
                    <w:t>须在辽宁省行政</w:t>
                  </w:r>
                  <w:r>
                    <w:rPr>
                      <w:rFonts w:hint="eastAsia" w:ascii="仿宋" w:hAnsi="仿宋" w:eastAsia="仿宋" w:cs="Lucida Sans Unicode"/>
                      <w:color w:val="000000"/>
                      <w:sz w:val="24"/>
                    </w:rPr>
                    <w:t>区域范围内。</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2.项目数量不超过40个，超过40个的按照序号前40个计算。</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3.填写此表时，如内容较多可另加附页详细说明。</w:t>
                  </w:r>
                </w:p>
                <w:p>
                  <w:pPr>
                    <w:spacing w:line="500" w:lineRule="exact"/>
                    <w:ind w:firstLine="480" w:firstLineChars="200"/>
                    <w:rPr>
                      <w:rFonts w:ascii="仿宋" w:hAnsi="仿宋" w:eastAsia="仿宋" w:cs="Lucida Sans Unicode"/>
                      <w:color w:val="000000"/>
                      <w:sz w:val="24"/>
                    </w:rPr>
                  </w:pPr>
                  <w:r>
                    <w:rPr>
                      <w:rFonts w:hint="eastAsia" w:ascii="仿宋" w:hAnsi="仿宋" w:eastAsia="仿宋" w:cs="Lucida Sans Unicode"/>
                      <w:color w:val="000000"/>
                      <w:sz w:val="24"/>
                    </w:rPr>
                    <w:t>4.此表所列内容必须与所提供的计划通知书或同类服务合同（复印件）相一致。如不一致评审时将扣除相应分数，情节严重时将取消评审资格。</w:t>
                  </w:r>
                </w:p>
                <w:p>
                  <w:pPr>
                    <w:spacing w:line="500" w:lineRule="exact"/>
                    <w:rPr>
                      <w:rFonts w:ascii="仿宋" w:hAnsi="仿宋" w:eastAsia="仿宋" w:cs="Lucida Sans Unicode"/>
                      <w:color w:val="000000"/>
                      <w:sz w:val="24"/>
                    </w:rPr>
                  </w:pPr>
                  <w:r>
                    <w:rPr>
                      <w:rFonts w:hint="eastAsia" w:ascii="仿宋" w:hAnsi="仿宋" w:eastAsia="仿宋" w:cs="Lucida Sans Unicode"/>
                      <w:color w:val="000000"/>
                      <w:sz w:val="24"/>
                    </w:rPr>
                    <w:t>投标人名称（并加盖公章）：</w:t>
                  </w:r>
                  <w:r>
                    <w:rPr>
                      <w:rFonts w:hint="eastAsia" w:ascii="仿宋" w:hAnsi="仿宋" w:eastAsia="仿宋" w:cs="Lucida Sans Unicode"/>
                      <w:color w:val="000000"/>
                      <w:sz w:val="24"/>
                      <w:u w:val="single"/>
                    </w:rPr>
                    <w:t xml:space="preserve">                             </w:t>
                  </w:r>
                </w:p>
                <w:p>
                  <w:pPr>
                    <w:spacing w:line="500" w:lineRule="exact"/>
                    <w:rPr>
                      <w:rFonts w:ascii="仿宋" w:hAnsi="仿宋" w:eastAsia="仿宋" w:cs="Lucida Sans Unicode"/>
                      <w:color w:val="000000"/>
                      <w:sz w:val="24"/>
                    </w:rPr>
                  </w:pPr>
                  <w:r>
                    <w:rPr>
                      <w:rFonts w:hint="eastAsia" w:ascii="仿宋" w:hAnsi="仿宋" w:eastAsia="仿宋" w:cs="Lucida Sans Unicode"/>
                      <w:color w:val="000000"/>
                      <w:sz w:val="24"/>
                    </w:rPr>
                    <w:t>法定代表人或其授权委托人：</w:t>
                  </w:r>
                  <w:r>
                    <w:rPr>
                      <w:rFonts w:hint="eastAsia" w:ascii="仿宋" w:hAnsi="仿宋" w:eastAsia="仿宋" w:cs="Lucida Sans Unicode"/>
                      <w:color w:val="000000"/>
                      <w:sz w:val="24"/>
                      <w:u w:val="single"/>
                    </w:rPr>
                    <w:t xml:space="preserve">（法定代表人可签字或加盖名章，授权委托人必须签字） </w:t>
                  </w:r>
                </w:p>
                <w:p>
                  <w:pPr>
                    <w:spacing w:line="500" w:lineRule="exact"/>
                    <w:rPr>
                      <w:rFonts w:ascii="仿宋" w:hAnsi="仿宋" w:eastAsia="仿宋"/>
                      <w:sz w:val="24"/>
                    </w:rPr>
                  </w:pPr>
                  <w:r>
                    <w:rPr>
                      <w:rFonts w:hint="eastAsia" w:ascii="仿宋" w:hAnsi="仿宋" w:eastAsia="仿宋" w:cs="Lucida Sans Unicode"/>
                      <w:color w:val="000000"/>
                      <w:sz w:val="24"/>
                    </w:rPr>
                    <w:t>签署日期：</w:t>
                  </w:r>
                  <w:r>
                    <w:rPr>
                      <w:rFonts w:hint="eastAsia" w:ascii="仿宋" w:hAnsi="仿宋" w:eastAsia="仿宋" w:cs="Lucida Sans Unicode"/>
                      <w:color w:val="000000"/>
                      <w:sz w:val="24"/>
                      <w:u w:val="single"/>
                    </w:rPr>
                    <w:t xml:space="preserve">          年        月        日</w:t>
                  </w:r>
                </w:p>
              </w:sdtContent>
            </w:sdt>
          </w:sdtContent>
        </w:sdt>
        <w:p>
          <w:pPr>
            <w:rPr>
              <w:rFonts w:ascii="仿宋" w:hAnsi="仿宋" w:eastAsia="仿宋" w:cs="仿宋_GB2312"/>
            </w:rPr>
          </w:pPr>
        </w:p>
      </w:sdtContent>
    </w:sdt>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1"/>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2"/>
        </w:num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ascii="仿宋_GB2312" w:hAnsi="仿宋_GB2312" w:eastAsia="仿宋_GB2312" w:cs="仿宋_GB2312"/>
          <w:kern w:val="0"/>
          <w:sz w:val="24"/>
        </w:rPr>
      </w:pPr>
    </w:p>
    <w:p>
      <w:pPr>
        <w:pStyle w:val="3"/>
        <w:adjustRightInd w:val="0"/>
        <w:snapToGrid w:val="0"/>
        <w:spacing w:before="0" w:after="0" w:line="240" w:lineRule="auto"/>
        <w:jc w:val="left"/>
        <w:rPr>
          <w:rFonts w:ascii="仿宋_GB2312" w:hAnsi="仿宋_GB2312" w:eastAsia="仿宋_GB2312" w:cs="仿宋_GB2312"/>
          <w:sz w:val="28"/>
          <w:szCs w:val="28"/>
        </w:rPr>
      </w:pPr>
      <w:bookmarkStart w:id="58" w:name="_Toc4485646"/>
      <w:bookmarkStart w:id="59" w:name="_Toc533340170"/>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ascii="仿宋_GB2312" w:hAnsi="仿宋_GB2312" w:eastAsia="仿宋_GB2312" w:cs="仿宋_GB2312"/>
              </w:rPr>
            </w:pPr>
            <w:bookmarkStart w:id="60" w:name="_Toc4485647"/>
            <w:bookmarkStart w:id="61" w:name="_Toc533340171"/>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2" w:name="_Toc4485648"/>
            <w:bookmarkStart w:id="63" w:name="_Toc533340172"/>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4" w:name="_Toc4485649"/>
            <w:bookmarkStart w:id="65" w:name="_Toc533340173"/>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6" w:name="_Toc533340174"/>
            <w:bookmarkStart w:id="67" w:name="_Toc4485650"/>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ascii="仿宋_GB2312" w:hAnsi="仿宋_GB2312" w:eastAsia="仿宋_GB2312" w:cs="仿宋_GB2312"/>
                <w:b w:val="0"/>
                <w:sz w:val="21"/>
                <w:szCs w:val="21"/>
              </w:rPr>
            </w:pPr>
            <w:bookmarkStart w:id="68" w:name="_Toc4485651"/>
            <w:bookmarkStart w:id="69" w:name="_Toc533340175"/>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0" w:name="_Toc4485652"/>
            <w:bookmarkStart w:id="71" w:name="_Toc533340176"/>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ascii="仿宋_GB2312" w:hAnsi="仿宋_GB2312" w:eastAsia="仿宋_GB2312" w:cs="仿宋_GB2312"/>
                <w:b w:val="0"/>
                <w:sz w:val="21"/>
                <w:szCs w:val="21"/>
              </w:rPr>
            </w:pPr>
            <w:bookmarkStart w:id="72" w:name="_Toc4485653"/>
            <w:bookmarkStart w:id="73" w:name="_Toc533340177"/>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ascii="仿宋_GB2312" w:hAnsi="仿宋_GB2312" w:eastAsia="仿宋_GB2312" w:cs="仿宋_GB2312"/>
                <w:b w:val="0"/>
                <w:sz w:val="21"/>
                <w:szCs w:val="21"/>
              </w:rPr>
            </w:pPr>
            <w:bookmarkStart w:id="76" w:name="_Toc4485655"/>
            <w:bookmarkStart w:id="77" w:name="_Toc533340179"/>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8" w:name="_Toc4485656"/>
            <w:bookmarkStart w:id="79" w:name="_Toc533340180"/>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ascii="仿宋_GB2312" w:hAnsi="仿宋_GB2312" w:eastAsia="仿宋_GB2312" w:cs="仿宋_GB2312"/>
                <w:b w:val="0"/>
                <w:sz w:val="21"/>
                <w:szCs w:val="21"/>
              </w:rPr>
            </w:pPr>
            <w:bookmarkStart w:id="80" w:name="_Toc4485657"/>
            <w:bookmarkStart w:id="81" w:name="_Toc533340181"/>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2" w:name="_Toc533340182"/>
            <w:bookmarkStart w:id="83" w:name="_Toc4485658"/>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ascii="仿宋_GB2312" w:hAnsi="仿宋_GB2312" w:eastAsia="仿宋_GB2312" w:cs="仿宋_GB2312"/>
                <w:b w:val="0"/>
                <w:sz w:val="21"/>
                <w:szCs w:val="21"/>
              </w:rPr>
            </w:pPr>
            <w:bookmarkStart w:id="84" w:name="_Toc533340183"/>
            <w:bookmarkStart w:id="85" w:name="_Toc4485659"/>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ascii="仿宋_GB2312" w:hAnsi="仿宋_GB2312" w:eastAsia="仿宋_GB2312" w:cs="仿宋_GB2312"/>
                <w:b w:val="0"/>
                <w:sz w:val="21"/>
                <w:szCs w:val="21"/>
              </w:rPr>
            </w:pPr>
            <w:bookmarkStart w:id="88" w:name="_Toc4485663"/>
            <w:bookmarkStart w:id="89" w:name="_Toc533340187"/>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4" w:name="_Toc4485666"/>
            <w:bookmarkStart w:id="95" w:name="_Toc533340190"/>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8" w:name="_Toc533340192"/>
            <w:bookmarkStart w:id="99" w:name="_Toc4485668"/>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ascii="仿宋_GB2312" w:hAnsi="仿宋_GB2312" w:eastAsia="仿宋_GB2312" w:cs="仿宋_GB2312"/>
                <w:b w:val="0"/>
                <w:sz w:val="21"/>
                <w:szCs w:val="21"/>
              </w:rPr>
            </w:pPr>
            <w:bookmarkStart w:id="100" w:name="_Toc4485669"/>
            <w:bookmarkStart w:id="101" w:name="_Toc533340193"/>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2" w:name="_Toc4485670"/>
            <w:bookmarkStart w:id="103" w:name="_Toc533340194"/>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6" w:name="_Toc4485672"/>
            <w:bookmarkStart w:id="107" w:name="_Toc533340196"/>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10" w:name="_Toc4485674"/>
            <w:bookmarkStart w:id="111" w:name="_Toc533340198"/>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bookmarkStart w:id="112" w:name="_Toc533340199"/>
      <w:bookmarkStart w:id="113" w:name="_Toc4485675"/>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_GB2312" w:hAnsi="仿宋_GB2312" w:eastAsia="仿宋_GB2312" w:cs="仿宋_GB2312"/>
              </w:rPr>
            </w:pPr>
            <w:bookmarkStart w:id="114" w:name="_Toc533340200"/>
            <w:bookmarkStart w:id="115" w:name="_Toc4485676"/>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6" w:name="_Toc533340201"/>
            <w:bookmarkStart w:id="117" w:name="_Toc4485677"/>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8" w:name="_Toc4485678"/>
            <w:bookmarkStart w:id="119" w:name="_Toc533340202"/>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2" w:name="_Toc533340204"/>
            <w:bookmarkStart w:id="123" w:name="_Toc4485680"/>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6" w:name="_Toc4485682"/>
            <w:bookmarkStart w:id="127" w:name="_Toc533340208"/>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2" w:name="_Toc4485685"/>
            <w:bookmarkStart w:id="133" w:name="_Toc533340211"/>
            <w:r>
              <w:rPr>
                <w:rFonts w:hint="eastAsia" w:ascii="仿宋_GB2312" w:hAnsi="仿宋_GB2312" w:eastAsia="仿宋_GB2312" w:cs="仿宋_GB2312"/>
                <w:b w:val="0"/>
                <w:sz w:val="21"/>
                <w:szCs w:val="21"/>
              </w:rPr>
              <w:t>1.按给定格式填写</w:t>
            </w:r>
            <w:bookmarkEnd w:id="132"/>
            <w:bookmarkEnd w:id="133"/>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4" w:name="_Toc533340212"/>
            <w:bookmarkStart w:id="135" w:name="_Toc4485686"/>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6" w:name="_Toc4485687"/>
            <w:bookmarkStart w:id="137" w:name="_Toc533340213"/>
            <w:r>
              <w:rPr>
                <w:rFonts w:hint="eastAsia" w:ascii="仿宋_GB2312" w:hAnsi="仿宋_GB2312" w:eastAsia="仿宋_GB2312" w:cs="仿宋_GB2312"/>
                <w:b w:val="0"/>
                <w:sz w:val="21"/>
                <w:szCs w:val="21"/>
              </w:rPr>
              <w:t>1.按给定格式填写</w:t>
            </w:r>
            <w:bookmarkEnd w:id="136"/>
            <w:bookmarkEnd w:id="137"/>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8" w:name="_Toc4485688"/>
            <w:bookmarkStart w:id="139" w:name="_Toc533340214"/>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40" w:name="_Toc4485689"/>
            <w:bookmarkStart w:id="141" w:name="_Toc533340215"/>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4" w:name="_Toc4485693"/>
            <w:bookmarkStart w:id="145" w:name="_Toc533340219"/>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6" w:name="_Toc533340220"/>
            <w:bookmarkStart w:id="147" w:name="_Toc4485694"/>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8" w:name="_Toc4485695"/>
            <w:bookmarkStart w:id="149" w:name="_Toc533340221"/>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ascii="仿宋_GB2312" w:hAnsi="仿宋_GB2312" w:eastAsia="仿宋_GB2312" w:cs="仿宋_GB2312"/>
                <w:szCs w:val="21"/>
              </w:rPr>
            </w:pPr>
          </w:p>
        </w:tc>
        <w:tc>
          <w:tcPr>
            <w:tcW w:w="2415"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ascii="仿宋_GB2312" w:hAnsi="仿宋_GB2312" w:eastAsia="仿宋_GB2312" w:cs="仿宋_GB2312"/>
        </w:rPr>
      </w:pPr>
    </w:p>
    <w:p>
      <w:pPr>
        <w:pStyle w:val="3"/>
        <w:adjustRightInd w:val="0"/>
        <w:snapToGrid w:val="0"/>
        <w:spacing w:before="0" w:after="0" w:line="240" w:lineRule="auto"/>
        <w:jc w:val="left"/>
        <w:rPr>
          <w:rFonts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55"/>
            <w:gridCol w:w="4401"/>
            <w:gridCol w:w="65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4302"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6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⑴ 合理最低报价满分。</w:t>
                </w:r>
              </w:p>
              <w:p>
                <w:pPr>
                  <w:rPr>
                    <w:rFonts w:ascii="仿宋" w:hAnsi="仿宋" w:eastAsia="仿宋"/>
                    <w:szCs w:val="21"/>
                  </w:rPr>
                </w:pPr>
                <w:r>
                  <w:rPr>
                    <w:rFonts w:hint="eastAsia" w:ascii="仿宋" w:hAnsi="仿宋" w:eastAsia="仿宋"/>
                    <w:szCs w:val="21"/>
                  </w:rPr>
                  <w:t>⑵ 供应商报价得分为：</w:t>
                </w:r>
              </w:p>
              <w:p>
                <w:pPr>
                  <w:rPr>
                    <w:rFonts w:ascii="仿宋" w:hAnsi="仿宋" w:eastAsia="仿宋"/>
                    <w:szCs w:val="21"/>
                  </w:rPr>
                </w:pPr>
                <w:r>
                  <w:rPr>
                    <w:rFonts w:hint="eastAsia" w:ascii="仿宋" w:hAnsi="仿宋" w:eastAsia="仿宋"/>
                    <w:szCs w:val="21"/>
                  </w:rPr>
                  <w:t>T=Cmin/C×15</w:t>
                </w:r>
              </w:p>
              <w:p>
                <w:pPr>
                  <w:rPr>
                    <w:rFonts w:ascii="仿宋" w:hAnsi="仿宋" w:eastAsia="仿宋"/>
                    <w:szCs w:val="21"/>
                  </w:rPr>
                </w:pPr>
                <w:r>
                  <w:rPr>
                    <w:rFonts w:hint="eastAsia" w:ascii="仿宋" w:hAnsi="仿宋" w:eastAsia="仿宋"/>
                    <w:szCs w:val="21"/>
                  </w:rPr>
                  <w:t>T为供应商价格部分得分；</w:t>
                </w:r>
              </w:p>
              <w:p>
                <w:pPr>
                  <w:rPr>
                    <w:rFonts w:ascii="仿宋" w:hAnsi="仿宋" w:eastAsia="仿宋"/>
                    <w:szCs w:val="21"/>
                  </w:rPr>
                </w:pPr>
                <w:r>
                  <w:rPr>
                    <w:rFonts w:hint="eastAsia" w:ascii="仿宋" w:hAnsi="仿宋" w:eastAsia="仿宋"/>
                    <w:szCs w:val="21"/>
                  </w:rPr>
                  <w:t>C为供应商报价；</w:t>
                </w:r>
              </w:p>
              <w:p>
                <w:pPr>
                  <w:rPr>
                    <w:rFonts w:ascii="仿宋" w:hAnsi="仿宋" w:eastAsia="仿宋" w:cs="宋体"/>
                    <w:color w:val="000000"/>
                    <w:kern w:val="0"/>
                    <w:szCs w:val="21"/>
                  </w:rPr>
                </w:pPr>
                <w:r>
                  <w:rPr>
                    <w:rFonts w:hint="eastAsia" w:ascii="仿宋" w:hAnsi="仿宋" w:eastAsia="仿宋"/>
                    <w:szCs w:val="21"/>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szCs w:val="21"/>
                  </w:rPr>
                  <w:t>15</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635" w:type="pct"/>
                <w:vMerge w:val="restart"/>
                <w:tcBorders>
                  <w:top w:val="single" w:color="auto" w:sz="4" w:space="0"/>
                  <w:left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内部管理制度</w:t>
                </w:r>
              </w:p>
            </w:tc>
            <w:tc>
              <w:tcPr>
                <w:tcW w:w="264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1.内部管理制度是否完善、科学，0-2分。</w:t>
                </w: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2.投标人内部组织机构是否健全，0-2分。（提供组织架构图）</w:t>
                </w: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工程建设项目节能评估编制业绩</w:t>
                </w:r>
              </w:p>
            </w:tc>
            <w:tc>
              <w:tcPr>
                <w:tcW w:w="2648" w:type="pct"/>
                <w:tcBorders>
                  <w:top w:val="single" w:color="auto" w:sz="4" w:space="0"/>
                  <w:left w:val="single" w:color="auto" w:sz="4" w:space="0"/>
                  <w:bottom w:val="single" w:color="auto" w:sz="4" w:space="0"/>
                  <w:right w:val="single" w:color="auto" w:sz="4" w:space="0"/>
                </w:tcBorders>
              </w:tcPr>
              <w:p>
                <w:pPr>
                  <w:jc w:val="left"/>
                  <w:rPr>
                    <w:rFonts w:ascii="仿宋" w:hAnsi="仿宋" w:eastAsia="仿宋"/>
                    <w:szCs w:val="21"/>
                  </w:rPr>
                </w:pPr>
                <w:r>
                  <w:rPr>
                    <w:rFonts w:hint="eastAsia" w:ascii="仿宋" w:hAnsi="仿宋" w:eastAsia="仿宋"/>
                    <w:szCs w:val="21"/>
                  </w:rPr>
                  <w:t>根据投标人2019-2021年承揽相关或类似项目（已列入业绩表中）的数量和项目复杂程度等综合评定。</w:t>
                </w:r>
              </w:p>
              <w:p>
                <w:pPr>
                  <w:jc w:val="left"/>
                  <w:rPr>
                    <w:rFonts w:ascii="仿宋" w:hAnsi="仿宋" w:eastAsia="仿宋"/>
                    <w:szCs w:val="21"/>
                  </w:rPr>
                </w:pPr>
                <w:r>
                  <w:rPr>
                    <w:rFonts w:hint="eastAsia" w:ascii="仿宋" w:hAnsi="仿宋" w:eastAsia="仿宋"/>
                    <w:szCs w:val="21"/>
                  </w:rPr>
                  <w:t>1、投标人需承接过10项（含）以上辽宁省（能耗≥5000T标煤）节能评估项目，提供项目合同以及对应批复或成果；（每有1项目得1分，最高10分）；</w:t>
                </w:r>
              </w:p>
              <w:p>
                <w:pPr>
                  <w:jc w:val="left"/>
                  <w:rPr>
                    <w:rFonts w:ascii="仿宋" w:hAnsi="仿宋" w:eastAsia="仿宋"/>
                    <w:szCs w:val="21"/>
                  </w:rPr>
                </w:pPr>
                <w:r>
                  <w:rPr>
                    <w:rFonts w:hint="eastAsia" w:ascii="仿宋" w:hAnsi="仿宋" w:eastAsia="仿宋"/>
                    <w:szCs w:val="21"/>
                  </w:rPr>
                  <w:t>2、投标人需在辽宁省区域内服务过30家（含）以上企业的节能评估项目，提供合同以及对应项目批复或成果（每获得1项目得0.5分，最高15分）；</w:t>
                </w:r>
              </w:p>
              <w:p>
                <w:pPr>
                  <w:jc w:val="left"/>
                  <w:rPr>
                    <w:rFonts w:ascii="仿宋" w:hAnsi="仿宋" w:eastAsia="仿宋"/>
                    <w:szCs w:val="21"/>
                  </w:rPr>
                </w:pPr>
                <w:r>
                  <w:rPr>
                    <w:rFonts w:hint="eastAsia" w:ascii="仿宋" w:hAnsi="仿宋" w:eastAsia="仿宋"/>
                    <w:szCs w:val="21"/>
                  </w:rPr>
                  <w:t>3、投标人需服务过辽宁省地区政府管理部门主导的针对辖区内企业节能核查、评估业务、节能诊断、碳核查业务等，提供合同以及对应项目批复或成果（每获得1项目得1分，最高3分）；</w:t>
                </w:r>
              </w:p>
              <w:p>
                <w:pPr>
                  <w:jc w:val="left"/>
                  <w:rPr>
                    <w:rFonts w:ascii="仿宋" w:hAnsi="仿宋" w:eastAsia="仿宋"/>
                    <w:szCs w:val="21"/>
                  </w:rPr>
                </w:pPr>
                <w:r>
                  <w:rPr>
                    <w:rFonts w:hint="eastAsia" w:ascii="仿宋" w:hAnsi="仿宋" w:eastAsia="仿宋"/>
                    <w:szCs w:val="21"/>
                  </w:rPr>
                  <w:t>4、投标人需承接过区域节能评估项目，提供项目合同及对应成果；（每获得1项目得2分，最高2分）；</w:t>
                </w:r>
              </w:p>
              <w:p>
                <w:pPr>
                  <w:jc w:val="left"/>
                  <w:rPr>
                    <w:rFonts w:ascii="仿宋" w:hAnsi="仿宋" w:eastAsia="仿宋"/>
                    <w:szCs w:val="21"/>
                  </w:rPr>
                </w:pPr>
                <w:r>
                  <w:rPr>
                    <w:rFonts w:hint="eastAsia" w:ascii="仿宋" w:hAnsi="仿宋" w:eastAsia="仿宋"/>
                    <w:szCs w:val="21"/>
                  </w:rPr>
                  <w:t>（提供复印件加盖公章。如提供虚假业绩，按无效标处理。）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30</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工程建设项目节能评估评审业绩</w:t>
                </w:r>
              </w:p>
            </w:tc>
            <w:tc>
              <w:tcPr>
                <w:tcW w:w="264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投标人2019-2021年曾接受过县区级审批主管部门节能报告的评审委托每有1项得1分，曾接受过市级审批主管部门节能报告的评审委托每有1项得2分，接受过省级审批主管部门委托每有1项得3分，只提供县区级节能报告评审的最多得10分，提供节能报告评审中有市级但无省级的最多得20分，提供节能报告评审中有省级的最多得34分。</w:t>
                </w:r>
              </w:p>
              <w:p>
                <w:pPr>
                  <w:jc w:val="left"/>
                  <w:rPr>
                    <w:rFonts w:ascii="仿宋" w:hAnsi="仿宋" w:eastAsia="仿宋"/>
                    <w:szCs w:val="21"/>
                  </w:rPr>
                </w:pPr>
                <w:r>
                  <w:rPr>
                    <w:rFonts w:hint="eastAsia" w:ascii="仿宋" w:hAnsi="仿宋" w:eastAsia="仿宋"/>
                    <w:szCs w:val="21"/>
                  </w:rPr>
                  <w:t>（提供中标合同或经审批主管部门认定的评审意见或报告复印件加盖公章）</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34</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专业技术人员要求</w:t>
                </w:r>
              </w:p>
            </w:tc>
            <w:tc>
              <w:tcPr>
                <w:tcW w:w="264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投标人针对本项目的人员中具有相关专业的注册咨询工程师资格证书的，每有一个得2分，满分10分。</w:t>
                </w:r>
              </w:p>
              <w:p>
                <w:pPr>
                  <w:jc w:val="left"/>
                  <w:rPr>
                    <w:rFonts w:ascii="仿宋" w:hAnsi="仿宋" w:eastAsia="仿宋"/>
                    <w:szCs w:val="21"/>
                  </w:rPr>
                </w:pPr>
                <w:r>
                  <w:rPr>
                    <w:rFonts w:hint="eastAsia" w:ascii="仿宋" w:hAnsi="仿宋" w:eastAsia="仿宋"/>
                    <w:szCs w:val="21"/>
                  </w:rPr>
                  <w:t>投标人针对本项目的人员中具有高工职称的，每有一个得1分，满分5分。</w:t>
                </w:r>
              </w:p>
              <w:p>
                <w:pPr>
                  <w:jc w:val="left"/>
                  <w:rPr>
                    <w:rFonts w:ascii="仿宋" w:hAnsi="仿宋" w:eastAsia="仿宋"/>
                    <w:szCs w:val="21"/>
                  </w:rPr>
                </w:pPr>
                <w:r>
                  <w:rPr>
                    <w:rFonts w:hint="eastAsia" w:ascii="仿宋" w:hAnsi="仿宋" w:eastAsia="仿宋"/>
                    <w:szCs w:val="21"/>
                  </w:rPr>
                  <w:t>（提供职称证书或证明材料复印件加盖公章）</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15</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根据服务承诺书中的具体措施及办法是否切实有效、合理、可操作打分，0-2分。</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sdt>
              <w:sdtPr>
                <w:rPr>
                  <w:rFonts w:hint="eastAsia" w:ascii="仿宋" w:hAnsi="仿宋" w:eastAsia="仿宋"/>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100</w:t>
                </w:r>
              </w:p>
            </w:tc>
            <w:tc>
              <w:tcPr>
                <w:tcW w:w="6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numPr>
          <w:ilvl w:val="0"/>
          <w:numId w:val="3"/>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w:t>
            </w:r>
          </w:p>
          <w:p>
            <w:pPr>
              <w:jc w:val="center"/>
              <w:rPr>
                <w:rFonts w:ascii="仿宋" w:hAnsi="仿宋" w:eastAsia="仿宋" w:cs="仿宋_GB2312"/>
                <w:szCs w:val="21"/>
              </w:rPr>
            </w:pPr>
            <w:r>
              <w:rPr>
                <w:rFonts w:hint="eastAsia" w:ascii="仿宋" w:hAnsi="仿宋" w:eastAsia="仿宋" w:cs="仿宋_GB2312"/>
                <w:szCs w:val="21"/>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节能</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kern w:val="0"/>
                <w:szCs w:val="21"/>
                <w:u w:val="single"/>
              </w:rPr>
              <w:t>5</w:t>
            </w:r>
            <w:r>
              <w:rPr>
                <w:rFonts w:hint="eastAsia" w:ascii="仿宋" w:hAnsi="仿宋" w:eastAsia="仿宋" w:cs="仿宋_GB2312"/>
                <w:kern w:val="0"/>
                <w:szCs w:val="21"/>
              </w:rPr>
              <w:t>%</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节能产品加分＝（节能产品最后报价之和/最后报价总价）×价格部分总分值×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环保</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环保产品加分＝（环保产品最后报价之和/最后报标总价）×价格部分总分值×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ascii="仿宋_GB2312" w:hAnsi="仿宋_GB2312" w:eastAsia="仿宋_GB2312" w:cs="仿宋_GB2312"/>
          <w:szCs w:val="44"/>
        </w:rPr>
      </w:pPr>
      <w:r>
        <w:rPr>
          <w:rFonts w:ascii="仿宋_GB2312" w:hAnsi="仿宋_GB2312" w:eastAsia="仿宋_GB2312" w:cs="仿宋_GB2312"/>
          <w:szCs w:val="44"/>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4"/>
        </w:num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152" w:name="_Toc4485697"/>
      <w:bookmarkStart w:id="153" w:name="_Toc533340224"/>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ascii="仿宋_GB2312" w:hAnsi="仿宋_GB2312" w:eastAsia="仿宋_GB2312" w:cs="仿宋_GB2312"/>
          <w:szCs w:val="21"/>
          <w:u w:val="single"/>
        </w:rPr>
      </w:pPr>
    </w:p>
    <w:p>
      <w:pPr>
        <w:adjustRightInd w:val="0"/>
        <w:snapToGrid w:val="0"/>
        <w:spacing w:line="360" w:lineRule="auto"/>
        <w:rPr>
          <w:rFonts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A60DF"/>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91E18"/>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1DD1"/>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411"/>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BF38E0"/>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D65C0"/>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056A"/>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755CF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97E233E"/>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32259F"/>
    <w:rsid w:val="23B12896"/>
    <w:rsid w:val="23E034FA"/>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33482"/>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067F64"/>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D850D5"/>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AF0832"/>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7FD0EFE"/>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DF488C"/>
    <w:rsid w:val="71F60334"/>
    <w:rsid w:val="721F1D01"/>
    <w:rsid w:val="7341102A"/>
    <w:rsid w:val="73A17E6A"/>
    <w:rsid w:val="73E16D57"/>
    <w:rsid w:val="73EE58F8"/>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5D7423"/>
    <w:rsid w:val="7A98347A"/>
    <w:rsid w:val="7AA222D1"/>
    <w:rsid w:val="7B2C0F71"/>
    <w:rsid w:val="7B581CE6"/>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标题1"/>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修订1"/>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ADD696F87A4240BD8BE2F41861BF0EB4"/>
        <w:style w:val=""/>
        <w:category>
          <w:name w:val="常规"/>
          <w:gallery w:val="placeholder"/>
        </w:category>
        <w:types>
          <w:type w:val="bbPlcHdr"/>
        </w:types>
        <w:behaviors>
          <w:behavior w:val="content"/>
        </w:behaviors>
        <w:description w:val=""/>
        <w:guid w:val="{63B64EF4-8FEB-4573-B427-AA6A708FB63C}"/>
      </w:docPartPr>
      <w:docPartBody>
        <w:p>
          <w:pPr>
            <w:pStyle w:val="19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7D1626"/>
    <w:rsid w:val="008117B9"/>
    <w:rsid w:val="00B0172F"/>
    <w:rsid w:val="00E94EB3"/>
    <w:rsid w:val="00ED5727"/>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1A0557DD3384BBB85E4AA7C2B789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71</Pages>
  <Words>32219</Words>
  <Characters>34033</Characters>
  <Lines>766</Lines>
  <Paragraphs>1694</Paragraphs>
  <TotalTime>2</TotalTime>
  <ScaleCrop>false</ScaleCrop>
  <LinksUpToDate>false</LinksUpToDate>
  <CharactersWithSpaces>37228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Issey Miyake</cp:lastModifiedBy>
  <cp:lastPrinted>2019-03-29T08:49:00Z</cp:lastPrinted>
  <dcterms:modified xsi:type="dcterms:W3CDTF">2022-08-31T02:33:14Z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项目编号">
    <vt:lpwstr>YKSGZC2021050(2)</vt:lpwstr>
  </property>
  <property fmtid="{D5CDD505-2E9C-101B-9397-08002B2CF9AE}" pid="4" name="ICV">
    <vt:lpwstr>59C619AA6E8443768125C9DE6516B315</vt:lpwstr>
  </property>
</Properties>
</file>