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仿宋" w:hAnsi="仿宋" w:eastAsia="仿宋" w:cs="Lucida Sans Unicode"/>
          <w:sz w:val="32"/>
          <w:szCs w:val="32"/>
        </w:rPr>
      </w:pPr>
      <w:bookmarkStart w:id="223" w:name="_GoBack"/>
      <w:bookmarkEnd w:id="223"/>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480" w:lineRule="exact"/>
        <w:jc w:val="center"/>
        <w:rPr>
          <w:rFonts w:ascii="仿宋" w:hAnsi="仿宋" w:eastAsia="仿宋" w:cs="Lucida Sans Unicode"/>
          <w:sz w:val="32"/>
          <w:szCs w:val="32"/>
        </w:rPr>
      </w:pPr>
    </w:p>
    <w:p>
      <w:pPr>
        <w:spacing w:line="360" w:lineRule="auto"/>
        <w:ind w:firstLine="261" w:firstLineChars="50"/>
        <w:jc w:val="center"/>
        <w:rPr>
          <w:rFonts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货物类公开招标</w:t>
      </w:r>
    </w:p>
    <w:p>
      <w:pPr>
        <w:spacing w:line="360" w:lineRule="auto"/>
        <w:ind w:firstLine="120" w:firstLineChars="50"/>
        <w:jc w:val="center"/>
        <w:rPr>
          <w:rFonts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招标文件</w:t>
      </w: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480" w:lineRule="exact"/>
        <w:jc w:val="center"/>
        <w:rPr>
          <w:rFonts w:ascii="仿宋" w:hAnsi="仿宋" w:eastAsia="仿宋"/>
          <w:sz w:val="24"/>
        </w:rPr>
      </w:pPr>
    </w:p>
    <w:p>
      <w:pPr>
        <w:spacing w:line="640" w:lineRule="exact"/>
        <w:rPr>
          <w:rFonts w:ascii="仿宋" w:hAnsi="仿宋" w:eastAsia="仿宋"/>
          <w:b/>
          <w:sz w:val="36"/>
          <w:szCs w:val="36"/>
        </w:rPr>
      </w:pPr>
      <w:r>
        <w:rPr>
          <w:rFonts w:hint="eastAsia" w:ascii="仿宋" w:hAnsi="仿宋" w:eastAsia="仿宋"/>
          <w:b/>
          <w:sz w:val="36"/>
          <w:szCs w:val="36"/>
        </w:rPr>
        <w:t>　项目名称：</w:t>
      </w:r>
      <w:sdt>
        <w:sdtPr>
          <w:rPr>
            <w:rFonts w:hint="eastAsia" w:ascii="仿宋" w:hAnsi="仿宋" w:eastAsia="仿宋"/>
            <w:b/>
            <w:sz w:val="36"/>
            <w:szCs w:val="36"/>
          </w:rPr>
          <w:alias w:val="项目名称"/>
          <w:tag w:val="项目名称"/>
          <w:id w:val="-809018137"/>
          <w:lock w:val="sdtLocked"/>
          <w:placeholder>
            <w:docPart w:val="220F9B2839844278BC0CAA7884D70F94"/>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营口市教育局电脑采购项目 </w:t>
          </w:r>
        </w:sdtContent>
      </w:sdt>
    </w:p>
    <w:p>
      <w:pPr>
        <w:spacing w:line="640" w:lineRule="exact"/>
        <w:rPr>
          <w:rFonts w:ascii="仿宋" w:hAnsi="仿宋" w:eastAsia="仿宋"/>
          <w:b/>
          <w:sz w:val="36"/>
          <w:szCs w:val="36"/>
        </w:rPr>
      </w:pPr>
      <w:r>
        <w:rPr>
          <w:rFonts w:hint="eastAsia" w:ascii="仿宋" w:hAnsi="仿宋" w:eastAsia="仿宋"/>
          <w:b/>
          <w:sz w:val="36"/>
          <w:szCs w:val="36"/>
        </w:rPr>
        <w:t>　项目编号：</w:t>
      </w:r>
      <w:sdt>
        <w:sdtPr>
          <w:rPr>
            <w:rFonts w:hint="eastAsia" w:ascii="仿宋" w:hAnsi="仿宋" w:eastAsia="仿宋"/>
            <w:b/>
            <w:sz w:val="36"/>
            <w:szCs w:val="36"/>
          </w:rPr>
          <w:alias w:val="项目编号"/>
          <w:tag w:val="项目编号"/>
          <w:id w:val="-1782408436"/>
          <w:lock w:val="sdtLocked"/>
          <w:placeholder>
            <w:docPart w:val="6E30F6B0477D4BE09149CCFA15D64DEA"/>
          </w:placeholder>
        </w:sdtPr>
        <w:sdtEndPr>
          <w:rPr>
            <w:rFonts w:hint="eastAsia" w:ascii="仿宋" w:hAnsi="仿宋" w:eastAsia="仿宋"/>
            <w:b/>
            <w:sz w:val="36"/>
            <w:szCs w:val="36"/>
          </w:rPr>
        </w:sdtEndPr>
        <w:sdtContent>
          <w:r>
            <w:rPr>
              <w:rFonts w:hint="eastAsia" w:ascii="仿宋" w:hAnsi="仿宋" w:eastAsia="仿宋"/>
              <w:b/>
              <w:sz w:val="36"/>
              <w:szCs w:val="36"/>
            </w:rPr>
            <w:t xml:space="preserve">YKSGZC2021058(2) </w:t>
          </w:r>
        </w:sdtContent>
      </w:sdt>
    </w:p>
    <w:p>
      <w:pPr>
        <w:spacing w:line="640" w:lineRule="exact"/>
        <w:rPr>
          <w:rFonts w:ascii="仿宋" w:hAnsi="仿宋" w:eastAsia="仿宋"/>
          <w:b/>
          <w:sz w:val="36"/>
          <w:szCs w:val="36"/>
        </w:rPr>
      </w:pPr>
      <w:r>
        <w:rPr>
          <w:rFonts w:hint="eastAsia" w:ascii="仿宋" w:hAnsi="仿宋" w:eastAsia="仿宋"/>
          <w:b/>
          <w:sz w:val="36"/>
          <w:szCs w:val="36"/>
        </w:rPr>
        <w:t>　编制单位：</w:t>
      </w:r>
      <w:sdt>
        <w:sdtPr>
          <w:rPr>
            <w:rFonts w:hint="eastAsia" w:ascii="仿宋" w:hAnsi="仿宋" w:eastAsia="仿宋"/>
            <w:b/>
            <w:sz w:val="36"/>
            <w:szCs w:val="36"/>
          </w:rPr>
          <w:alias w:val="编制单位"/>
          <w:tag w:val="编制单位"/>
          <w:id w:val="1529067325"/>
          <w:lock w:val="sdtLocked"/>
          <w:placeholder>
            <w:docPart w:val="3F8103B55DD74FF8B47ED204A8F9F7B2"/>
          </w:placeholder>
        </w:sdtPr>
        <w:sdtEndPr>
          <w:rPr>
            <w:rFonts w:hint="eastAsia" w:ascii="仿宋" w:hAnsi="仿宋" w:eastAsia="仿宋"/>
            <w:b/>
            <w:sz w:val="36"/>
            <w:szCs w:val="36"/>
          </w:rPr>
        </w:sdtEndPr>
        <w:sdtContent>
          <w:r>
            <w:rPr>
              <w:rFonts w:hint="eastAsia" w:ascii="仿宋" w:hAnsi="仿宋" w:eastAsia="仿宋"/>
              <w:b/>
              <w:sz w:val="36"/>
              <w:szCs w:val="36"/>
            </w:rPr>
            <w:t xml:space="preserve">营口市审批技术审查与公共资源交易中心 </w:t>
          </w:r>
        </w:sdtContent>
      </w:sdt>
    </w:p>
    <w:p>
      <w:pPr>
        <w:widowControl/>
        <w:jc w:val="left"/>
        <w:rPr>
          <w:rFonts w:ascii="宋体" w:hAnsi="宋体"/>
          <w:b/>
          <w:sz w:val="84"/>
          <w:szCs w:val="84"/>
        </w:rPr>
      </w:pPr>
      <w:r>
        <w:rPr>
          <w:rFonts w:ascii="宋体" w:hAnsi="宋体"/>
          <w:b/>
          <w:sz w:val="84"/>
          <w:szCs w:val="84"/>
        </w:rPr>
        <w:br w:type="page"/>
      </w:r>
    </w:p>
    <w:p>
      <w:pPr>
        <w:jc w:val="center"/>
        <w:rPr>
          <w:rFonts w:ascii="仿宋" w:hAnsi="仿宋" w:eastAsia="仿宋"/>
          <w:b/>
          <w:color w:val="000000"/>
          <w:sz w:val="44"/>
          <w:szCs w:val="44"/>
        </w:rPr>
      </w:pPr>
      <w:r>
        <w:rPr>
          <w:rFonts w:hint="eastAsia" w:ascii="仿宋" w:hAnsi="仿宋" w:eastAsia="仿宋"/>
          <w:b/>
          <w:color w:val="000000"/>
          <w:sz w:val="44"/>
          <w:szCs w:val="44"/>
          <w:lang w:eastAsia="zh-CN"/>
        </w:rPr>
        <w:t>新冠肺炎</w:t>
      </w:r>
      <w:r>
        <w:rPr>
          <w:rFonts w:hint="eastAsia" w:ascii="仿宋" w:hAnsi="仿宋" w:eastAsia="仿宋"/>
          <w:b/>
          <w:color w:val="000000"/>
          <w:sz w:val="44"/>
          <w:szCs w:val="44"/>
        </w:rPr>
        <w:t>疫情防控期间开标注意事项</w:t>
      </w:r>
    </w:p>
    <w:p>
      <w:pPr>
        <w:jc w:val="center"/>
        <w:rPr>
          <w:b/>
          <w:color w:val="000000"/>
          <w:sz w:val="44"/>
          <w:szCs w:val="44"/>
        </w:rPr>
      </w:pPr>
    </w:p>
    <w:p>
      <w:pPr>
        <w:pStyle w:val="45"/>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1.参加现场开标活动的供应商须做好个人疫情防护措施，佩戴口罩，自觉接受体温检测，并配合中心工作人员的疫情防控工作。每家供应商参加开标活动人数不超过2人。</w:t>
      </w:r>
    </w:p>
    <w:p>
      <w:pPr>
        <w:pStyle w:val="45"/>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pPr>
        <w:pStyle w:val="45"/>
        <w:ind w:left="283" w:leftChars="135" w:firstLine="640"/>
        <w:rPr>
          <w:rFonts w:ascii="仿宋" w:hAnsi="仿宋" w:eastAsia="仿宋" w:cs="仿宋"/>
          <w:color w:val="000000"/>
          <w:sz w:val="32"/>
          <w:szCs w:val="32"/>
        </w:rPr>
      </w:pPr>
      <w:r>
        <w:rPr>
          <w:rFonts w:hint="eastAsia" w:ascii="仿宋" w:hAnsi="仿宋" w:eastAsia="仿宋" w:cs="仿宋"/>
          <w:color w:val="000000"/>
          <w:sz w:val="32"/>
          <w:szCs w:val="32"/>
        </w:rPr>
        <w:t>3.中、高风险地区（自行详查相关网站）人员禁止参加现场开标活动</w:t>
      </w:r>
      <w:r>
        <w:rPr>
          <w:rFonts w:hint="eastAsia" w:ascii="仿宋" w:hAnsi="仿宋" w:cs="仿宋"/>
          <w:color w:val="000000"/>
          <w:sz w:val="32"/>
          <w:szCs w:val="32"/>
        </w:rPr>
        <w:t>。</w:t>
      </w:r>
    </w:p>
    <w:p>
      <w:pPr>
        <w:rPr>
          <w:rFonts w:ascii="仿宋" w:hAnsi="仿宋" w:eastAsia="仿宋" w:cs="仿宋"/>
          <w:color w:val="000000"/>
          <w:sz w:val="32"/>
          <w:szCs w:val="32"/>
        </w:rPr>
      </w:pP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邮寄地址：辽宁省营口市西市区民生路28号</w:t>
      </w:r>
    </w:p>
    <w:p>
      <w:pPr>
        <w:ind w:left="283" w:leftChars="135"/>
        <w:rPr>
          <w:rFonts w:ascii="仿宋" w:hAnsi="仿宋" w:eastAsia="仿宋" w:cs="仿宋"/>
          <w:color w:val="000000"/>
          <w:sz w:val="32"/>
          <w:szCs w:val="32"/>
        </w:rPr>
      </w:pPr>
      <w:r>
        <w:rPr>
          <w:rFonts w:hint="eastAsia" w:ascii="仿宋" w:hAnsi="仿宋" w:eastAsia="仿宋" w:cs="仿宋"/>
          <w:color w:val="000000"/>
          <w:sz w:val="32"/>
          <w:szCs w:val="32"/>
        </w:rPr>
        <w:t>（营口市审批技术审查与公共资源交易中心 政府采购科）</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 系 人：马先生</w:t>
      </w:r>
    </w:p>
    <w:p>
      <w:pPr>
        <w:ind w:firstLine="320" w:firstLineChars="100"/>
        <w:rPr>
          <w:rFonts w:ascii="仿宋" w:hAnsi="仿宋" w:eastAsia="仿宋" w:cs="仿宋"/>
          <w:color w:val="000000"/>
          <w:sz w:val="32"/>
          <w:szCs w:val="32"/>
        </w:rPr>
      </w:pPr>
      <w:r>
        <w:rPr>
          <w:rFonts w:hint="eastAsia" w:ascii="仿宋" w:hAnsi="仿宋" w:eastAsia="仿宋" w:cs="仿宋"/>
          <w:color w:val="000000"/>
          <w:sz w:val="32"/>
          <w:szCs w:val="32"/>
        </w:rPr>
        <w:t>联系电话：0417-2972507   18641750011</w:t>
      </w:r>
    </w:p>
    <w:p>
      <w:pPr>
        <w:rPr>
          <w:rFonts w:ascii="仿宋" w:hAnsi="仿宋" w:eastAsia="仿宋"/>
          <w:b/>
          <w:sz w:val="72"/>
          <w:szCs w:val="72"/>
        </w:rPr>
      </w:pPr>
      <w:r>
        <w:rPr>
          <w:rFonts w:hint="eastAsia" w:ascii="仿宋" w:hAnsi="仿宋" w:eastAsia="仿宋"/>
          <w:b/>
          <w:sz w:val="72"/>
          <w:szCs w:val="72"/>
        </w:rPr>
        <w:br w:type="page"/>
      </w:r>
    </w:p>
    <w:p>
      <w:pPr>
        <w:jc w:val="center"/>
        <w:rPr>
          <w:rFonts w:ascii="仿宋" w:hAnsi="仿宋" w:eastAsia="仿宋"/>
          <w:b/>
          <w:sz w:val="72"/>
          <w:szCs w:val="72"/>
        </w:rPr>
      </w:pPr>
      <w:r>
        <w:rPr>
          <w:rFonts w:hint="eastAsia" w:ascii="仿宋" w:hAnsi="仿宋" w:eastAsia="仿宋"/>
          <w:b/>
          <w:sz w:val="72"/>
          <w:szCs w:val="72"/>
        </w:rPr>
        <w:t>本次政府采购</w:t>
      </w:r>
    </w:p>
    <w:p>
      <w:pPr>
        <w:jc w:val="center"/>
        <w:rPr>
          <w:rFonts w:ascii="仿宋" w:hAnsi="仿宋" w:eastAsia="仿宋"/>
          <w:b/>
          <w:sz w:val="72"/>
          <w:szCs w:val="72"/>
        </w:rPr>
      </w:pPr>
      <w:r>
        <w:rPr>
          <w:rFonts w:hint="eastAsia" w:ascii="仿宋" w:hAnsi="仿宋" w:eastAsia="仿宋"/>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ascii="仿宋" w:hAnsi="仿宋" w:eastAsia="仿宋"/>
          <w:sz w:val="44"/>
          <w:szCs w:val="44"/>
        </w:rPr>
      </w:pPr>
      <w:r>
        <w:rPr>
          <w:rFonts w:hint="eastAsia" w:ascii="仿宋" w:hAnsi="仿宋" w:eastAsia="仿宋"/>
          <w:bCs/>
          <w:sz w:val="44"/>
          <w:szCs w:val="44"/>
        </w:rPr>
        <w:t>递交投标文件时必</w:t>
      </w:r>
      <w:r>
        <w:rPr>
          <w:rFonts w:hint="eastAsia" w:ascii="仿宋" w:hAnsi="仿宋" w:eastAsia="仿宋"/>
          <w:sz w:val="44"/>
          <w:szCs w:val="44"/>
        </w:rPr>
        <w:t>须手持的有效证件：</w:t>
      </w:r>
    </w:p>
    <w:sdt>
      <w:sdtPr>
        <w:rPr>
          <w:rFonts w:hint="eastAsia"/>
        </w:rPr>
        <w:alias w:val="手持文件内容"/>
        <w:tag w:val="shouchiwenjian"/>
        <w:id w:val="-241642685"/>
        <w:lock w:val="sdtLocked"/>
      </w:sdtPr>
      <w:sdtEndPr>
        <w:rPr>
          <w:rFonts w:hint="eastAsia"/>
        </w:rPr>
      </w:sdtEndPr>
      <w:sdtContent>
        <w:p>
          <w:pPr>
            <w:rPr>
              <w:sz w:val="32"/>
              <w:szCs w:val="32"/>
            </w:rPr>
          </w:pPr>
        </w:p>
        <w:p>
          <w:pPr>
            <w:rPr>
              <w:sz w:val="32"/>
              <w:szCs w:val="32"/>
            </w:rPr>
          </w:pPr>
          <w:r>
            <w:rPr>
              <w:rFonts w:hint="eastAsia"/>
              <w:sz w:val="32"/>
              <w:szCs w:val="32"/>
            </w:rPr>
            <w:t>一、营业执照复印件；</w:t>
          </w:r>
        </w:p>
        <w:p>
          <w:pPr>
            <w:rPr>
              <w:sz w:val="32"/>
              <w:szCs w:val="32"/>
            </w:rPr>
          </w:pPr>
          <w:r>
            <w:rPr>
              <w:rFonts w:hint="eastAsia"/>
              <w:sz w:val="32"/>
              <w:szCs w:val="32"/>
            </w:rPr>
            <w:t>二、法定代表人或授权代表本人身份证原件；</w:t>
          </w:r>
        </w:p>
        <w:p>
          <w:pPr>
            <w:rPr>
              <w:sz w:val="32"/>
              <w:szCs w:val="32"/>
            </w:rPr>
          </w:pPr>
          <w:r>
            <w:rPr>
              <w:rFonts w:hint="eastAsia"/>
              <w:sz w:val="32"/>
              <w:szCs w:val="32"/>
            </w:rPr>
            <w:t>三、法定代表人身份证明书或法定代表人授权委托书原件；</w:t>
          </w:r>
        </w:p>
        <w:p>
          <w:pPr>
            <w:rPr>
              <w:rFonts w:ascii="宋体" w:hAnsi="宋体"/>
            </w:rPr>
          </w:pPr>
        </w:p>
      </w:sdtContent>
    </w:sdt>
    <w:p>
      <w:pPr>
        <w:spacing w:line="500" w:lineRule="exact"/>
        <w:rPr>
          <w:rFonts w:ascii="宋体" w:hAnsi="宋体"/>
          <w:bCs/>
          <w:sz w:val="44"/>
          <w:szCs w:val="44"/>
        </w:rPr>
      </w:pPr>
    </w:p>
    <w:p>
      <w:pPr>
        <w:spacing w:line="500" w:lineRule="exact"/>
        <w:ind w:firstLine="880" w:firstLineChars="200"/>
        <w:rPr>
          <w:rFonts w:ascii="仿宋" w:hAnsi="仿宋" w:eastAsia="仿宋"/>
          <w:bCs/>
          <w:sz w:val="44"/>
          <w:szCs w:val="44"/>
        </w:rPr>
      </w:pPr>
      <w:r>
        <w:rPr>
          <w:rFonts w:hint="eastAsia" w:ascii="仿宋" w:hAnsi="仿宋" w:eastAsia="仿宋"/>
          <w:bCs/>
          <w:sz w:val="44"/>
          <w:szCs w:val="44"/>
        </w:rPr>
        <w:t>未递交上述证件将</w:t>
      </w:r>
      <w:r>
        <w:rPr>
          <w:rFonts w:hint="eastAsia" w:ascii="仿宋" w:hAnsi="仿宋" w:eastAsia="仿宋"/>
          <w:b/>
          <w:bCs/>
          <w:sz w:val="44"/>
          <w:szCs w:val="44"/>
        </w:rPr>
        <w:t>不允许</w:t>
      </w:r>
      <w:r>
        <w:rPr>
          <w:rFonts w:hint="eastAsia" w:ascii="仿宋" w:hAnsi="仿宋" w:eastAsia="仿宋"/>
          <w:bCs/>
          <w:sz w:val="44"/>
          <w:szCs w:val="44"/>
        </w:rPr>
        <w:t>参加本次采购项目投标</w:t>
      </w:r>
    </w:p>
    <w:p>
      <w:pPr>
        <w:widowControl/>
        <w:jc w:val="left"/>
        <w:rPr>
          <w:rFonts w:ascii="宋体" w:hAnsi="宋体"/>
          <w:b/>
          <w:bCs/>
          <w:sz w:val="44"/>
          <w:szCs w:val="44"/>
        </w:rPr>
      </w:pPr>
      <w:r>
        <w:rPr>
          <w:rFonts w:ascii="宋体" w:hAnsi="宋体"/>
          <w:b/>
          <w:bCs/>
          <w:sz w:val="44"/>
          <w:szCs w:val="44"/>
        </w:rPr>
        <w:br w:type="page"/>
      </w:r>
    </w:p>
    <w:p>
      <w:pPr>
        <w:spacing w:line="500" w:lineRule="exact"/>
        <w:jc w:val="center"/>
        <w:rPr>
          <w:rFonts w:ascii="仿宋" w:hAnsi="仿宋" w:eastAsia="仿宋"/>
          <w:b/>
          <w:bCs/>
          <w:sz w:val="48"/>
          <w:szCs w:val="48"/>
        </w:rPr>
      </w:pPr>
      <w:r>
        <w:rPr>
          <w:rFonts w:hint="eastAsia" w:ascii="仿宋" w:hAnsi="仿宋" w:eastAsia="仿宋"/>
          <w:b/>
          <w:bCs/>
          <w:sz w:val="48"/>
          <w:szCs w:val="48"/>
        </w:rPr>
        <w:t>目  录</w:t>
      </w:r>
    </w:p>
    <w:p>
      <w:pPr>
        <w:spacing w:line="500" w:lineRule="exact"/>
        <w:rPr>
          <w:rFonts w:ascii="仿宋" w:hAnsi="仿宋" w:eastAsia="仿宋"/>
          <w:b/>
          <w:bCs/>
          <w:sz w:val="44"/>
          <w:szCs w:val="44"/>
        </w:rPr>
      </w:pPr>
    </w:p>
    <w:p>
      <w:pPr>
        <w:spacing w:line="600" w:lineRule="auto"/>
        <w:rPr>
          <w:rFonts w:ascii="仿宋" w:hAnsi="仿宋" w:eastAsia="仿宋"/>
          <w:b/>
          <w:bCs/>
          <w:sz w:val="36"/>
          <w:szCs w:val="36"/>
        </w:rPr>
      </w:pPr>
      <w:r>
        <w:rPr>
          <w:rFonts w:hint="eastAsia" w:ascii="仿宋" w:hAnsi="仿宋" w:eastAsia="仿宋"/>
          <w:b/>
          <w:bCs/>
          <w:sz w:val="36"/>
          <w:szCs w:val="36"/>
        </w:rPr>
        <w:t>招标公告</w:t>
      </w:r>
    </w:p>
    <w:p>
      <w:pPr>
        <w:spacing w:line="600" w:lineRule="auto"/>
        <w:rPr>
          <w:rFonts w:ascii="仿宋" w:hAnsi="仿宋" w:eastAsia="仿宋"/>
          <w:b/>
          <w:bCs/>
          <w:sz w:val="36"/>
          <w:szCs w:val="36"/>
        </w:rPr>
      </w:pPr>
      <w:r>
        <w:rPr>
          <w:rFonts w:hint="eastAsia" w:ascii="仿宋" w:hAnsi="仿宋" w:eastAsia="仿宋"/>
          <w:b/>
          <w:bCs/>
          <w:sz w:val="36"/>
          <w:szCs w:val="36"/>
        </w:rPr>
        <w:t>第一章 投标人须知</w:t>
      </w:r>
    </w:p>
    <w:p>
      <w:pPr>
        <w:spacing w:line="600" w:lineRule="auto"/>
        <w:rPr>
          <w:rFonts w:ascii="仿宋" w:hAnsi="仿宋" w:eastAsia="仿宋"/>
          <w:b/>
          <w:bCs/>
          <w:sz w:val="36"/>
          <w:szCs w:val="36"/>
        </w:rPr>
      </w:pPr>
      <w:r>
        <w:rPr>
          <w:rFonts w:hint="eastAsia" w:ascii="仿宋" w:hAnsi="仿宋" w:eastAsia="仿宋"/>
          <w:b/>
          <w:bCs/>
          <w:sz w:val="36"/>
          <w:szCs w:val="36"/>
        </w:rPr>
        <w:t>第二章 投标文件内容及格式</w:t>
      </w:r>
    </w:p>
    <w:p>
      <w:pPr>
        <w:spacing w:line="600" w:lineRule="auto"/>
        <w:rPr>
          <w:rFonts w:ascii="仿宋" w:hAnsi="仿宋" w:eastAsia="仿宋"/>
          <w:b/>
          <w:bCs/>
          <w:sz w:val="36"/>
          <w:szCs w:val="36"/>
        </w:rPr>
      </w:pPr>
      <w:r>
        <w:rPr>
          <w:rFonts w:hint="eastAsia" w:ascii="仿宋" w:hAnsi="仿宋" w:eastAsia="仿宋"/>
          <w:b/>
          <w:bCs/>
          <w:sz w:val="36"/>
          <w:szCs w:val="36"/>
        </w:rPr>
        <w:t>第三章 货物需求</w:t>
      </w:r>
    </w:p>
    <w:p>
      <w:pPr>
        <w:spacing w:line="600" w:lineRule="auto"/>
        <w:rPr>
          <w:rFonts w:ascii="仿宋" w:hAnsi="仿宋" w:eastAsia="仿宋"/>
          <w:b/>
          <w:bCs/>
          <w:sz w:val="36"/>
          <w:szCs w:val="36"/>
        </w:rPr>
      </w:pPr>
      <w:r>
        <w:rPr>
          <w:rFonts w:hint="eastAsia" w:ascii="仿宋" w:hAnsi="仿宋" w:eastAsia="仿宋"/>
          <w:b/>
          <w:bCs/>
          <w:sz w:val="36"/>
          <w:szCs w:val="36"/>
        </w:rPr>
        <w:t>第四章 评标方法</w:t>
      </w:r>
      <w:r>
        <w:rPr>
          <w:rFonts w:hint="eastAsia" w:ascii="仿宋" w:hAnsi="仿宋" w:eastAsia="仿宋"/>
          <w:b/>
          <w:bCs/>
          <w:sz w:val="36"/>
          <w:szCs w:val="36"/>
        </w:rPr>
        <w:tab/>
      </w:r>
    </w:p>
    <w:p>
      <w:pPr>
        <w:spacing w:line="600" w:lineRule="auto"/>
        <w:rPr>
          <w:rFonts w:ascii="仿宋" w:hAnsi="仿宋" w:eastAsia="仿宋"/>
          <w:b/>
          <w:bCs/>
          <w:sz w:val="36"/>
          <w:szCs w:val="36"/>
        </w:rPr>
      </w:pPr>
      <w:r>
        <w:rPr>
          <w:rFonts w:hint="eastAsia" w:ascii="仿宋" w:hAnsi="仿宋" w:eastAsia="仿宋"/>
          <w:b/>
          <w:bCs/>
          <w:sz w:val="36"/>
          <w:szCs w:val="36"/>
        </w:rPr>
        <w:t>第五章 政府采购合同条款及格式</w:t>
      </w:r>
    </w:p>
    <w:p>
      <w:pPr>
        <w:spacing w:line="600" w:lineRule="auto"/>
        <w:rPr>
          <w:rFonts w:ascii="仿宋" w:hAnsi="仿宋" w:eastAsia="仿宋"/>
          <w:b/>
          <w:bCs/>
          <w:sz w:val="36"/>
          <w:szCs w:val="36"/>
        </w:rPr>
      </w:pPr>
    </w:p>
    <w:p>
      <w:pPr>
        <w:widowControl/>
        <w:jc w:val="left"/>
        <w:rPr>
          <w:rFonts w:ascii="仿宋" w:hAnsi="仿宋" w:eastAsia="仿宋"/>
          <w:b/>
          <w:bCs/>
          <w:sz w:val="36"/>
          <w:szCs w:val="36"/>
        </w:rPr>
      </w:pPr>
      <w:r>
        <w:rPr>
          <w:rFonts w:ascii="仿宋" w:hAnsi="仿宋" w:eastAsia="仿宋"/>
          <w:b/>
          <w:bCs/>
          <w:sz w:val="36"/>
          <w:szCs w:val="36"/>
        </w:rPr>
        <w:br w:type="page"/>
      </w:r>
    </w:p>
    <w:p>
      <w:pPr>
        <w:pStyle w:val="2"/>
        <w:snapToGrid w:val="0"/>
        <w:spacing w:before="312" w:beforeLines="100" w:after="312" w:afterLines="100" w:line="360" w:lineRule="auto"/>
        <w:jc w:val="center"/>
        <w:rPr>
          <w:rFonts w:ascii="仿宋" w:hAnsi="仿宋" w:eastAsia="仿宋"/>
          <w:szCs w:val="21"/>
        </w:rPr>
      </w:pPr>
      <w:bookmarkStart w:id="0" w:name="_Toc35393789"/>
      <w:bookmarkStart w:id="1" w:name="_Toc28359001"/>
      <w:sdt>
        <w:sdtPr>
          <w:rPr>
            <w:rFonts w:hint="eastAsia" w:ascii="仿宋" w:hAnsi="仿宋" w:eastAsia="仿宋"/>
            <w:szCs w:val="21"/>
          </w:rPr>
          <w:alias w:val="项目名称"/>
          <w:tag w:val="项目名称"/>
          <w:id w:val="-1962331922"/>
          <w:placeholder>
            <w:docPart w:val="78519DA9DE774588A2C10CD84F9B4B38"/>
          </w:placeholder>
        </w:sdtPr>
        <w:sdtEndPr>
          <w:rPr>
            <w:rFonts w:hint="eastAsia" w:ascii="仿宋" w:hAnsi="仿宋" w:eastAsia="仿宋"/>
            <w:szCs w:val="21"/>
          </w:rPr>
        </w:sdtEndPr>
        <w:sdtContent>
          <w:r>
            <w:rPr>
              <w:rFonts w:hint="eastAsia" w:ascii="仿宋" w:hAnsi="仿宋" w:eastAsia="仿宋"/>
              <w:szCs w:val="21"/>
            </w:rPr>
            <w:t>营口市教育局电脑采购项目</w:t>
          </w:r>
        </w:sdtContent>
      </w:sdt>
    </w:p>
    <w:p>
      <w:pPr>
        <w:pStyle w:val="2"/>
        <w:snapToGrid w:val="0"/>
        <w:spacing w:before="312" w:beforeLines="100" w:after="312" w:afterLines="100" w:line="360" w:lineRule="auto"/>
        <w:jc w:val="center"/>
        <w:rPr>
          <w:rFonts w:eastAsia="华文中宋"/>
          <w:bCs w:val="0"/>
        </w:rPr>
      </w:pPr>
      <w:r>
        <w:rPr>
          <w:rFonts w:hint="eastAsia" w:ascii="仿宋_GB2312" w:hAnsi="仿宋_GB2312" w:eastAsia="仿宋_GB2312" w:cs="仿宋_GB2312"/>
        </w:rPr>
        <w:t>招标公告</w:t>
      </w:r>
      <w:bookmarkEnd w:id="0"/>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3937DDF6754E4DC8949BA1C07EC12235"/>
          </w:placeholder>
        </w:sdtPr>
        <w:sdtEndPr>
          <w:rPr>
            <w:rFonts w:hint="eastAsia" w:ascii="仿宋" w:hAnsi="仿宋" w:eastAsia="仿宋"/>
            <w:szCs w:val="21"/>
          </w:rPr>
        </w:sdtEndPr>
        <w:sdtContent>
          <w:r>
            <w:rPr>
              <w:rFonts w:hint="eastAsia" w:ascii="仿宋" w:hAnsi="仿宋" w:eastAsia="仿宋"/>
              <w:szCs w:val="21"/>
            </w:rPr>
            <w:t>营口市教育局电脑采购项目</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3503F4FB70634506BCEB449FFDF779C9"/>
          </w:placeholder>
        </w:sdtPr>
        <w:sdtEndPr>
          <w:rPr>
            <w:rFonts w:hint="eastAsia" w:ascii="仿宋" w:hAnsi="仿宋" w:eastAsia="仿宋"/>
            <w:szCs w:val="21"/>
          </w:rPr>
        </w:sdtEndPr>
        <w:sdtContent>
          <w:r>
            <w:rPr>
              <w:rFonts w:hint="eastAsia" w:ascii="仿宋" w:hAnsi="仿宋" w:eastAsia="仿宋"/>
              <w:szCs w:val="21"/>
            </w:rPr>
            <w:t>YKSGZC2021058(2)</w:t>
          </w:r>
        </w:sdtContent>
      </w:sdt>
      <w:r>
        <w:rPr>
          <w:rFonts w:hint="eastAsia" w:ascii="仿宋" w:hAnsi="仿宋" w:eastAsia="仿宋"/>
          <w:szCs w:val="21"/>
        </w:rPr>
        <w:t>）招标项目的潜在供应商应在营口市审批技术审查与公共资源交易平台获取招标文件，并于</w:t>
      </w:r>
      <w:sdt>
        <w:sdtPr>
          <w:rPr>
            <w:rFonts w:hint="eastAsia" w:ascii="仿宋" w:hAnsi="仿宋" w:eastAsia="仿宋"/>
            <w:szCs w:val="21"/>
          </w:rPr>
          <w:alias w:val="开标时间"/>
          <w:tag w:val="开标时间"/>
          <w:id w:val="1899012286"/>
          <w:placeholder>
            <w:docPart w:val="4D843EE7A246474EBC7475302E4761A8"/>
          </w:placeholder>
        </w:sdtPr>
        <w:sdtEndPr>
          <w:rPr>
            <w:rFonts w:hint="eastAsia" w:ascii="仿宋" w:hAnsi="仿宋" w:eastAsia="仿宋"/>
            <w:szCs w:val="21"/>
          </w:rPr>
        </w:sdtEndPr>
        <w:sdtContent>
          <w:r>
            <w:rPr>
              <w:rFonts w:hint="eastAsia" w:ascii="仿宋" w:hAnsi="仿宋" w:eastAsia="仿宋"/>
              <w:szCs w:val="21"/>
            </w:rPr>
            <w:t>2021/11/22 9:30:00</w:t>
          </w:r>
        </w:sdtContent>
      </w:sdt>
      <w:r>
        <w:rPr>
          <w:rFonts w:hint="eastAsia" w:ascii="仿宋" w:hAnsi="仿宋" w:eastAsia="仿宋"/>
          <w:bCs/>
          <w:szCs w:val="21"/>
        </w:rPr>
        <w:t>（北京时间）前递交投标</w:t>
      </w:r>
      <w:r>
        <w:rPr>
          <w:rFonts w:ascii="仿宋" w:hAnsi="仿宋" w:eastAsia="仿宋"/>
          <w:bCs/>
          <w:szCs w:val="21"/>
        </w:rPr>
        <w:t>文件</w:t>
      </w:r>
      <w:r>
        <w:rPr>
          <w:rFonts w:hint="eastAsia" w:ascii="仿宋" w:hAnsi="仿宋" w:eastAsia="仿宋"/>
          <w:szCs w:val="21"/>
        </w:rPr>
        <w:t>。</w:t>
      </w:r>
    </w:p>
    <w:p>
      <w:pPr>
        <w:spacing w:line="360"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2" w:name="_Toc28359002"/>
      <w:bookmarkStart w:id="3" w:name="_Toc28359079"/>
      <w:bookmarkStart w:id="4" w:name="_Toc35393790"/>
      <w:bookmarkStart w:id="5" w:name="_Toc35393621"/>
      <w:bookmarkStart w:id="6" w:name="_Hlk24379207"/>
      <w:r>
        <w:rPr>
          <w:rFonts w:hint="eastAsia" w:ascii="仿宋" w:hAnsi="仿宋" w:eastAsia="仿宋" w:cs="宋体"/>
          <w:bCs/>
          <w:szCs w:val="21"/>
        </w:rPr>
        <w:t>一、项目基本情况</w:t>
      </w:r>
      <w:bookmarkEnd w:id="2"/>
      <w:bookmarkEnd w:id="3"/>
      <w:bookmarkEnd w:id="4"/>
      <w:bookmarkEnd w:id="5"/>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8F148327C99140CDB330408E23A15744"/>
          </w:placeholder>
        </w:sdtPr>
        <w:sdtEndPr>
          <w:rPr>
            <w:rFonts w:hint="eastAsia" w:ascii="仿宋" w:hAnsi="仿宋" w:eastAsia="仿宋"/>
            <w:szCs w:val="21"/>
          </w:rPr>
        </w:sdtEndPr>
        <w:sdtContent>
          <w:r>
            <w:rPr>
              <w:rFonts w:hint="eastAsia" w:ascii="仿宋" w:hAnsi="仿宋" w:eastAsia="仿宋"/>
              <w:szCs w:val="21"/>
            </w:rPr>
            <w:t>YKSGZC2021058(2)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B35C797DD53C41DF804608D4D289AA66"/>
          </w:placeholder>
        </w:sdtPr>
        <w:sdtEndPr>
          <w:rPr>
            <w:rFonts w:hint="eastAsia" w:ascii="仿宋" w:hAnsi="仿宋" w:eastAsia="仿宋"/>
            <w:szCs w:val="21"/>
          </w:rPr>
        </w:sdtEndPr>
        <w:sdtContent>
          <w:r>
            <w:rPr>
              <w:rFonts w:hint="eastAsia" w:ascii="仿宋" w:hAnsi="仿宋" w:eastAsia="仿宋"/>
              <w:szCs w:val="21"/>
            </w:rPr>
            <w:t>营口市教育局电脑采购项目</w:t>
          </w:r>
        </w:sdtContent>
      </w:sdt>
    </w:p>
    <w:bookmarkEnd w:id="6"/>
    <w:p>
      <w:pPr>
        <w:ind w:firstLine="420" w:firstLineChars="200"/>
        <w:rPr>
          <w:rFonts w:ascii="仿宋" w:hAnsi="仿宋" w:eastAsia="仿宋"/>
          <w:szCs w:val="21"/>
        </w:rPr>
      </w:pPr>
      <w:r>
        <w:rPr>
          <w:rFonts w:hint="eastAsia" w:ascii="仿宋" w:hAnsi="仿宋" w:eastAsia="仿宋"/>
          <w:szCs w:val="21"/>
        </w:rPr>
        <w:t>采购方式：公开招标</w:t>
      </w:r>
    </w:p>
    <w:p>
      <w:pPr>
        <w:spacing w:line="276" w:lineRule="auto"/>
        <w:ind w:firstLine="420" w:firstLineChars="200"/>
        <w:rPr>
          <w:rFonts w:ascii="仿宋" w:hAnsi="仿宋" w:eastAsia="仿宋"/>
          <w:szCs w:val="21"/>
        </w:rPr>
      </w:pPr>
      <w:r>
        <w:rPr>
          <w:rFonts w:hint="eastAsia" w:ascii="仿宋" w:hAnsi="仿宋" w:eastAsia="仿宋"/>
          <w:szCs w:val="21"/>
        </w:rPr>
        <w:t>预算金额：8,000,000.00元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9"/>
            <w:tblW w:w="9056" w:type="dxa"/>
            <w:jc w:val="center"/>
            <w:tblInd w:w="0" w:type="dxa"/>
            <w:tblLayout w:type="fixed"/>
            <w:tblCellMar>
              <w:top w:w="0" w:type="dxa"/>
              <w:left w:w="108" w:type="dxa"/>
              <w:bottom w:w="0" w:type="dxa"/>
              <w:right w:w="108" w:type="dxa"/>
            </w:tblCellMar>
          </w:tblPr>
          <w:tblGrid>
            <w:gridCol w:w="786"/>
            <w:gridCol w:w="2410"/>
            <w:gridCol w:w="1134"/>
            <w:gridCol w:w="1276"/>
            <w:gridCol w:w="1701"/>
            <w:gridCol w:w="1749"/>
          </w:tblGrid>
          <w:tr>
            <w:tblPrEx>
              <w:tblLayout w:type="fixed"/>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fldChar w:fldCharType="begin"/>
                </w:r>
                <w:r>
                  <w:rPr>
                    <w:rFonts w:hint="eastAsia" w:ascii="仿宋" w:hAnsi="仿宋" w:eastAsia="仿宋"/>
                    <w:b w:val="0"/>
                    <w:bCs w:val="0"/>
                    <w:kern w:val="2"/>
                    <w:sz w:val="21"/>
                    <w:szCs w:val="21"/>
                  </w:rPr>
                  <w:instrText xml:space="preserve"> DOCPROPERTY  包详细信息  \* MERGEFORMAT </w:instrText>
                </w:r>
                <w:r>
                  <w:rPr>
                    <w:rFonts w:hint="eastAsia" w:ascii="仿宋" w:hAnsi="仿宋" w:eastAsia="仿宋"/>
                    <w:b w:val="0"/>
                    <w:bCs w:val="0"/>
                    <w:kern w:val="2"/>
                    <w:sz w:val="21"/>
                    <w:szCs w:val="21"/>
                  </w:rPr>
                  <w:fldChar w:fldCharType="separate"/>
                </w:r>
                <w:r>
                  <w:rPr>
                    <w:rFonts w:hint="eastAsia" w:ascii="仿宋" w:hAnsi="仿宋" w:eastAsia="仿宋"/>
                    <w:b w:val="0"/>
                    <w:bCs w:val="0"/>
                    <w:kern w:val="2"/>
                    <w:sz w:val="21"/>
                    <w:szCs w:val="21"/>
                  </w:rPr>
                  <w:t>包号</w:t>
                </w:r>
                <w:r>
                  <w:rPr>
                    <w:rFonts w:hint="eastAsia" w:ascii="仿宋" w:hAnsi="仿宋" w:eastAsia="仿宋"/>
                    <w:b w:val="0"/>
                    <w:bCs w:val="0"/>
                    <w:kern w:val="2"/>
                    <w:sz w:val="21"/>
                    <w:szCs w:val="21"/>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价格打分方法</w:t>
                </w:r>
              </w:p>
            </w:tc>
          </w:tr>
          <w:tr>
            <w:tblPrEx>
              <w:tblLayout w:type="fixed"/>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left"/>
                  <w:rPr>
                    <w:rFonts w:ascii="仿宋" w:hAnsi="仿宋" w:eastAsia="仿宋"/>
                    <w:b w:val="0"/>
                    <w:bCs w:val="0"/>
                    <w:kern w:val="2"/>
                    <w:sz w:val="21"/>
                    <w:szCs w:val="21"/>
                  </w:rPr>
                </w:pPr>
                <w:r>
                  <w:rPr>
                    <w:rFonts w:hint="eastAsia" w:ascii="仿宋" w:hAnsi="仿宋" w:eastAsia="仿宋"/>
                    <w:b w:val="0"/>
                    <w:bCs w:val="0"/>
                    <w:kern w:val="2"/>
                    <w:sz w:val="21"/>
                    <w:szCs w:val="21"/>
                  </w:rPr>
                  <w:t>营口市教育局电脑采购项目</w:t>
                </w:r>
              </w:p>
            </w:tc>
            <w:tc>
              <w:tcPr>
                <w:tcW w:w="1134"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8000000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80000</w:t>
                </w:r>
              </w:p>
            </w:tc>
            <w:sdt>
              <w:sdtPr>
                <w:rPr>
                  <w:rFonts w:hint="eastAsia" w:ascii="仿宋" w:hAnsi="仿宋" w:eastAsia="仿宋"/>
                  <w:b w:val="0"/>
                  <w:bCs w:val="0"/>
                  <w:kern w:val="2"/>
                  <w:sz w:val="21"/>
                  <w:szCs w:val="21"/>
                </w:rPr>
                <w:alias w:val="评标方法"/>
                <w:tag w:val="评标方法"/>
                <w:id w:val="692112583"/>
                <w:comboBox>
                  <w:listItem w:displayText="无" w:value="2"/>
                  <w:listItem w:displayText="综合评分法" w:value="1"/>
                  <w:listItem w:displayText="最低评标价法" w:value="3"/>
                </w:comboBox>
              </w:sdtPr>
              <w:sdtEndPr>
                <w:rPr>
                  <w:rFonts w:hint="eastAsia" w:ascii="仿宋" w:hAnsi="仿宋" w:eastAsia="仿宋"/>
                  <w:b w:val="0"/>
                  <w:bCs w:val="0"/>
                  <w:kern w:val="2"/>
                  <w:sz w:val="21"/>
                  <w:szCs w:val="21"/>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综合评分法</w:t>
                    </w:r>
                  </w:p>
                </w:tc>
              </w:sdtContent>
            </w:sdt>
            <w:sdt>
              <w:sdtPr>
                <w:rPr>
                  <w:rFonts w:hint="eastAsia" w:ascii="仿宋" w:hAnsi="仿宋" w:eastAsia="仿宋"/>
                  <w:b w:val="0"/>
                  <w:bCs w:val="0"/>
                  <w:kern w:val="2"/>
                  <w:sz w:val="21"/>
                  <w:szCs w:val="21"/>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b w:val="0"/>
                  <w:bCs w:val="0"/>
                  <w:kern w:val="2"/>
                  <w:sz w:val="21"/>
                  <w:szCs w:val="21"/>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2"/>
                      <w:spacing w:line="240" w:lineRule="auto"/>
                      <w:jc w:val="center"/>
                      <w:rPr>
                        <w:rFonts w:ascii="仿宋" w:hAnsi="仿宋" w:eastAsia="仿宋"/>
                        <w:b w:val="0"/>
                        <w:bCs w:val="0"/>
                        <w:kern w:val="2"/>
                        <w:sz w:val="21"/>
                        <w:szCs w:val="21"/>
                      </w:rPr>
                    </w:pPr>
                    <w:r>
                      <w:rPr>
                        <w:rFonts w:hint="eastAsia" w:ascii="仿宋" w:hAnsi="仿宋" w:eastAsia="仿宋"/>
                        <w:b w:val="0"/>
                        <w:bCs w:val="0"/>
                        <w:kern w:val="2"/>
                        <w:sz w:val="21"/>
                        <w:szCs w:val="21"/>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最高限价（如有）：8,000,000.00元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货物需求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合同履行期限：合同签订后60天内。</w:t>
      </w:r>
    </w:p>
    <w:p>
      <w:pPr>
        <w:spacing w:line="276" w:lineRule="auto"/>
        <w:ind w:firstLine="420" w:firstLineChars="200"/>
        <w:rPr>
          <w:rFonts w:ascii="仿宋" w:hAnsi="仿宋" w:eastAsia="仿宋"/>
          <w:szCs w:val="21"/>
        </w:rPr>
      </w:pPr>
      <w:r>
        <w:rPr>
          <w:rFonts w:hint="eastAsia" w:ascii="仿宋" w:hAnsi="仿宋" w:eastAsia="仿宋"/>
          <w:szCs w:val="21"/>
        </w:rPr>
        <w:t>需落实的政府采购政策内容：中小微企业（含监狱企业）的相关规定；促进残疾人就业政府采购政策的相关规定；节能产品、环境标志产品的相关规定</w:t>
      </w:r>
    </w:p>
    <w:p>
      <w:pPr>
        <w:widowControl/>
        <w:adjustRightInd w:val="0"/>
        <w:snapToGrid w:val="0"/>
        <w:spacing w:line="276" w:lineRule="auto"/>
        <w:jc w:val="left"/>
        <w:rPr>
          <w:rFonts w:ascii="仿宋" w:hAnsi="仿宋" w:eastAsia="仿宋"/>
          <w:szCs w:val="21"/>
        </w:rPr>
      </w:pPr>
      <w:r>
        <w:rPr>
          <w:rFonts w:hint="eastAsia" w:ascii="仿宋_GB2312" w:hAnsi="仿宋_GB2312" w:eastAsia="仿宋_GB2312" w:cs="仿宋_GB2312"/>
          <w:kern w:val="0"/>
          <w:szCs w:val="21"/>
        </w:rPr>
        <w:t>　　本项目</w:t>
      </w:r>
      <w:sdt>
        <w:sdtPr>
          <w:rPr>
            <w:rFonts w:hint="eastAsia" w:ascii="仿宋_GB2312" w:hAnsi="仿宋_GB2312" w:eastAsia="仿宋_GB2312" w:cs="仿宋_GB2312"/>
            <w:kern w:val="0"/>
            <w:szCs w:val="21"/>
          </w:rPr>
          <w:alias w:val="不允许联合体"/>
          <w:tag w:val="不允许联合体"/>
          <w:id w:val="806440443"/>
          <w:placeholder>
            <w:docPart w:val="99C896E883A44E47B9F732C7516111AF"/>
          </w:placeholder>
          <w:text/>
        </w:sdtPr>
        <w:sdtEndPr>
          <w:rPr>
            <w:rFonts w:hint="eastAsia" w:ascii="仿宋_GB2312" w:hAnsi="仿宋_GB2312" w:eastAsia="仿宋_GB2312" w:cs="仿宋_GB2312"/>
            <w:kern w:val="0"/>
            <w:szCs w:val="21"/>
          </w:rPr>
        </w:sdtEndPr>
        <w:sdtContent>
          <w:r>
            <w:rPr>
              <w:rFonts w:hint="eastAsia" w:ascii="仿宋_GB2312" w:hAnsi="仿宋_GB2312" w:eastAsia="仿宋_GB2312"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7" w:name="_Toc28359080"/>
      <w:bookmarkStart w:id="8" w:name="_Toc35393622"/>
      <w:bookmarkStart w:id="9" w:name="_Toc28359003"/>
      <w:bookmarkStart w:id="10" w:name="_Toc35393791"/>
      <w:r>
        <w:rPr>
          <w:rFonts w:hint="eastAsia" w:ascii="仿宋" w:hAnsi="仿宋" w:eastAsia="仿宋" w:cs="宋体"/>
          <w:bCs/>
          <w:szCs w:val="21"/>
        </w:rPr>
        <w:t>二、供应商的资格要求：</w:t>
      </w:r>
      <w:bookmarkEnd w:id="7"/>
      <w:bookmarkEnd w:id="8"/>
      <w:bookmarkEnd w:id="9"/>
      <w:bookmarkEnd w:id="10"/>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1" w:name="_Toc28359004"/>
      <w:bookmarkStart w:id="12" w:name="_Toc28359081"/>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szCs w:val="21"/>
          <w:u w:val="single"/>
        </w:rPr>
        <w:t>无</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无</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3" w:name="_Toc35393792"/>
      <w:bookmarkStart w:id="14" w:name="_Toc35393623"/>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rPr>
          <w:alias w:val="技术咨询电话"/>
          <w:tag w:val="技术咨询电话"/>
          <w:id w:val="797026098"/>
          <w:placeholder>
            <w:docPart w:val="71F2D92901434B659808CCE55D155B36"/>
          </w:placeholder>
          <w:showingPlcHdr/>
        </w:sdtPr>
        <w:sdtEndPr>
          <w:rPr>
            <w:rFonts w:hint="eastAsia"/>
          </w:rPr>
        </w:sdtEndPr>
        <w:sdtContent>
          <w:r>
            <w:rPr>
              <w:rStyle w:val="62"/>
              <w:rFonts w:hint="eastAsia" w:ascii="仿宋" w:hAnsi="仿宋" w:eastAsia="仿宋"/>
              <w:color w:val="auto"/>
              <w:szCs w:val="21"/>
            </w:rPr>
            <w:t>13304049817</w:t>
          </w:r>
        </w:sdtContent>
      </w:sdt>
      <w:r>
        <w:rPr>
          <w:rFonts w:hint="eastAsia" w:ascii="仿宋" w:hAnsi="仿宋" w:eastAsia="仿宋" w:cs="仿宋_GB2312"/>
          <w:kern w:val="0"/>
          <w:szCs w:val="21"/>
        </w:rPr>
        <w:t>于先生;入库审批电话：</w:t>
      </w:r>
      <w:sdt>
        <w:sdtPr>
          <w:rPr>
            <w:rFonts w:hint="eastAsia"/>
          </w:rPr>
          <w:alias w:val="入库审批电话"/>
          <w:tag w:val="入库审批电话"/>
          <w:id w:val="-1684267343"/>
          <w:placeholder>
            <w:docPart w:val="AA6124D4AA9A44728F363CBFE378A5ED"/>
          </w:placeholder>
          <w:showingPlcHdr/>
        </w:sdtPr>
        <w:sdtEndPr>
          <w:rPr>
            <w:rFonts w:hint="eastAsia"/>
          </w:rPr>
        </w:sdtEndPr>
        <w:sdtContent>
          <w:r>
            <w:rPr>
              <w:rStyle w:val="62"/>
              <w:rFonts w:hint="eastAsia" w:ascii="仿宋" w:hAnsi="仿宋" w:eastAsia="仿宋"/>
              <w:color w:val="auto"/>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四、获取招标文件</w:t>
      </w:r>
      <w:bookmarkEnd w:id="11"/>
      <w:bookmarkEnd w:id="12"/>
      <w:bookmarkEnd w:id="13"/>
      <w:bookmarkEnd w:id="14"/>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CFE08D8E468E45EE8D683DF070EF981C"/>
          </w:placeholder>
        </w:sdtPr>
        <w:sdtEndPr>
          <w:rPr>
            <w:rFonts w:hint="eastAsia" w:ascii="仿宋" w:hAnsi="仿宋" w:eastAsia="仿宋"/>
            <w:szCs w:val="21"/>
          </w:rPr>
        </w:sdtEndPr>
        <w:sdtContent>
          <w:r>
            <w:rPr>
              <w:rFonts w:hint="eastAsia" w:ascii="仿宋" w:hAnsi="仿宋" w:eastAsia="仿宋"/>
              <w:szCs w:val="21"/>
            </w:rPr>
            <w:t>2021年11月15日17:00:00</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方式：在线下载</w:t>
      </w:r>
    </w:p>
    <w:p>
      <w:pPr>
        <w:keepNext/>
        <w:keepLines/>
        <w:spacing w:line="276" w:lineRule="auto"/>
        <w:outlineLvl w:val="1"/>
        <w:rPr>
          <w:rFonts w:ascii="仿宋" w:hAnsi="仿宋" w:eastAsia="仿宋" w:cs="宋体"/>
          <w:bCs/>
          <w:szCs w:val="21"/>
        </w:rPr>
      </w:pPr>
      <w:bookmarkStart w:id="15" w:name="_Toc28359005"/>
      <w:bookmarkStart w:id="16" w:name="_Toc28359082"/>
      <w:bookmarkStart w:id="17" w:name="_Toc35393624"/>
      <w:bookmarkStart w:id="18" w:name="_Toc35393793"/>
      <w:r>
        <w:rPr>
          <w:rFonts w:hint="eastAsia" w:ascii="仿宋" w:hAnsi="仿宋" w:eastAsia="仿宋" w:cs="宋体"/>
          <w:bCs/>
          <w:szCs w:val="21"/>
        </w:rPr>
        <w:t>五、提交投标文件</w:t>
      </w:r>
      <w:bookmarkEnd w:id="15"/>
      <w:bookmarkEnd w:id="16"/>
      <w:r>
        <w:rPr>
          <w:rFonts w:hint="eastAsia" w:ascii="仿宋" w:hAnsi="仿宋" w:eastAsia="仿宋" w:cs="宋体"/>
          <w:bCs/>
          <w:szCs w:val="21"/>
        </w:rPr>
        <w:t>截止时间、开标时间和地点</w:t>
      </w:r>
      <w:bookmarkEnd w:id="17"/>
      <w:bookmarkEnd w:id="18"/>
    </w:p>
    <w:p>
      <w:pPr>
        <w:spacing w:line="276" w:lineRule="auto"/>
        <w:ind w:firstLine="420" w:firstLineChars="200"/>
        <w:rPr>
          <w:rFonts w:ascii="仿宋" w:hAnsi="仿宋" w:eastAsia="仿宋"/>
          <w:bCs/>
          <w:szCs w:val="21"/>
          <w:u w:val="single"/>
        </w:rPr>
      </w:pPr>
      <w:sdt>
        <w:sdtPr>
          <w:rPr>
            <w:rFonts w:hint="eastAsia" w:ascii="仿宋" w:hAnsi="仿宋" w:eastAsia="仿宋"/>
            <w:szCs w:val="21"/>
          </w:rPr>
          <w:alias w:val="开标时间"/>
          <w:tag w:val="开标时间"/>
          <w:id w:val="-1040966100"/>
          <w:placeholder>
            <w:docPart w:val="6DA984DF850644F397D91553C340DA9A"/>
          </w:placeholder>
        </w:sdtPr>
        <w:sdtEndPr>
          <w:rPr>
            <w:rFonts w:hint="eastAsia" w:ascii="仿宋" w:hAnsi="仿宋" w:eastAsia="仿宋"/>
            <w:szCs w:val="21"/>
          </w:rPr>
        </w:sdtEndPr>
        <w:sdtContent>
          <w:r>
            <w:rPr>
              <w:rFonts w:hint="eastAsia" w:ascii="仿宋" w:hAnsi="仿宋" w:eastAsia="仿宋"/>
              <w:szCs w:val="21"/>
            </w:rPr>
            <w:t>2021/11/22 9:30:00</w:t>
          </w:r>
        </w:sdtContent>
      </w:sdt>
      <w:r>
        <w:rPr>
          <w:rFonts w:hint="eastAsia" w:ascii="仿宋" w:hAnsi="仿宋" w:eastAsia="仿宋"/>
          <w:bCs/>
          <w:szCs w:val="21"/>
        </w:rPr>
        <w:t>（北京时间）</w:t>
      </w:r>
    </w:p>
    <w:p>
      <w:pPr>
        <w:spacing w:line="276" w:lineRule="auto"/>
        <w:ind w:firstLine="420" w:firstLineChars="200"/>
        <w:rPr>
          <w:rFonts w:ascii="仿宋" w:hAnsi="仿宋" w:eastAsia="仿宋"/>
          <w:color w:val="FF0000"/>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398D65ED530541FB81CD198EEB9D7FE2"/>
          </w:placeholder>
        </w:sdtPr>
        <w:sdtEndPr>
          <w:rPr>
            <w:rFonts w:ascii="仿宋" w:hAnsi="仿宋" w:eastAsia="仿宋" w:cs="仿宋_GB2312"/>
            <w:kern w:val="0"/>
            <w:szCs w:val="21"/>
          </w:rPr>
        </w:sdtEndPr>
        <w:sdtContent>
          <w:r>
            <w:rPr>
              <w:rFonts w:hint="eastAsia" w:ascii="仿宋" w:hAnsi="仿宋" w:eastAsia="仿宋" w:cs="仿宋_GB2312"/>
              <w:kern w:val="0"/>
              <w:szCs w:val="21"/>
            </w:rPr>
            <w:t>营口市审批技术审查与公共资源交易中心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119A2366465E47F4903996A91EB78A4A"/>
          </w:placeholder>
        </w:sdtPr>
        <w:sdtEndPr>
          <w:rPr>
            <w:rFonts w:hint="eastAsia" w:ascii="仿宋" w:hAnsi="仿宋" w:eastAsia="仿宋"/>
            <w:szCs w:val="21"/>
          </w:rPr>
        </w:sdtEndPr>
        <w:sdtContent>
          <w:r>
            <w:rPr>
              <w:rFonts w:hint="eastAsia" w:ascii="仿宋" w:hAnsi="仿宋" w:eastAsia="仿宋"/>
              <w:szCs w:val="21"/>
            </w:rPr>
            <w:t>开标室(五)</w:t>
          </w:r>
        </w:sdtContent>
      </w:sdt>
    </w:p>
    <w:p>
      <w:pPr>
        <w:keepNext/>
        <w:keepLines/>
        <w:spacing w:line="276" w:lineRule="auto"/>
        <w:outlineLvl w:val="1"/>
        <w:rPr>
          <w:rFonts w:ascii="仿宋" w:hAnsi="仿宋" w:eastAsia="仿宋" w:cs="宋体"/>
          <w:bCs/>
          <w:szCs w:val="21"/>
        </w:rPr>
      </w:pPr>
      <w:bookmarkStart w:id="19" w:name="_Toc35393625"/>
      <w:bookmarkStart w:id="20" w:name="_Toc28359084"/>
      <w:bookmarkStart w:id="21" w:name="_Toc28359007"/>
      <w:bookmarkStart w:id="22" w:name="_Toc35393794"/>
      <w:r>
        <w:rPr>
          <w:rFonts w:hint="eastAsia" w:ascii="仿宋" w:hAnsi="仿宋" w:eastAsia="仿宋" w:cs="宋体"/>
          <w:bCs/>
          <w:szCs w:val="21"/>
        </w:rPr>
        <w:t>六、公告期限</w:t>
      </w:r>
      <w:bookmarkEnd w:id="19"/>
      <w:bookmarkEnd w:id="20"/>
      <w:bookmarkEnd w:id="21"/>
      <w:bookmarkEnd w:id="22"/>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自本公告发布之日起5个工作日。</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w:t>
      </w:r>
      <w:r>
        <w:rPr>
          <w:rFonts w:hint="eastAsia" w:ascii="仿宋" w:hAnsi="仿宋" w:eastAsia="仿宋" w:cs="宋体"/>
          <w:b/>
          <w:bCs/>
          <w:szCs w:val="21"/>
        </w:rPr>
        <w:t>0417-2972518</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3" w:name="_Toc35393795"/>
      <w:bookmarkStart w:id="24" w:name="_Toc35393626"/>
      <w:r>
        <w:rPr>
          <w:rFonts w:hint="eastAsia" w:ascii="仿宋" w:hAnsi="仿宋" w:eastAsia="仿宋" w:cs="宋体"/>
          <w:bCs/>
          <w:szCs w:val="21"/>
        </w:rPr>
        <w:t>八、其他补充事宜</w:t>
      </w:r>
      <w:bookmarkEnd w:id="23"/>
      <w:bookmarkEnd w:id="24"/>
    </w:p>
    <w:p>
      <w:pPr>
        <w:spacing w:line="276" w:lineRule="auto"/>
        <w:ind w:left="495"/>
        <w:rPr>
          <w:rFonts w:ascii="仿宋" w:hAnsi="仿宋" w:eastAsia="仿宋"/>
          <w:szCs w:val="21"/>
        </w:rPr>
      </w:pPr>
    </w:p>
    <w:p>
      <w:pPr>
        <w:keepNext/>
        <w:keepLines/>
        <w:spacing w:line="276" w:lineRule="auto"/>
        <w:outlineLvl w:val="1"/>
        <w:rPr>
          <w:rFonts w:ascii="仿宋" w:hAnsi="仿宋" w:eastAsia="仿宋" w:cs="宋体"/>
          <w:bCs/>
          <w:szCs w:val="21"/>
        </w:rPr>
      </w:pPr>
      <w:bookmarkStart w:id="25" w:name="_Toc28359008"/>
      <w:bookmarkStart w:id="26" w:name="_Toc35393796"/>
      <w:bookmarkStart w:id="27" w:name="_Toc35393627"/>
      <w:bookmarkStart w:id="28" w:name="_Toc28359085"/>
      <w:r>
        <w:rPr>
          <w:rFonts w:hint="eastAsia" w:ascii="仿宋" w:hAnsi="仿宋" w:eastAsia="仿宋" w:cs="宋体"/>
          <w:bCs/>
          <w:szCs w:val="21"/>
        </w:rPr>
        <w:t>九、对本次招标提出询问，请按</w:t>
      </w:r>
      <w:r>
        <w:rPr>
          <w:rFonts w:ascii="仿宋" w:hAnsi="仿宋" w:eastAsia="仿宋" w:cs="宋体"/>
          <w:bCs/>
          <w:szCs w:val="21"/>
        </w:rPr>
        <w:t>以下方式</w:t>
      </w:r>
      <w:r>
        <w:rPr>
          <w:rFonts w:hint="eastAsia" w:ascii="仿宋" w:hAnsi="仿宋" w:eastAsia="仿宋" w:cs="宋体"/>
          <w:bCs/>
          <w:szCs w:val="21"/>
        </w:rPr>
        <w:t>联系。</w:t>
      </w:r>
      <w:bookmarkEnd w:id="25"/>
      <w:bookmarkEnd w:id="26"/>
      <w:bookmarkEnd w:id="27"/>
      <w:bookmarkEnd w:id="28"/>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BB761D50EB054AD997F6722EF09A13A0"/>
          </w:placeholder>
        </w:sdtPr>
        <w:sdtEndPr>
          <w:rPr>
            <w:rFonts w:hint="eastAsia" w:ascii="仿宋" w:hAnsi="仿宋" w:eastAsia="仿宋"/>
            <w:szCs w:val="21"/>
          </w:rPr>
        </w:sdtEndPr>
        <w:sdtContent>
          <w:r>
            <w:rPr>
              <w:rFonts w:hint="eastAsia" w:ascii="仿宋" w:hAnsi="仿宋" w:eastAsia="仿宋"/>
              <w:szCs w:val="21"/>
            </w:rPr>
            <w:t>营口市教育局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AEAAF402C6C94FD4A318CE816AFEED2A"/>
          </w:placeholder>
        </w:sdtPr>
        <w:sdtEndPr>
          <w:rPr>
            <w:rFonts w:hint="eastAsia" w:ascii="仿宋" w:hAnsi="仿宋" w:eastAsia="仿宋"/>
            <w:szCs w:val="21"/>
          </w:rPr>
        </w:sdtEndPr>
        <w:sdtContent>
          <w:r>
            <w:rPr>
              <w:rFonts w:hint="eastAsia" w:ascii="仿宋" w:hAnsi="仿宋" w:eastAsia="仿宋"/>
              <w:szCs w:val="21"/>
            </w:rPr>
            <w:t>营口市新联大街东1号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115C111C555E488581E79C9B208D74F0"/>
          </w:placeholder>
        </w:sdtPr>
        <w:sdtEndPr>
          <w:rPr>
            <w:rFonts w:hint="eastAsia" w:ascii="仿宋" w:hAnsi="仿宋" w:eastAsia="仿宋"/>
            <w:szCs w:val="21"/>
          </w:rPr>
        </w:sdtEndPr>
        <w:sdtContent>
          <w:r>
            <w:rPr>
              <w:rFonts w:hint="eastAsia" w:ascii="仿宋" w:hAnsi="仿宋" w:eastAsia="仿宋"/>
              <w:szCs w:val="21"/>
            </w:rPr>
            <w:t>0417-2998313</w:t>
          </w:r>
        </w:sdtContent>
      </w:sdt>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2.采购代理机构信息</w:t>
      </w:r>
    </w:p>
    <w:p>
      <w:pPr>
        <w:spacing w:line="276" w:lineRule="auto"/>
        <w:ind w:firstLine="630" w:firstLineChars="300"/>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编制单位"/>
          <w:tag w:val="编制单位"/>
          <w:id w:val="1255858432"/>
          <w:placeholder>
            <w:docPart w:val="672972618C6641768BC9389DB1F4944A"/>
          </w:placeholder>
        </w:sdtPr>
        <w:sdtEndPr>
          <w:rPr>
            <w:rFonts w:hint="eastAsia" w:ascii="仿宋" w:hAnsi="仿宋" w:eastAsia="仿宋"/>
            <w:szCs w:val="21"/>
          </w:rPr>
        </w:sdtEndPr>
        <w:sdtContent>
          <w:r>
            <w:rPr>
              <w:rFonts w:hint="eastAsia" w:ascii="仿宋" w:hAnsi="仿宋" w:eastAsia="仿宋"/>
              <w:szCs w:val="21"/>
            </w:rPr>
            <w:t>营口市审批技术审查与公共资源交易中心</w:t>
          </w:r>
        </w:sdtContent>
      </w:sdt>
    </w:p>
    <w:p>
      <w:pPr>
        <w:spacing w:line="276" w:lineRule="auto"/>
        <w:ind w:firstLine="630" w:firstLineChars="300"/>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代理机构地址"/>
          <w:tag w:val="代理机构地址"/>
          <w:id w:val="-1988389414"/>
          <w:placeholder>
            <w:docPart w:val="6C50639D4F054046845D1F14287028BB"/>
          </w:placeholder>
        </w:sdtPr>
        <w:sdtEndPr>
          <w:rPr>
            <w:rFonts w:hint="eastAsia" w:ascii="仿宋" w:hAnsi="仿宋" w:eastAsia="仿宋"/>
            <w:szCs w:val="21"/>
          </w:rPr>
        </w:sdtEndPr>
        <w:sdtContent>
          <w:r>
            <w:rPr>
              <w:rFonts w:hint="eastAsia" w:ascii="仿宋" w:hAnsi="仿宋" w:eastAsia="仿宋"/>
              <w:szCs w:val="21"/>
            </w:rPr>
            <w:t>营口市西市区沿海产业基地民生路28号市民服务中心3楼西北区</w:t>
          </w:r>
        </w:sdtContent>
      </w:sdt>
    </w:p>
    <w:p>
      <w:pPr>
        <w:spacing w:line="276" w:lineRule="auto"/>
        <w:ind w:firstLine="630" w:firstLineChars="300"/>
        <w:rPr>
          <w:rFonts w:ascii="仿宋" w:hAnsi="仿宋" w:eastAsia="仿宋"/>
          <w:szCs w:val="21"/>
          <w:u w:val="single"/>
        </w:rPr>
      </w:pPr>
      <w:r>
        <w:rPr>
          <w:rFonts w:hint="eastAsia" w:ascii="仿宋" w:hAnsi="仿宋" w:eastAsia="仿宋"/>
          <w:szCs w:val="21"/>
        </w:rPr>
        <w:t>联系方式：</w:t>
      </w:r>
      <w:sdt>
        <w:sdtPr>
          <w:rPr>
            <w:rFonts w:hint="eastAsia" w:ascii="仿宋" w:hAnsi="仿宋" w:eastAsia="仿宋"/>
            <w:szCs w:val="21"/>
          </w:rPr>
          <w:alias w:val="代理机构电话"/>
          <w:tag w:val="代理机构电话"/>
          <w:id w:val="1882819625"/>
          <w:placeholder>
            <w:docPart w:val="33043B1F675D439F83648786B140C8B6"/>
          </w:placeholder>
        </w:sdtPr>
        <w:sdtEndPr>
          <w:rPr>
            <w:rFonts w:hint="eastAsia" w:ascii="仿宋" w:hAnsi="仿宋" w:eastAsia="仿宋"/>
            <w:szCs w:val="21"/>
          </w:rPr>
        </w:sdtEndPr>
        <w:sdtContent>
          <w:r>
            <w:rPr>
              <w:rFonts w:hint="eastAsia" w:ascii="仿宋" w:hAnsi="仿宋" w:eastAsia="仿宋"/>
              <w:szCs w:val="21"/>
            </w:rPr>
            <w:t>0417-2972508</w:t>
          </w:r>
        </w:sdtContent>
      </w:sdt>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邮箱地址：ykggzycgk@163.com</w:t>
      </w:r>
    </w:p>
    <w:p>
      <w:pPr>
        <w:spacing w:line="360" w:lineRule="auto"/>
        <w:ind w:firstLine="630" w:firstLineChars="300"/>
        <w:rPr>
          <w:rFonts w:ascii="仿宋" w:hAnsi="仿宋" w:eastAsia="仿宋" w:cs="宋体"/>
          <w:bCs/>
          <w:szCs w:val="21"/>
          <w:u w:val="single"/>
        </w:rPr>
      </w:pPr>
      <w:r>
        <w:rPr>
          <w:rFonts w:hint="eastAsia" w:ascii="仿宋" w:hAnsi="仿宋" w:eastAsia="仿宋" w:cs="宋体"/>
          <w:bCs/>
          <w:szCs w:val="21"/>
        </w:rPr>
        <w:t>开 户 行：中国建设银行股份有限公司营口新联大街支行</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账户名称：营口市审批技术审查与公共资源交易中心</w:t>
      </w:r>
    </w:p>
    <w:p>
      <w:pPr>
        <w:spacing w:line="360" w:lineRule="auto"/>
        <w:ind w:firstLine="630" w:firstLineChars="300"/>
        <w:rPr>
          <w:rFonts w:ascii="仿宋" w:hAnsi="仿宋" w:eastAsia="仿宋" w:cs="宋体"/>
          <w:bCs/>
          <w:szCs w:val="21"/>
        </w:rPr>
      </w:pPr>
      <w:r>
        <w:rPr>
          <w:rFonts w:hint="eastAsia" w:ascii="仿宋" w:hAnsi="仿宋" w:eastAsia="仿宋" w:cs="宋体"/>
          <w:bCs/>
          <w:szCs w:val="21"/>
        </w:rPr>
        <w:t>账    号：2</w:t>
      </w:r>
      <w:r>
        <w:rPr>
          <w:rFonts w:ascii="仿宋" w:hAnsi="仿宋" w:eastAsia="仿宋" w:cs="宋体"/>
          <w:bCs/>
          <w:szCs w:val="21"/>
        </w:rPr>
        <w:t>1050110852100000007</w:t>
      </w:r>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3.项目</w:t>
      </w:r>
      <w:r>
        <w:rPr>
          <w:rFonts w:ascii="仿宋" w:hAnsi="仿宋" w:eastAsia="仿宋" w:cs="宋体"/>
          <w:bCs/>
          <w:szCs w:val="21"/>
        </w:rPr>
        <w:t>联系方式</w:t>
      </w:r>
    </w:p>
    <w:p>
      <w:pPr>
        <w:spacing w:line="276" w:lineRule="auto"/>
        <w:ind w:firstLine="630" w:firstLineChars="300"/>
        <w:rPr>
          <w:rFonts w:ascii="仿宋" w:hAnsi="仿宋" w:eastAsia="仿宋"/>
          <w:color w:val="FF0000"/>
          <w:szCs w:val="21"/>
        </w:rPr>
      </w:pPr>
      <w:r>
        <w:rPr>
          <w:rFonts w:hint="eastAsia" w:ascii="仿宋" w:hAnsi="仿宋" w:eastAsia="仿宋"/>
          <w:szCs w:val="21"/>
        </w:rPr>
        <w:t>项目联系人：</w:t>
      </w:r>
      <w:sdt>
        <w:sdtPr>
          <w:rPr>
            <w:rFonts w:hint="eastAsia" w:ascii="仿宋" w:hAnsi="仿宋" w:eastAsia="仿宋"/>
            <w:szCs w:val="21"/>
          </w:rPr>
          <w:alias w:val="代理机构联系人"/>
          <w:tag w:val="代理机构联系人"/>
          <w:id w:val="-1368218228"/>
          <w:placeholder>
            <w:docPart w:val="4CDB40F88A5447ADBD20A1F7A079FAF6"/>
          </w:placeholder>
        </w:sdtPr>
        <w:sdtEndPr>
          <w:rPr>
            <w:rFonts w:hint="eastAsia" w:ascii="仿宋" w:hAnsi="仿宋" w:eastAsia="仿宋"/>
            <w:szCs w:val="21"/>
          </w:rPr>
        </w:sdtEndPr>
        <w:sdtContent>
          <w:r>
            <w:rPr>
              <w:rFonts w:hint="eastAsia" w:ascii="仿宋" w:hAnsi="仿宋" w:eastAsia="仿宋"/>
              <w:szCs w:val="21"/>
            </w:rPr>
            <w:t>丁先生</w:t>
          </w:r>
        </w:sdtContent>
      </w:sdt>
      <w:r>
        <w:rPr>
          <w:rFonts w:ascii="仿宋" w:hAnsi="仿宋" w:eastAsia="仿宋"/>
          <w:szCs w:val="21"/>
        </w:rPr>
        <w:t xml:space="preserve"> </w:t>
      </w:r>
    </w:p>
    <w:p>
      <w:pPr>
        <w:spacing w:line="276" w:lineRule="auto"/>
        <w:ind w:firstLine="630" w:firstLineChars="300"/>
        <w:rPr>
          <w:rFonts w:ascii="仿宋" w:hAnsi="仿宋" w:eastAsia="仿宋"/>
          <w:sz w:val="28"/>
          <w:szCs w:val="28"/>
          <w:u w:val="single"/>
        </w:rPr>
      </w:pPr>
      <w:r>
        <w:rPr>
          <w:rFonts w:hint="eastAsia" w:ascii="仿宋" w:hAnsi="仿宋" w:eastAsia="仿宋"/>
          <w:szCs w:val="21"/>
        </w:rPr>
        <w:t>电　  话：</w:t>
      </w:r>
      <w:sdt>
        <w:sdtPr>
          <w:rPr>
            <w:rFonts w:hint="eastAsia" w:ascii="仿宋" w:hAnsi="仿宋" w:eastAsia="仿宋"/>
            <w:szCs w:val="21"/>
          </w:rPr>
          <w:alias w:val="代理机构电话"/>
          <w:tag w:val="代理机构电话"/>
          <w:id w:val="-1348637754"/>
          <w:placeholder>
            <w:docPart w:val="31385756B3B341ADBAAA10D7738FC8D4"/>
          </w:placeholder>
        </w:sdtPr>
        <w:sdtEndPr>
          <w:rPr>
            <w:rFonts w:hint="eastAsia" w:ascii="仿宋" w:hAnsi="仿宋" w:eastAsia="仿宋"/>
            <w:szCs w:val="21"/>
          </w:rPr>
        </w:sdtEndPr>
        <w:sdtContent>
          <w:r>
            <w:rPr>
              <w:rFonts w:hint="eastAsia" w:ascii="仿宋" w:hAnsi="仿宋" w:eastAsia="仿宋"/>
              <w:szCs w:val="21"/>
            </w:rPr>
            <w:t>0417-2972508</w:t>
          </w:r>
        </w:sdtContent>
      </w:sdt>
    </w:p>
    <w:p>
      <w:pPr>
        <w:widowControl/>
        <w:jc w:val="left"/>
        <w:rPr>
          <w:rFonts w:ascii="宋体" w:hAnsi="宋体"/>
          <w:b/>
          <w:bCs/>
          <w:sz w:val="44"/>
          <w:szCs w:val="44"/>
        </w:rPr>
      </w:pPr>
      <w:r>
        <w:rPr>
          <w:rFonts w:ascii="宋体" w:hAnsi="宋体"/>
          <w:b/>
          <w:bCs/>
          <w:sz w:val="44"/>
          <w:szCs w:val="44"/>
        </w:rPr>
        <w:br w:type="page"/>
      </w:r>
    </w:p>
    <w:p>
      <w:pPr>
        <w:pStyle w:val="2"/>
        <w:jc w:val="center"/>
      </w:pPr>
      <w:bookmarkStart w:id="29" w:name="_Toc26518_WPSOffice_Level1"/>
      <w:r>
        <w:rPr>
          <w:rFonts w:hint="eastAsia"/>
        </w:rPr>
        <w:t>第一章 投标人须知</w:t>
      </w:r>
      <w:bookmarkEnd w:id="29"/>
    </w:p>
    <w:p>
      <w:pPr>
        <w:pStyle w:val="3"/>
        <w:jc w:val="center"/>
        <w:rPr>
          <w:rFonts w:ascii="仿宋" w:hAnsi="仿宋" w:eastAsia="仿宋"/>
        </w:rPr>
      </w:pPr>
      <w:bookmarkStart w:id="30" w:name="_Toc18613_WPSOffice_Level2"/>
      <w:r>
        <w:rPr>
          <w:rFonts w:hint="eastAsia" w:ascii="仿宋" w:hAnsi="仿宋" w:eastAsia="仿宋"/>
        </w:rPr>
        <w:t>一 投标人须知表</w:t>
      </w:r>
      <w:bookmarkEnd w:id="30"/>
    </w:p>
    <w:sdt>
      <w:sdtPr>
        <w:rPr>
          <w:rFonts w:hint="eastAsia" w:ascii="仿宋" w:hAnsi="仿宋" w:eastAsia="仿宋" w:cs="宋体"/>
          <w:kern w:val="0"/>
          <w:szCs w:val="21"/>
        </w:rPr>
        <w:alias w:val="招标项目基本内容及要求"/>
        <w:tag w:val="招标项目基本内容及要求"/>
        <w:id w:val="-841780087"/>
        <w:lock w:val="sdtLocked"/>
      </w:sdtPr>
      <w:sdtEndPr>
        <w:rPr>
          <w:rFonts w:hint="eastAsia" w:ascii="仿宋" w:hAnsi="仿宋" w:eastAsia="仿宋" w:cs="宋体"/>
          <w:kern w:val="0"/>
          <w:sz w:val="24"/>
          <w:szCs w:val="24"/>
        </w:rPr>
      </w:sdtEndPr>
      <w:sdtContent>
        <w:p>
          <w:pPr>
            <w:spacing w:before="312" w:beforeLines="100" w:after="312" w:afterLines="100"/>
            <w:jc w:val="left"/>
            <w:rPr>
              <w:rFonts w:ascii="仿宋" w:hAnsi="仿宋" w:eastAsia="仿宋" w:cs="宋体"/>
              <w:kern w:val="0"/>
              <w:sz w:val="24"/>
            </w:rPr>
          </w:pPr>
          <w:bookmarkStart w:id="31" w:name="招标项目基本内容及要求其他：Block"/>
          <w:bookmarkEnd w:id="31"/>
          <w:bookmarkStart w:id="32" w:name="sys_招标项目基本内容及要求其他：Block"/>
          <w:bookmarkEnd w:id="32"/>
          <w:bookmarkStart w:id="33" w:name="sys_招标项目基本内容及要求：Block"/>
          <w:bookmarkEnd w:id="33"/>
          <w:bookmarkStart w:id="34" w:name="招标项目基本内容及要求：Block"/>
          <w:bookmarkEnd w:id="34"/>
        </w:p>
        <w:tbl>
          <w:tblPr>
            <w:tblStyle w:val="19"/>
            <w:tblW w:w="8897" w:type="dxa"/>
            <w:tblInd w:w="0" w:type="dxa"/>
            <w:tblLayout w:type="fixed"/>
            <w:tblCellMar>
              <w:top w:w="0" w:type="dxa"/>
              <w:left w:w="108" w:type="dxa"/>
              <w:bottom w:w="0" w:type="dxa"/>
              <w:right w:w="108" w:type="dxa"/>
            </w:tblCellMar>
          </w:tblPr>
          <w:tblGrid>
            <w:gridCol w:w="852"/>
            <w:gridCol w:w="1917"/>
            <w:gridCol w:w="6128"/>
          </w:tblGrid>
          <w:tr>
            <w:tblPrEx>
              <w:tblLayout w:type="fixed"/>
              <w:tblCellMar>
                <w:top w:w="0" w:type="dxa"/>
                <w:left w:w="108" w:type="dxa"/>
                <w:bottom w:w="0" w:type="dxa"/>
                <w:right w:w="108" w:type="dxa"/>
              </w:tblCellMar>
            </w:tblPrEx>
            <w:trPr>
              <w:trHeight w:val="497" w:hRule="atLeast"/>
              <w:tblHeader/>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营口市教育局</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营口市西市区新联大街东1号</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杨先生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0417-2998313</w:t>
                </w:r>
              </w:p>
            </w:tc>
          </w:tr>
          <w:tr>
            <w:tblPrEx>
              <w:tblLayout w:type="fixed"/>
              <w:tblCellMar>
                <w:top w:w="0" w:type="dxa"/>
                <w:left w:w="108" w:type="dxa"/>
                <w:bottom w:w="0" w:type="dxa"/>
                <w:right w:w="108" w:type="dxa"/>
              </w:tblCellMar>
            </w:tblPrEx>
            <w:trPr>
              <w:trHeight w:val="125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名  称：</w:t>
                </w:r>
                <w:r>
                  <w:rPr>
                    <w:rFonts w:hint="eastAsia" w:ascii="仿宋_GB2312" w:hAnsi="仿宋_GB2312" w:eastAsia="仿宋_GB2312" w:cs="仿宋_GB2312"/>
                    <w:kern w:val="0"/>
                    <w:szCs w:val="21"/>
                    <w:u w:val="single"/>
                  </w:rPr>
                  <w:t>营口市审批技术审查与公共资源交易中心</w:t>
                </w:r>
              </w:p>
              <w:p>
                <w:pPr>
                  <w:widowControl/>
                  <w:ind w:left="735" w:hanging="735" w:hangingChars="350"/>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地  址：</w:t>
                </w:r>
                <w:r>
                  <w:rPr>
                    <w:rFonts w:hint="eastAsia" w:ascii="仿宋_GB2312" w:hAnsi="仿宋_GB2312" w:eastAsia="仿宋_GB2312" w:cs="仿宋_GB2312"/>
                    <w:kern w:val="0"/>
                    <w:szCs w:val="21"/>
                    <w:u w:val="single"/>
                  </w:rPr>
                  <w:t>辽宁省营口市沿海产业基地民生路28号营口市民服务中心三楼</w:t>
                </w:r>
              </w:p>
              <w:p>
                <w:pPr>
                  <w:widowControl/>
                  <w:jc w:val="left"/>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联系人：</w:t>
                </w:r>
                <w:r>
                  <w:rPr>
                    <w:rFonts w:hint="eastAsia" w:ascii="仿宋_GB2312" w:hAnsi="仿宋_GB2312" w:eastAsia="仿宋_GB2312" w:cs="仿宋_GB2312"/>
                    <w:kern w:val="0"/>
                    <w:szCs w:val="21"/>
                    <w:u w:val="single"/>
                  </w:rPr>
                  <w:t>丁先生</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kern w:val="0"/>
                    <w:szCs w:val="21"/>
                    <w:u w:val="single"/>
                  </w:rPr>
                  <w:t>0417-2972508</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19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无</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是否允许采购进口产品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836"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1.3.7</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szCs w:val="21"/>
                  </w:rPr>
                  <w:t>是否有政府强制采购的节能产品</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kern w:val="0"/>
                    <w:szCs w:val="21"/>
                    <w:u w:val="single"/>
                  </w:rPr>
                  <w:t>台式计算机（学生）、台式计算机（教师）、笔记本电脑</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没有</w:t>
                </w:r>
              </w:p>
            </w:tc>
          </w:tr>
          <w:tr>
            <w:tblPrEx>
              <w:tblLayout w:type="fixed"/>
              <w:tblCellMar>
                <w:top w:w="0" w:type="dxa"/>
                <w:left w:w="108" w:type="dxa"/>
                <w:bottom w:w="0" w:type="dxa"/>
                <w:right w:w="108" w:type="dxa"/>
              </w:tblCellMar>
            </w:tblPrEx>
            <w:trPr>
              <w:trHeight w:val="410"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是否允许联合体投标</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联合体投标的其他资格要求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无</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rPr>
                  <w:t>8,000,000.00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rPr>
                  <w:t>8,000,000.00</w:t>
                </w:r>
                <w:r>
                  <w:rPr>
                    <w:rFonts w:hint="eastAsia" w:ascii="仿宋_GB2312" w:hAnsi="仿宋_GB2312" w:eastAsia="仿宋_GB2312" w:cs="仿宋_GB2312"/>
                    <w:bCs/>
                    <w:kern w:val="0"/>
                    <w:szCs w:val="21"/>
                  </w:rPr>
                  <w:t>元</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1917"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Layout w:type="fixed"/>
              <w:tblCellMar>
                <w:top w:w="0" w:type="dxa"/>
                <w:left w:w="108" w:type="dxa"/>
                <w:bottom w:w="0" w:type="dxa"/>
                <w:right w:w="108" w:type="dxa"/>
              </w:tblCellMar>
            </w:tblPrEx>
            <w:trPr>
              <w:trHeight w:val="1873"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现场考察、开标前答疑会</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组织，招标文件提供期限截止后以书面形式通知。</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10.3</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核心产品</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u w:val="single"/>
                  </w:rPr>
                  <w:t>台式计算机（学生）</w:t>
                </w:r>
                <w:r>
                  <w:rPr>
                    <w:rFonts w:hint="eastAsia" w:ascii="仿宋_GB2312" w:hAnsi="仿宋_GB2312" w:eastAsia="仿宋_GB2312" w:cs="仿宋_GB2312"/>
                    <w:szCs w:val="21"/>
                  </w:rPr>
                  <w:t>（非单一产品采购时，只能设一个核心产品）</w:t>
                </w:r>
              </w:p>
            </w:tc>
          </w:tr>
          <w:tr>
            <w:tblPrEx>
              <w:tblLayout w:type="fixed"/>
              <w:tblCellMar>
                <w:top w:w="0" w:type="dxa"/>
                <w:left w:w="108" w:type="dxa"/>
                <w:bottom w:w="0" w:type="dxa"/>
                <w:right w:w="108" w:type="dxa"/>
              </w:tblCellMar>
            </w:tblPrEx>
            <w:trPr>
              <w:trHeight w:val="6008"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提供样品</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1、递交样品的截止时间：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pPr>
                  <w:ind w:left="21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rPr>
                    <w:rFonts w:ascii="仿宋_GB2312" w:hAnsi="仿宋_GB2312" w:eastAsia="仿宋_GB2312" w:cs="仿宋_GB2312"/>
                    <w:kern w:val="0"/>
                    <w:szCs w:val="21"/>
                  </w:rPr>
                </w:pPr>
                <w:r>
                  <w:rPr>
                    <w:rFonts w:hint="eastAsia" w:ascii="仿宋_GB2312" w:hAnsi="仿宋_GB2312" w:eastAsia="仿宋_GB2312" w:cs="仿宋_GB2312"/>
                    <w:bCs/>
                    <w:kern w:val="0"/>
                    <w:szCs w:val="21"/>
                  </w:rPr>
                  <w:t xml:space="preserve">  </w:t>
                </w:r>
                <w:r>
                  <w:rPr>
                    <w:rFonts w:hint="eastAsia" w:ascii="仿宋_GB2312" w:hAnsi="仿宋_GB2312" w:eastAsia="仿宋_GB2312" w:cs="仿宋_GB2312"/>
                    <w:kern w:val="0"/>
                    <w:szCs w:val="21"/>
                  </w:rPr>
                  <w:t>1、演示时间：</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bCs/>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投标报价货币要求</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所有投标均按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1、投标保证金金额：</w:t>
                </w:r>
                <w:r>
                  <w:rPr>
                    <w:rFonts w:hint="eastAsia" w:ascii="仿宋_GB2312" w:hAnsi="仿宋_GB2312" w:eastAsia="仿宋_GB2312" w:cs="仿宋_GB2312"/>
                    <w:kern w:val="0"/>
                    <w:szCs w:val="21"/>
                    <w:u w:val="single"/>
                  </w:rPr>
                  <w:t>80,000.00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2、投标保证金到账时间：</w:t>
                </w:r>
                <w:r>
                  <w:rPr>
                    <w:rFonts w:hint="eastAsia" w:ascii="仿宋_GB2312" w:hAnsi="仿宋_GB2312" w:eastAsia="仿宋_GB2312" w:cs="仿宋_GB2312"/>
                    <w:szCs w:val="21"/>
                    <w:u w:val="single"/>
                  </w:rPr>
                  <w:t xml:space="preserve">递交投标文件截止时间前 </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3、投标保证金缴纳方式：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u w:val="single"/>
                  </w:rPr>
                  <w:t>未</w:t>
                </w:r>
                <w:r>
                  <w:rPr>
                    <w:rFonts w:ascii="仿宋_GB2312" w:hAnsi="仿宋_GB2312" w:eastAsia="仿宋_GB2312" w:cs="仿宋_GB2312"/>
                    <w:kern w:val="0"/>
                    <w:szCs w:val="21"/>
                    <w:u w:val="single"/>
                  </w:rPr>
                  <w:t>中标</w:t>
                </w:r>
                <w:r>
                  <w:rPr>
                    <w:rFonts w:hint="eastAsia" w:ascii="仿宋_GB2312" w:hAnsi="仿宋_GB2312" w:eastAsia="仿宋_GB2312" w:cs="仿宋_GB2312"/>
                    <w:kern w:val="0"/>
                    <w:szCs w:val="21"/>
                    <w:u w:val="single"/>
                  </w:rPr>
                  <w:t>供应商在中标公告发布之日起5个工作日内退还保证金</w:t>
                </w:r>
                <w:bookmarkEnd w:id="1"/>
                <w:r>
                  <w:rPr>
                    <w:rFonts w:hint="eastAsia" w:ascii="仿宋_GB2312" w:hAnsi="仿宋_GB2312" w:eastAsia="仿宋_GB2312" w:cs="仿宋_GB2312"/>
                    <w:kern w:val="0"/>
                    <w:szCs w:val="21"/>
                    <w:u w:val="single"/>
                  </w:rPr>
                  <w:t>；中标供应商应在政府采购合同签订之日起5个工作日内将一份合同送回中心前台，并办理退还保证金事宜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u w:val="single"/>
                  </w:rPr>
                  <w:t>0417</w:t>
                </w:r>
                <w:r>
                  <w:rPr>
                    <w:rFonts w:hint="eastAsia" w:ascii="仿宋_GB2312" w:hAnsi="仿宋_GB2312" w:eastAsia="仿宋_GB2312" w:cs="仿宋_GB2312"/>
                    <w:kern w:val="0"/>
                    <w:szCs w:val="21"/>
                    <w:u w:val="single"/>
                  </w:rPr>
                  <w:t>-2972505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w:t>
                </w:r>
                <w:r>
                  <w:rPr>
                    <w:rFonts w:hint="eastAsia" w:ascii="仿宋_GB2312" w:hAnsi="仿宋_GB2312" w:eastAsia="仿宋_GB2312" w:cs="仿宋_GB2312"/>
                    <w:szCs w:val="21"/>
                    <w:u w:val="single"/>
                  </w:rPr>
                  <w:t>保证金须由参与采购项目的供应商账户缴纳，并在备注中注明保证金类别（</w:t>
                </w:r>
                <w:r>
                  <w:rPr>
                    <w:rFonts w:hint="eastAsia" w:ascii="仿宋_GB2312" w:hAnsi="仿宋_GB2312" w:eastAsia="仿宋_GB2312" w:cs="仿宋_GB2312"/>
                    <w:b/>
                    <w:bCs/>
                    <w:szCs w:val="21"/>
                    <w:u w:val="single"/>
                  </w:rPr>
                  <w:t>投标</w:t>
                </w:r>
                <w:r>
                  <w:rPr>
                    <w:rFonts w:hint="eastAsia" w:ascii="仿宋_GB2312" w:hAnsi="仿宋_GB2312" w:eastAsia="仿宋_GB2312" w:cs="仿宋_GB2312"/>
                    <w:szCs w:val="21"/>
                    <w:u w:val="single"/>
                  </w:rPr>
                  <w:t>保证金/</w:t>
                </w:r>
                <w:r>
                  <w:rPr>
                    <w:rFonts w:hint="eastAsia" w:ascii="仿宋_GB2312" w:hAnsi="仿宋_GB2312" w:eastAsia="仿宋_GB2312" w:cs="仿宋_GB2312"/>
                    <w:b/>
                    <w:bCs/>
                    <w:szCs w:val="21"/>
                    <w:u w:val="single"/>
                  </w:rPr>
                  <w:t>履约</w:t>
                </w:r>
                <w:r>
                  <w:rPr>
                    <w:rFonts w:hint="eastAsia" w:ascii="仿宋_GB2312" w:hAnsi="仿宋_GB2312" w:eastAsia="仿宋_GB2312" w:cs="仿宋_GB2312"/>
                    <w:szCs w:val="21"/>
                    <w:u w:val="single"/>
                  </w:rPr>
                  <w:t>保证金）、采购项目编号等信息（未按上述要求缴纳和注明，造成的一切后果由供应商自行承担）</w:t>
                </w:r>
              </w:p>
              <w:p>
                <w:pPr>
                  <w:rPr>
                    <w:rFonts w:ascii="仿宋_GB2312" w:hAnsi="仿宋_GB2312" w:eastAsia="仿宋_GB2312" w:cs="仿宋_GB2312"/>
                    <w:szCs w:val="21"/>
                    <w:u w:val="single"/>
                  </w:rPr>
                </w:pPr>
                <w:r>
                  <w:rPr>
                    <w:rFonts w:hint="eastAsia" w:ascii="仿宋_GB2312" w:hAnsi="仿宋_GB2312" w:eastAsia="仿宋_GB2312" w:cs="仿宋_GB2312"/>
                    <w:szCs w:val="21"/>
                  </w:rPr>
                  <w:t>7、电子保函</w:t>
                </w:r>
                <w:r>
                  <w:rPr>
                    <w:rFonts w:hint="eastAsia" w:ascii="仿宋_GB2312" w:hAnsi="仿宋_GB2312" w:eastAsia="仿宋_GB2312" w:cs="仿宋_GB2312"/>
                    <w:szCs w:val="21"/>
                    <w:u w:val="single"/>
                  </w:rPr>
                  <w:t>：电子保函与现金保证金具有同等法律效力，投标人可根据项目招标公告要求，自主选择投标保证金缴纳方式。供应商如需办理电子保函业务，请登录营口市公共资源交易网（网址：http://ccgp.yingkou.gov.cn/Html/Main.asp),下载《投标保证金保险投保人（投标人）操作手册》，按要求在网上办理相关手续即可。</w:t>
                </w:r>
              </w:p>
              <w:p>
                <w:pPr>
                  <w:rPr>
                    <w:rFonts w:ascii="仿宋_GB2312" w:hAnsi="仿宋_GB2312" w:eastAsia="仿宋_GB2312" w:cs="仿宋_GB2312"/>
                    <w:szCs w:val="21"/>
                  </w:rPr>
                </w:pPr>
                <w:r>
                  <w:rPr>
                    <w:rFonts w:hint="eastAsia" w:ascii="仿宋_GB2312" w:hAnsi="仿宋_GB2312" w:eastAsia="仿宋_GB2312" w:cs="仿宋_GB2312"/>
                    <w:b/>
                    <w:bCs/>
                    <w:szCs w:val="21"/>
                  </w:rPr>
                  <w:t>（注：财政部门鼓励采用保函的方式递交投标保证金，具体办理流程参阅辽宁政府采购网）</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1917"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128"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Layout w:type="fixed"/>
              <w:tblCellMar>
                <w:top w:w="0" w:type="dxa"/>
                <w:left w:w="108" w:type="dxa"/>
                <w:bottom w:w="0" w:type="dxa"/>
                <w:right w:w="108" w:type="dxa"/>
              </w:tblCellMar>
            </w:tblPrEx>
            <w:trPr>
              <w:trHeight w:val="64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szCs w:val="21"/>
                  </w:rPr>
                  <w:t>投标文件及电子文档份数</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份</w:t>
                </w:r>
              </w:p>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电子文档</w:t>
                </w:r>
                <w:r>
                  <w:rPr>
                    <w:rFonts w:hint="eastAsia" w:ascii="仿宋_GB2312" w:hAnsi="仿宋_GB2312" w:eastAsia="仿宋_GB2312" w:cs="仿宋_GB2312"/>
                    <w:kern w:val="0"/>
                    <w:szCs w:val="21"/>
                    <w:u w:val="single"/>
                  </w:rPr>
                  <w:t>1</w:t>
                </w:r>
                <w:r>
                  <w:rPr>
                    <w:rFonts w:hint="eastAsia" w:ascii="仿宋_GB2312" w:hAnsi="仿宋_GB2312" w:eastAsia="仿宋_GB2312" w:cs="仿宋_GB2312"/>
                    <w:kern w:val="0"/>
                    <w:szCs w:val="21"/>
                  </w:rPr>
                  <w:t>份（分项报价表）</w:t>
                </w:r>
              </w:p>
            </w:tc>
          </w:tr>
          <w:tr>
            <w:tblPrEx>
              <w:tblLayout w:type="fixed"/>
              <w:tblCellMar>
                <w:top w:w="0" w:type="dxa"/>
                <w:left w:w="108" w:type="dxa"/>
                <w:bottom w:w="0" w:type="dxa"/>
                <w:right w:w="108" w:type="dxa"/>
              </w:tblCellMar>
            </w:tblPrEx>
            <w:trPr>
              <w:trHeight w:val="631"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递交投标文件截止时间、地点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开标时间、地点</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详见招标公告，以招标公告规定时间、地点为准。</w:t>
                </w:r>
              </w:p>
            </w:tc>
          </w:tr>
          <w:tr>
            <w:tblPrEx>
              <w:tblLayout w:type="fixed"/>
              <w:tblCellMar>
                <w:top w:w="0" w:type="dxa"/>
                <w:left w:w="108" w:type="dxa"/>
                <w:bottom w:w="0" w:type="dxa"/>
                <w:right w:w="108" w:type="dxa"/>
              </w:tblCellMar>
            </w:tblPrEx>
            <w:trPr>
              <w:trHeight w:val="613" w:hRule="atLeast"/>
            </w:trPr>
            <w:tc>
              <w:tcPr>
                <w:tcW w:w="852"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w:t>
                </w:r>
              </w:p>
            </w:tc>
            <w:tc>
              <w:tcPr>
                <w:tcW w:w="1917"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评标委员会组成</w:t>
                </w:r>
              </w:p>
            </w:tc>
            <w:tc>
              <w:tcPr>
                <w:tcW w:w="6128"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评标委员会由采购人代表</w:t>
                </w:r>
                <w:r>
                  <w:rPr>
                    <w:rFonts w:hint="eastAsia" w:ascii="仿宋_GB2312" w:hAnsi="仿宋_GB2312" w:eastAsia="仿宋_GB2312" w:cs="仿宋_GB2312"/>
                    <w:szCs w:val="21"/>
                    <w:u w:val="single"/>
                  </w:rPr>
                  <w:t>1</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4</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5</w:t>
                </w:r>
                <w:r>
                  <w:rPr>
                    <w:rFonts w:hint="eastAsia" w:ascii="仿宋_GB2312" w:hAnsi="仿宋_GB2312" w:eastAsia="仿宋_GB2312" w:cs="仿宋_GB2312"/>
                    <w:szCs w:val="21"/>
                  </w:rPr>
                  <w:t xml:space="preserve">人。 </w:t>
                </w:r>
              </w:p>
            </w:tc>
          </w:tr>
          <w:tr>
            <w:tblPrEx>
              <w:tblLayout w:type="fixed"/>
              <w:tblCellMar>
                <w:top w:w="0" w:type="dxa"/>
                <w:left w:w="108" w:type="dxa"/>
                <w:bottom w:w="0" w:type="dxa"/>
                <w:right w:w="108" w:type="dxa"/>
              </w:tblCellMar>
            </w:tblPrEx>
            <w:trPr>
              <w:trHeight w:val="204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样品的评审方法以及评审标准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演示的评审方法及评审标准</w:t>
                </w:r>
              </w:p>
            </w:tc>
            <w:tc>
              <w:tcPr>
                <w:tcW w:w="612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1、演示评审方法：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27.2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评标办法</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综合评分法</w:t>
                </w:r>
              </w:p>
              <w:p>
                <w:pPr>
                  <w:widowControl/>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最低评标价法</w:t>
                </w:r>
              </w:p>
            </w:tc>
          </w:tr>
          <w:tr>
            <w:tblPrEx>
              <w:tblLayout w:type="fixed"/>
              <w:tblCellMar>
                <w:top w:w="0" w:type="dxa"/>
                <w:left w:w="108" w:type="dxa"/>
                <w:bottom w:w="0" w:type="dxa"/>
                <w:right w:w="108" w:type="dxa"/>
              </w:tblCellMar>
            </w:tblPrEx>
            <w:trPr>
              <w:trHeight w:val="631"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推荐中标候选人的数量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Layout w:type="fixed"/>
              <w:tblCellMar>
                <w:top w:w="0" w:type="dxa"/>
                <w:left w:w="108" w:type="dxa"/>
                <w:bottom w:w="0" w:type="dxa"/>
                <w:right w:w="108" w:type="dxa"/>
              </w:tblCellMar>
            </w:tblPrEx>
            <w:trPr>
              <w:trHeight w:val="942"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w:t>
                </w:r>
              </w:p>
            </w:tc>
            <w:tc>
              <w:tcPr>
                <w:tcW w:w="19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确定中标人的方式</w:t>
                </w:r>
              </w:p>
            </w:tc>
            <w:tc>
              <w:tcPr>
                <w:tcW w:w="6128"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中标人数量：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采购人委托评标委员会直接确定中标人</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采购人确定中标人</w:t>
                </w:r>
              </w:p>
            </w:tc>
          </w:tr>
          <w:tr>
            <w:tblPrEx>
              <w:tblLayout w:type="fixed"/>
              <w:tblCellMar>
                <w:top w:w="0" w:type="dxa"/>
                <w:left w:w="108" w:type="dxa"/>
                <w:bottom w:w="0" w:type="dxa"/>
                <w:right w:w="108" w:type="dxa"/>
              </w:tblCellMar>
            </w:tblPrEx>
            <w:trPr>
              <w:trHeight w:val="3115" w:hRule="atLeast"/>
            </w:trPr>
            <w:tc>
              <w:tcPr>
                <w:tcW w:w="8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35.1</w:t>
                </w:r>
              </w:p>
            </w:tc>
            <w:tc>
              <w:tcPr>
                <w:tcW w:w="1917"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612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中标金额的5%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中标供应商领取中标通知书前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名：</w:t>
                </w:r>
                <w:r>
                  <w:rPr>
                    <w:rFonts w:hint="eastAsia" w:ascii="仿宋_GB2312" w:hAnsi="仿宋_GB2312" w:eastAsia="仿宋_GB2312" w:cs="仿宋_GB2312"/>
                    <w:kern w:val="0"/>
                    <w:szCs w:val="21"/>
                    <w:u w:val="single"/>
                  </w:rPr>
                  <w:t>营口市审批技术审查与公共资源交易中心</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 户 行：</w:t>
                </w:r>
                <w:r>
                  <w:rPr>
                    <w:rFonts w:hint="eastAsia" w:ascii="仿宋_GB2312" w:hAnsi="仿宋_GB2312" w:eastAsia="仿宋_GB2312" w:cs="仿宋_GB2312"/>
                    <w:kern w:val="0"/>
                    <w:szCs w:val="21"/>
                    <w:u w:val="single"/>
                  </w:rPr>
                  <w:t>中国建设银行股份有限公司营口新联大街支行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    号：</w:t>
                </w:r>
                <w:r>
                  <w:rPr>
                    <w:rFonts w:hint="eastAsia" w:ascii="仿宋_GB2312" w:hAnsi="仿宋_GB2312" w:eastAsia="仿宋_GB2312" w:cs="仿宋_GB2312"/>
                    <w:kern w:val="0"/>
                    <w:szCs w:val="21"/>
                    <w:u w:val="single"/>
                  </w:rPr>
                  <w:t>21050110852100000007</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中标供应商应在政府采购合同履约验收完成后5个工作日内持履约保证金收据、履约验收单（书）及相关证明到中心前台办理退还保证金事宜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Layout w:type="fixed"/>
              <w:tblCellMar>
                <w:top w:w="0" w:type="dxa"/>
                <w:left w:w="108" w:type="dxa"/>
                <w:bottom w:w="0" w:type="dxa"/>
                <w:right w:w="108" w:type="dxa"/>
              </w:tblCellMar>
            </w:tblPrEx>
            <w:trPr>
              <w:trHeight w:val="1252" w:hRule="atLeast"/>
            </w:trPr>
            <w:tc>
              <w:tcPr>
                <w:tcW w:w="852"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36</w:t>
                </w:r>
              </w:p>
            </w:tc>
            <w:tc>
              <w:tcPr>
                <w:tcW w:w="1917"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6128"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Layout w:type="fixed"/>
              <w:tblCellMar>
                <w:top w:w="0" w:type="dxa"/>
                <w:left w:w="108" w:type="dxa"/>
                <w:bottom w:w="0" w:type="dxa"/>
                <w:right w:w="108" w:type="dxa"/>
              </w:tblCellMar>
            </w:tblPrEx>
            <w:trPr>
              <w:trHeight w:val="614" w:hRule="atLeast"/>
            </w:trPr>
            <w:tc>
              <w:tcPr>
                <w:tcW w:w="852"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39.3</w:t>
                </w:r>
              </w:p>
            </w:tc>
            <w:tc>
              <w:tcPr>
                <w:tcW w:w="1917"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6128"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szCs w:val="21"/>
                  </w:rPr>
                  <w:t>联系单位：</w:t>
                </w:r>
                <w:r>
                  <w:rPr>
                    <w:rFonts w:hint="eastAsia" w:ascii="仿宋_GB2312" w:hAnsi="仿宋_GB2312" w:eastAsia="仿宋_GB2312" w:cs="仿宋_GB2312"/>
                    <w:kern w:val="0"/>
                    <w:szCs w:val="21"/>
                    <w:u w:val="single"/>
                  </w:rPr>
                  <w:t>营口市审批技术审查与公共资源交易中心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w:t>
                </w:r>
                <w:r>
                  <w:rPr>
                    <w:rFonts w:hint="eastAsia" w:ascii="仿宋_GB2312" w:hAnsi="仿宋_GB2312" w:eastAsia="仿宋_GB2312" w:cs="仿宋_GB2312"/>
                    <w:kern w:val="0"/>
                    <w:szCs w:val="21"/>
                    <w:u w:val="single"/>
                  </w:rPr>
                  <w:t>吴先生</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w:t>
                </w:r>
                <w:r>
                  <w:rPr>
                    <w:rFonts w:hint="eastAsia" w:ascii="仿宋_GB2312" w:hAnsi="仿宋_GB2312" w:eastAsia="仿宋_GB2312" w:cs="仿宋_GB2312"/>
                    <w:kern w:val="0"/>
                    <w:szCs w:val="21"/>
                    <w:u w:val="single"/>
                  </w:rPr>
                  <w:t>0417-2972518</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w:t>
                </w:r>
                <w:r>
                  <w:rPr>
                    <w:rFonts w:hint="eastAsia" w:ascii="仿宋_GB2312" w:hAnsi="仿宋_GB2312" w:eastAsia="仿宋_GB2312" w:cs="仿宋_GB2312"/>
                    <w:kern w:val="0"/>
                    <w:szCs w:val="21"/>
                    <w:u w:val="single"/>
                  </w:rPr>
                  <w:t>辽宁省营口市沿海产业基地民生路28号营口市民服务中心（营口市审批技术审查与公共资源交易中心）</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二、投标人应在法定质疑期内一次性针对同一采购程序环节提出质疑，否则针对再次提出质疑将不予接收。（采购程序环节分为：</w:t>
                </w:r>
                <w:r>
                  <w:rPr>
                    <w:rFonts w:hint="eastAsia" w:ascii="仿宋_GB2312" w:hAnsi="仿宋_GB2312" w:eastAsia="仿宋_GB2312" w:cs="仿宋_GB2312"/>
                    <w:kern w:val="0"/>
                    <w:szCs w:val="21"/>
                  </w:rPr>
                  <w:t>招标</w:t>
                </w:r>
                <w:r>
                  <w:rPr>
                    <w:rFonts w:hint="eastAsia" w:ascii="仿宋_GB2312" w:hAnsi="仿宋_GB2312" w:eastAsia="仿宋_GB2312" w:cs="仿宋_GB2312"/>
                    <w:szCs w:val="21"/>
                  </w:rPr>
                  <w:t>公告、招标文件、招标过程、中标结果）</w:t>
                </w:r>
              </w:p>
            </w:tc>
          </w:tr>
        </w:tbl>
        <w:p>
          <w:pPr>
            <w:spacing w:before="312" w:beforeLines="100" w:after="312" w:afterLines="100"/>
            <w:jc w:val="left"/>
            <w:rPr>
              <w:rFonts w:asciiTheme="majorEastAsia" w:hAnsiTheme="majorEastAsia" w:eastAsiaTheme="majorEastAsia"/>
              <w:b/>
              <w:sz w:val="28"/>
            </w:rPr>
          </w:pPr>
        </w:p>
      </w:sdtContent>
    </w:sdt>
    <w:p>
      <w:pPr>
        <w:rPr>
          <w:rFonts w:ascii="仿宋_GB2312" w:hAnsi="仿宋_GB2312" w:eastAsia="仿宋_GB2312" w:cs="仿宋_GB2312"/>
        </w:rPr>
      </w:pPr>
      <w:r>
        <w:rPr>
          <w:rFonts w:hint="eastAsia" w:ascii="仿宋_GB2312" w:hAnsi="仿宋_GB2312" w:eastAsia="仿宋_GB2312" w:cs="仿宋_GB2312"/>
        </w:rPr>
        <w:t>3注：表格中“</w:t>
      </w:r>
      <w:r>
        <w:rPr>
          <w:rFonts w:hint="eastAsia" w:ascii="仿宋_GB2312" w:hAnsi="仿宋_GB2312" w:eastAsia="仿宋_GB2312" w:cs="仿宋_GB2312"/>
        </w:rPr>
        <w:sym w:font="Wingdings 2" w:char="0052"/>
      </w:r>
      <w:r>
        <w:rPr>
          <w:rFonts w:hint="eastAsia" w:ascii="仿宋_GB2312" w:hAnsi="仿宋_GB2312" w:eastAsia="仿宋_GB2312" w:cs="仿宋_GB2312"/>
        </w:rPr>
        <w:t>”项或“■”项为被选中项。</w:t>
      </w:r>
    </w:p>
    <w:p>
      <w:pPr>
        <w:rPr>
          <w:rFonts w:ascii="仿宋_GB2312" w:hAnsi="仿宋_GB2312" w:eastAsia="仿宋_GB2312" w:cs="仿宋_GB2312"/>
        </w:rPr>
      </w:pPr>
    </w:p>
    <w:p>
      <w:pPr>
        <w:rPr>
          <w:rFonts w:ascii="仿宋_GB2312" w:hAnsi="仿宋_GB2312" w:eastAsia="仿宋_GB2312" w:cs="仿宋_GB2312"/>
          <w:szCs w:val="36"/>
        </w:rPr>
      </w:pPr>
      <w:bookmarkStart w:id="35" w:name="_Toc30384_WPSOffice_Level2"/>
      <w:r>
        <w:rPr>
          <w:rFonts w:hint="eastAsia" w:ascii="仿宋_GB2312" w:hAnsi="仿宋_GB2312" w:eastAsia="仿宋_GB2312" w:cs="仿宋_GB2312"/>
          <w:szCs w:val="36"/>
        </w:rPr>
        <w:br w:type="page"/>
      </w:r>
    </w:p>
    <w:p>
      <w:pPr>
        <w:pStyle w:val="3"/>
        <w:adjustRightInd w:val="0"/>
        <w:snapToGrid w:val="0"/>
        <w:spacing w:before="0" w:after="0" w:line="360" w:lineRule="auto"/>
        <w:jc w:val="center"/>
        <w:rPr>
          <w:rFonts w:ascii="仿宋_GB2312" w:hAnsi="仿宋_GB2312" w:eastAsia="仿宋_GB2312" w:cs="仿宋_GB2312"/>
          <w:szCs w:val="36"/>
        </w:rPr>
      </w:pPr>
      <w:r>
        <w:rPr>
          <w:rFonts w:hint="eastAsia" w:ascii="仿宋_GB2312" w:hAnsi="仿宋_GB2312" w:eastAsia="仿宋_GB2312" w:cs="仿宋_GB2312"/>
          <w:szCs w:val="36"/>
        </w:rPr>
        <w:t>二 总则</w:t>
      </w:r>
      <w:bookmarkEnd w:id="3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1.采购人、采购代理机构及投标人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1.1采购人：是指依法进行政府采购的国家机关、事业单位、团体组织。本项目采购人见投标人须知表1.1款。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1.2采购代理机构：是指集中采购机构或从事采购代理业务的社会中介机构，本项目的采购代理机构见投标人须知表1.2款。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★1.3投标人：是指向采购人提供货物、工程或者服务的法人、非法人组织或者自然人。本项目的投标人及其投标货物须满足以下条件：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1.3.3以采购代理机构认可的方式获得了本项目的招标文件。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1.3.4符合投标人须知表1.3.4款中规定的资格条件。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若投标人须知表1.3.5款中未写明允许采购进口产品，如投标人所投产品为进口产品，其投标将被认定为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1.3.6若投标人须知表1.3.6款中写明专门面向中小企业采购的，如投标人为非中小企业且所投产品为非中小企业产品，其投标将被认定为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★1.4如投标人须知表1.4款中允许联合体投标，对联合体规定如下：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1.4.1两个以上供应商可以组成一个投标联合体，以一个投标人的身份投标。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1.4.3采购人根据采购项目对投标人的特殊要求，联合体中至少应当有一方符合相关规定。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1.4.4联合体各方应签订共同投标协议，明确约定联合体各方承担的工作和相应的责任。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1.4.5大中型企业、其他自然人、法人或者非法人组织与小型、微型企业组成联合体共同参加投标，共同投标协议中应写明小型、微型企业的协议合同金额占到共同投标协议投标总金额的比例。</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1.4.7以联合体形式参加政府采购活动的，联合体各方不得再单独参加或者与其他供应商另外组成联合体参加本项目投标，否则相关投标将被认定为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（1）两个以上的自然人、法人或者其他组织可以组成一个联合体，以一个投标人的身份共同参加政府采购活动。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（2）联合体中标的，联合体各方应共同与采购人签订采购合同，就采购合同约定的事项对采购人承担连带责任。</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1.4.8对联合体投标的其他资格要求见投标人须知表1.4.8款。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★1.7投标人在投标过程中不得向采购人提供、给予任何有价值的物品，影响其正常决策行为。一经发现，其将被认定为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2.1本项目的采购人已获得足以支付本次招标后所签订的合同项下的资金（包括财政性资金和本项目采购中无法与财政性资金分割的非财政性资金）。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2.2项目预算金额和分项或分包最高限价见投标人须知表2.2款。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b/>
          <w:bCs/>
          <w:szCs w:val="21"/>
        </w:rPr>
        <w:t>★</w:t>
      </w:r>
      <w:r>
        <w:rPr>
          <w:rFonts w:hint="eastAsia" w:ascii="仿宋_GB2312" w:hAnsi="仿宋_GB2312" w:eastAsia="仿宋_GB2312" w:cs="仿宋_GB2312"/>
          <w:szCs w:val="21"/>
        </w:rPr>
        <w:t>2.3投标人报价超过招标文件规定的预算金额或者分项、分包最高限价的，其投标将被认定为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bookmarkStart w:id="36" w:name="_Toc266951048"/>
      <w:r>
        <w:rPr>
          <w:rFonts w:hint="eastAsia" w:ascii="仿宋_GB2312" w:hAnsi="仿宋_GB2312" w:eastAsia="仿宋_GB2312" w:cs="仿宋_GB2312"/>
          <w:b/>
          <w:bCs/>
          <w:szCs w:val="21"/>
        </w:rPr>
        <w:t>3.语言文字</w:t>
      </w:r>
      <w:bookmarkEnd w:id="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除专用术语外，与投标有关的语言均使用中文。必要时专用术语应附有中文注释。对不同文字文本投标文件的解释发生异议的，以中文文本为准。</w:t>
      </w:r>
    </w:p>
    <w:p>
      <w:pPr>
        <w:adjustRightInd w:val="0"/>
        <w:snapToGrid w:val="0"/>
        <w:spacing w:line="360" w:lineRule="auto"/>
        <w:rPr>
          <w:rFonts w:ascii="仿宋_GB2312" w:hAnsi="仿宋_GB2312" w:eastAsia="仿宋_GB2312" w:cs="仿宋_GB2312"/>
          <w:b/>
          <w:bCs/>
          <w:szCs w:val="21"/>
        </w:rPr>
      </w:pPr>
      <w:bookmarkStart w:id="37" w:name="_1.8_计量单位"/>
      <w:bookmarkEnd w:id="37"/>
      <w:bookmarkStart w:id="38" w:name="_Toc266951049"/>
      <w:r>
        <w:rPr>
          <w:rFonts w:hint="eastAsia" w:ascii="仿宋_GB2312" w:hAnsi="仿宋_GB2312" w:eastAsia="仿宋_GB2312" w:cs="仿宋_GB2312"/>
          <w:szCs w:val="21"/>
        </w:rPr>
        <w:t>★</w:t>
      </w:r>
      <w:r>
        <w:rPr>
          <w:rFonts w:hint="eastAsia" w:ascii="仿宋_GB2312" w:hAnsi="仿宋_GB2312" w:eastAsia="仿宋_GB2312" w:cs="仿宋_GB2312"/>
          <w:b/>
          <w:bCs/>
          <w:szCs w:val="21"/>
        </w:rPr>
        <w:t>4.计量单位</w:t>
      </w:r>
      <w:bookmarkEnd w:id="38"/>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除投标人须知表4款中有特殊要求外，投标文件中所使用的计量单位，应采用中华人民共和国法定计量单位。</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5.投标费用</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不论投标的结果如何，投标人应承担所有与投标有关的费用。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6.现场考察、开标前答疑会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投标人须知表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6.1款规定组织现场考察或开标前答疑会的，采购人按规定的时间、地点组织投标人现场考察或开标前答疑会，或者在领取招标文件期限截止后以书面形式通知所有获取招标文件的潜在投标人。</w:t>
      </w:r>
    </w:p>
    <w:p>
      <w:pPr>
        <w:adjustRightInd w:val="0"/>
        <w:snapToGrid w:val="0"/>
        <w:spacing w:line="360" w:lineRule="auto"/>
        <w:rPr>
          <w:rFonts w:ascii="仿宋_GB2312" w:hAnsi="仿宋_GB2312" w:eastAsia="仿宋_GB2312" w:cs="仿宋_GB2312"/>
          <w:b/>
          <w:bCs/>
          <w:szCs w:val="21"/>
        </w:rPr>
      </w:pPr>
      <w:bookmarkStart w:id="39" w:name="_1.10_投标预备会"/>
      <w:bookmarkEnd w:id="39"/>
      <w:r>
        <w:rPr>
          <w:rFonts w:hint="eastAsia" w:ascii="仿宋_GB2312" w:hAnsi="仿宋_GB2312" w:eastAsia="仿宋_GB2312" w:cs="仿宋_GB2312"/>
          <w:szCs w:val="21"/>
        </w:rPr>
        <w:t>6.2</w:t>
      </w:r>
      <w:r>
        <w:rPr>
          <w:rFonts w:hint="eastAsia" w:ascii="仿宋_GB2312" w:hAnsi="仿宋_GB2312" w:eastAsia="仿宋_GB2312" w:cs="仿宋_GB2312"/>
          <w:kern w:val="0"/>
          <w:szCs w:val="21"/>
        </w:rPr>
        <w:t>由于未参加现场考察或标前答疑而导致对项目实际情况不了解，影响技术文件编制、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kern w:val="0"/>
          <w:szCs w:val="21"/>
        </w:rPr>
        <w:t>投标报价</w:t>
      </w:r>
      <w:r>
        <w:rPr>
          <w:rFonts w:hint="eastAsia" w:ascii="仿宋_GB2312" w:hAnsi="仿宋_GB2312" w:eastAsia="仿宋_GB2312" w:cs="仿宋_GB2312"/>
          <w:kern w:val="0"/>
          <w:szCs w:val="21"/>
        </w:rPr>
        <w:fldChar w:fldCharType="end"/>
      </w:r>
      <w:r>
        <w:rPr>
          <w:rFonts w:hint="eastAsia" w:ascii="仿宋_GB2312" w:hAnsi="仿宋_GB2312" w:eastAsia="仿宋_GB2312" w:cs="仿宋_GB2312"/>
          <w:kern w:val="0"/>
          <w:szCs w:val="21"/>
        </w:rPr>
        <w:t>准确性、综合因素响应不全面等问题的，由投标人自行承担相应后果。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6.3现场考察及参加标前答疑会所发生的费用及一切责任由投标人自行承担。</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pPr>
        <w:pStyle w:val="3"/>
        <w:jc w:val="center"/>
        <w:rPr>
          <w:rFonts w:ascii="仿宋_GB2312" w:hAnsi="仿宋_GB2312" w:eastAsia="仿宋_GB2312" w:cs="仿宋_GB2312"/>
          <w:szCs w:val="28"/>
        </w:rPr>
      </w:pPr>
      <w:bookmarkStart w:id="40" w:name="_Toc10106_WPSOffice_Level2"/>
      <w:r>
        <w:rPr>
          <w:rFonts w:hint="eastAsia" w:ascii="仿宋_GB2312" w:hAnsi="仿宋_GB2312" w:eastAsia="仿宋_GB2312" w:cs="仿宋_GB2312"/>
          <w:szCs w:val="28"/>
        </w:rPr>
        <w:t>三 招标文件</w:t>
      </w:r>
      <w:bookmarkEnd w:id="40"/>
    </w:p>
    <w:p>
      <w:pPr>
        <w:tabs>
          <w:tab w:val="left" w:pos="312"/>
        </w:tabs>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8.招标文件构成</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招标</w:t>
      </w:r>
      <w:r>
        <w:rPr>
          <w:rFonts w:hint="eastAsia" w:ascii="仿宋_GB2312" w:hAnsi="仿宋_GB2312" w:eastAsia="仿宋_GB2312" w:cs="仿宋_GB2312"/>
        </w:rPr>
        <w:t>文件内容如下:</w:t>
      </w: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kern w:val="0"/>
          <w:szCs w:val="21"/>
        </w:rPr>
        <w:t>招标</w:t>
      </w:r>
      <w:r>
        <w:rPr>
          <w:rFonts w:hint="eastAsia" w:ascii="仿宋_GB2312" w:hAnsi="仿宋_GB2312" w:eastAsia="仿宋_GB2312" w:cs="仿宋_GB2312"/>
        </w:rPr>
        <w:t>公告</w:t>
      </w:r>
    </w:p>
    <w:p>
      <w:pPr>
        <w:numPr>
          <w:ilvl w:val="0"/>
          <w:numId w:val="2"/>
        </w:numPr>
        <w:adjustRightInd w:val="0"/>
        <w:snapToGrid w:val="0"/>
        <w:spacing w:line="360" w:lineRule="auto"/>
        <w:ind w:firstLine="420" w:firstLineChars="200"/>
        <w:rPr>
          <w:rFonts w:ascii="仿宋_GB2312" w:hAnsi="仿宋_GB2312" w:eastAsia="仿宋_GB2312" w:cs="仿宋_GB2312"/>
        </w:rPr>
      </w:pPr>
      <w:bookmarkStart w:id="41" w:name="_Toc188_WPSOffice_Level2"/>
      <w:bookmarkStart w:id="42" w:name="_Toc4961_WPSOffice_Level2"/>
      <w:bookmarkStart w:id="43" w:name="_Toc24604_WPSOffice_Level2"/>
      <w:bookmarkStart w:id="44" w:name="_Toc25935_WPSOffice_Level2"/>
      <w:r>
        <w:rPr>
          <w:rFonts w:hint="eastAsia" w:ascii="仿宋_GB2312" w:hAnsi="仿宋_GB2312" w:eastAsia="仿宋_GB2312" w:cs="仿宋_GB2312"/>
        </w:rPr>
        <w:t>投标人须知</w:t>
      </w:r>
      <w:bookmarkEnd w:id="41"/>
      <w:bookmarkEnd w:id="42"/>
      <w:bookmarkEnd w:id="43"/>
      <w:bookmarkEnd w:id="44"/>
    </w:p>
    <w:p>
      <w:pPr>
        <w:adjustRightInd w:val="0"/>
        <w:snapToGrid w:val="0"/>
        <w:spacing w:line="360" w:lineRule="auto"/>
        <w:ind w:firstLine="420" w:firstLineChars="200"/>
        <w:rPr>
          <w:rFonts w:ascii="仿宋_GB2312" w:hAnsi="仿宋_GB2312" w:eastAsia="仿宋_GB2312" w:cs="仿宋_GB2312"/>
        </w:rPr>
      </w:pPr>
      <w:bookmarkStart w:id="45" w:name="_Toc32235_WPSOffice_Level2"/>
      <w:bookmarkStart w:id="46" w:name="_Toc13276_WPSOffice_Level2"/>
      <w:bookmarkStart w:id="47" w:name="_Toc2443_WPSOffice_Level2"/>
      <w:bookmarkStart w:id="48" w:name="_Toc31424_WPSOffice_Level2"/>
      <w:r>
        <w:rPr>
          <w:rFonts w:hint="eastAsia" w:ascii="仿宋_GB2312" w:hAnsi="仿宋_GB2312" w:eastAsia="仿宋_GB2312" w:cs="仿宋_GB2312"/>
        </w:rPr>
        <w:t>第二章 投标文件内容及格式</w:t>
      </w:r>
      <w:bookmarkEnd w:id="45"/>
      <w:bookmarkEnd w:id="46"/>
      <w:bookmarkEnd w:id="47"/>
      <w:bookmarkEnd w:id="48"/>
    </w:p>
    <w:p>
      <w:pPr>
        <w:adjustRightInd w:val="0"/>
        <w:snapToGrid w:val="0"/>
        <w:spacing w:line="360" w:lineRule="auto"/>
        <w:ind w:firstLine="420" w:firstLineChars="200"/>
        <w:rPr>
          <w:rFonts w:ascii="仿宋_GB2312" w:hAnsi="仿宋_GB2312" w:eastAsia="仿宋_GB2312" w:cs="仿宋_GB2312"/>
        </w:rPr>
      </w:pPr>
      <w:bookmarkStart w:id="49" w:name="_Toc4416_WPSOffice_Level2"/>
      <w:bookmarkStart w:id="50" w:name="_Toc24836_WPSOffice_Level2"/>
      <w:bookmarkStart w:id="51" w:name="_Toc7005_WPSOffice_Level2"/>
      <w:bookmarkStart w:id="52" w:name="_Toc16269_WPSOffice_Level2"/>
      <w:r>
        <w:rPr>
          <w:rFonts w:hint="eastAsia" w:ascii="仿宋_GB2312" w:hAnsi="仿宋_GB2312" w:eastAsia="仿宋_GB2312" w:cs="仿宋_GB2312"/>
        </w:rPr>
        <w:t>第三章 货物需求</w:t>
      </w:r>
      <w:bookmarkEnd w:id="49"/>
      <w:bookmarkEnd w:id="50"/>
      <w:bookmarkEnd w:id="51"/>
      <w:bookmarkEnd w:id="52"/>
    </w:p>
    <w:p>
      <w:pPr>
        <w:adjustRightInd w:val="0"/>
        <w:snapToGrid w:val="0"/>
        <w:spacing w:line="360" w:lineRule="auto"/>
        <w:ind w:firstLine="420" w:firstLineChars="200"/>
        <w:rPr>
          <w:rFonts w:ascii="仿宋_GB2312" w:hAnsi="仿宋_GB2312" w:eastAsia="仿宋_GB2312" w:cs="仿宋_GB2312"/>
        </w:rPr>
      </w:pPr>
      <w:bookmarkStart w:id="53" w:name="_Toc23459_WPSOffice_Level2"/>
      <w:bookmarkStart w:id="54" w:name="_Toc16119_WPSOffice_Level2"/>
      <w:bookmarkStart w:id="55" w:name="_Toc16294_WPSOffice_Level2"/>
      <w:bookmarkStart w:id="56" w:name="_Toc25382_WPSOffice_Level2"/>
      <w:r>
        <w:rPr>
          <w:rFonts w:hint="eastAsia" w:ascii="仿宋_GB2312" w:hAnsi="仿宋_GB2312" w:eastAsia="仿宋_GB2312" w:cs="仿宋_GB2312"/>
        </w:rPr>
        <w:t>第四章 评标方法</w:t>
      </w:r>
      <w:bookmarkEnd w:id="53"/>
      <w:bookmarkEnd w:id="54"/>
      <w:bookmarkEnd w:id="55"/>
      <w:bookmarkEnd w:id="56"/>
    </w:p>
    <w:p>
      <w:pPr>
        <w:adjustRightInd w:val="0"/>
        <w:snapToGrid w:val="0"/>
        <w:spacing w:line="360" w:lineRule="auto"/>
        <w:ind w:firstLine="420" w:firstLineChars="200"/>
        <w:rPr>
          <w:rFonts w:ascii="仿宋_GB2312" w:hAnsi="仿宋_GB2312" w:eastAsia="仿宋_GB2312" w:cs="仿宋_GB2312"/>
        </w:rPr>
      </w:pPr>
      <w:bookmarkStart w:id="57" w:name="_Toc16368_WPSOffice_Level2"/>
      <w:bookmarkStart w:id="58" w:name="_Toc28106_WPSOffice_Level2"/>
      <w:bookmarkStart w:id="59" w:name="_Toc9629_WPSOffice_Level2"/>
      <w:bookmarkStart w:id="60" w:name="_Toc17794_WPSOffice_Level2"/>
      <w:r>
        <w:rPr>
          <w:rFonts w:hint="eastAsia" w:ascii="仿宋_GB2312" w:hAnsi="仿宋_GB2312" w:eastAsia="仿宋_GB2312" w:cs="仿宋_GB2312"/>
        </w:rPr>
        <w:t>第五章 政府采购合同</w:t>
      </w:r>
      <w:bookmarkEnd w:id="57"/>
      <w:bookmarkEnd w:id="58"/>
      <w:bookmarkEnd w:id="59"/>
      <w:bookmarkEnd w:id="60"/>
      <w:r>
        <w:rPr>
          <w:rFonts w:hint="eastAsia" w:ascii="仿宋_GB2312" w:hAnsi="仿宋_GB2312" w:eastAsia="仿宋_GB2312" w:cs="仿宋_GB2312"/>
        </w:rPr>
        <w:t>条款及格式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9.招标文件的澄清与修改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9.2澄清或者修改的内容为招标文件的组成部分，对所有招标文件的收受人具有约束力。投标人在收到上述通知后，应及时向采购代理机构回函确认。</w:t>
      </w:r>
    </w:p>
    <w:p>
      <w:pPr>
        <w:pStyle w:val="3"/>
        <w:jc w:val="center"/>
        <w:rPr>
          <w:rFonts w:ascii="仿宋_GB2312" w:hAnsi="仿宋_GB2312" w:eastAsia="仿宋_GB2312" w:cs="仿宋_GB2312"/>
        </w:rPr>
      </w:pPr>
      <w:bookmarkStart w:id="61" w:name="_Toc7415_WPSOffice_Level2"/>
      <w:r>
        <w:rPr>
          <w:rFonts w:hint="eastAsia" w:ascii="仿宋_GB2312" w:hAnsi="仿宋_GB2312" w:eastAsia="仿宋_GB2312" w:cs="仿宋_GB2312"/>
        </w:rPr>
        <w:t>四 投标文件的编制</w:t>
      </w:r>
      <w:bookmarkEnd w:id="61"/>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10.投标范围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10.1项目有分包的，投标人可对招标文件其中某一个分包或几个分包进行投标。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★10.2投标人应当对所投分包在招标文件中“货物需求”所列的所有货物内容进行投标，如仅响应分包中某一部分内容，其该包投标将被认定为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pStyle w:val="8"/>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10.3如一个分包内包含多种产品的，采购人或采购代理机构将在投标人须知表10.3款中载明核心产品（非单一产品采购时，只能设一个核心产品），多家投标人提供的核心产品品牌相同的，按照第四章“评标办法”第4款“同一品牌产品”规定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10.4无论招标文件第三章货物需求中是否要求，投标人所投货物均应符合国家强制性标准。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11.投标文件构成</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★11.1投标人应完整地按招标文件提供的投标文件格式及要求编写投标文件。投标文件应包括资格证明文件、符合性证明文件、其它材料三部分。具体见第二章 投标文件内容及格式。</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★11.2投标人应按招标文件提供的格式编写投标文件。招标文件提供标准格式的按标准格式填列，未提供标准格式的可自行拟定。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11.3 样品或演示要求详见投标人须知表11.3款。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12.投标报价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12.3投标人应按招标文件要求在相关表格中标明投标货物及伴随服务的单价和总价，并由法定代表人（非法人组织的负责人）或其委托代理人签署。</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12.4投标人所报的各分项投标单价在合同履行过程中是固定不变的，不得以任何理由予以变更。任何包含价格调整要求的投标，其投标将被认定为</w:t>
      </w:r>
      <w:r>
        <w:rPr>
          <w:rFonts w:hint="eastAsia" w:ascii="仿宋_GB2312" w:hAnsi="仿宋_GB2312" w:eastAsia="仿宋_GB2312" w:cs="仿宋_GB2312"/>
          <w:b/>
          <w:bCs/>
          <w:szCs w:val="21"/>
        </w:rPr>
        <w:t>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12.5每种货物只能有一个投标报价。采购人不接受具有附加条件的报价。</w:t>
      </w:r>
    </w:p>
    <w:p>
      <w:pPr>
        <w:adjustRightInd w:val="0"/>
        <w:snapToGrid w:val="0"/>
        <w:spacing w:line="360" w:lineRule="auto"/>
        <w:rPr>
          <w:rFonts w:ascii="仿宋_GB2312" w:hAnsi="仿宋_GB2312" w:eastAsia="仿宋_GB2312" w:cs="仿宋_GB2312"/>
          <w:szCs w:val="21"/>
        </w:rPr>
      </w:pPr>
      <w:bookmarkStart w:id="62" w:name="_Toc31973_WPSOffice_Level2"/>
      <w:bookmarkStart w:id="63" w:name="_Toc22507_WPSOffice_Level2"/>
      <w:r>
        <w:rPr>
          <w:rFonts w:hint="eastAsia" w:ascii="仿宋_GB2312" w:hAnsi="仿宋_GB2312" w:eastAsia="仿宋_GB2312" w:cs="仿宋_GB2312"/>
          <w:szCs w:val="21"/>
        </w:rPr>
        <w:t>12.6除非招标文件另有规定，报价原则上精确到小数点后两位。</w:t>
      </w:r>
      <w:bookmarkEnd w:id="62"/>
      <w:bookmarkEnd w:id="63"/>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★13.投标保证金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13.1投标人应提交投标人须知表13.1款中规定的投标保证金，并作为其投标的一部分。</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13.2投标保证金缴纳人、招标文件领取人、投标登记人和投标人必须为同一组织机构或联合体内不同成员单位，否则将视同未按招标文件规定交纳投标保证金。</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13.3投标人存在下列情形的，投标保证金不予退还：</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（1）在投标有效期内，投标人撤销投标的；</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（2）中标后不按本须知第34款的规定与采购人签订合同的；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（3）中标后不按本须知第35款的规定提交履约保证金的；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（4）中标后不按本须知第36款的规定缴纳采购代理服务费的；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（5）存在其他违法违规行为的。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13.4联合体投标的，可以由联合体中的一方或者共同提交投标保证金。以一方名义提交投标保证金的，对联合体各方均具有约束力。</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13.5投标保证金的退还</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13.5.1中标人应在与采购人签订合同之日起5个工作日内，及时联系保证金收受机构办理投标保证金退还手续。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13.5.2未中标投标人的投标保证金将在中标通知书发出之日暨中标结果公告公布之日起5个工作日内无息退还。投标人应及时联系保证金收受机构办理退还投标保证金手续。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13.5.3投标人在投标截止时间前撤回已提交的投标文件的，投标人应自采购人或者采购代理机构收到投标人书面撤回通知之日起５个工作日内，及时联系保证金收受机构办理投标保证金退还手续。</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13.5.4 政府采购投标担保函不予退回。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13.6 因投标人自身原因导致无法及时退还的，采购人或采购代理机构将不承担相应责任。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14.证明投标标的的合格性和符合招标文件规定的技术文件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14.1投标人应提交证明文件，证明其投标内容符合招标文件规定。该证明文件是投标文件的一部分。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14.2上款所述的证明文件，可以是文字资料、图纸和数据，它包括：</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（1）货物主要技术指标和性能的详细说明；</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（2）货物从采购人开始使用至招标文件规定的保质期内正常、连续地使用所必须的备件和专用工具清单，包括备件和专用工具的货源及现行价格;</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（3）对照招标文件技术规格，逐条说明所提供货物及伴随的工程和服务已对招标文件的技术规格做出了实质性的响应，或申明与技术规格条文的偏差和例外。</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15.投标有效期</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15.1投标应在投标人须知表15.1款中规定的投标有效期内保持有效。投标有效期不满足要求的投标，其投标将被认定为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16.投标文件的签署及规定</w:t>
      </w:r>
    </w:p>
    <w:p>
      <w:pPr>
        <w:adjustRightInd w:val="0"/>
        <w:snapToGrid w:val="0"/>
        <w:spacing w:line="360" w:lineRule="auto"/>
        <w:rPr>
          <w:rFonts w:ascii="仿宋_GB2312" w:hAnsi="仿宋_GB2312" w:eastAsia="仿宋_GB2312" w:cs="仿宋_GB2312"/>
          <w:szCs w:val="21"/>
        </w:rPr>
      </w:pPr>
      <w:bookmarkStart w:id="64" w:name="_Toc27725_WPSOffice_Level2"/>
      <w:r>
        <w:rPr>
          <w:rFonts w:hint="eastAsia" w:ascii="仿宋_GB2312" w:hAnsi="仿宋_GB2312" w:eastAsia="仿宋_GB2312" w:cs="仿宋_GB2312"/>
          <w:szCs w:val="21"/>
        </w:rPr>
        <w:t>16.1投标人应按投标人须知表16.1款中的规定，准备和递交投标文件正本、副本和电子文档。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★16.2每份投标文件封皮须清楚地标明“正本”或“副本”。若正本和副本不符，以正本为准。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pPr>
        <w:pStyle w:val="3"/>
        <w:jc w:val="center"/>
        <w:rPr>
          <w:rFonts w:ascii="仿宋_GB2312" w:hAnsi="仿宋_GB2312" w:eastAsia="仿宋_GB2312" w:cs="仿宋_GB2312"/>
          <w:szCs w:val="28"/>
        </w:rPr>
      </w:pPr>
      <w:r>
        <w:rPr>
          <w:rFonts w:hint="eastAsia" w:ascii="仿宋_GB2312" w:hAnsi="仿宋_GB2312" w:eastAsia="仿宋_GB2312" w:cs="仿宋_GB2312"/>
          <w:szCs w:val="28"/>
        </w:rPr>
        <w:t>五 投标文件的递交</w:t>
      </w:r>
      <w:bookmarkEnd w:id="64"/>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17.投标文件的密封和标记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17.1投标人应将投标文件密封，将正本和所有的副本、电子文档密封，并进行包封。</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（1）注明项目名称、项目编号、包号、投标人名称。</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（2）加盖投标人单位公章。</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17.3如果投标人未按上述要求密封，其投标文件将被</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18.投标截止</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18.1投标人应在投标人须知表18.1中规定的递交投标文件截止时间前，将投标文件递交到投标人须知表18.1款中规定的地点。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18.2采购人和采购代理机构有权按本须知的规定，延迟投标截止时间。在此情况下，采购人、采购代理机构和投标人受投标截止时间制约的所有权利和义务均应延长至新的截止时间。</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19.投标文件的接收、修改与撤回</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19.1在投标截止时间后送达的投标文件，采购人和采购代理机构将</w:t>
      </w:r>
      <w:r>
        <w:rPr>
          <w:rFonts w:hint="eastAsia" w:ascii="仿宋_GB2312" w:hAnsi="仿宋_GB2312" w:eastAsia="仿宋_GB2312" w:cs="仿宋_GB2312"/>
          <w:b/>
          <w:bCs/>
          <w:szCs w:val="21"/>
        </w:rPr>
        <w:t>拒绝接收</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19.3在投标截止时间之后，投标人不得对其投标文件做任何修改。</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19.4采购人和采购代理机构对所接收并当众宣读投标内容的投标文件概不退回。</w:t>
      </w:r>
    </w:p>
    <w:p>
      <w:pPr>
        <w:pStyle w:val="3"/>
        <w:jc w:val="center"/>
        <w:rPr>
          <w:rFonts w:ascii="仿宋_GB2312" w:hAnsi="仿宋_GB2312" w:eastAsia="仿宋_GB2312" w:cs="仿宋_GB2312"/>
          <w:szCs w:val="28"/>
        </w:rPr>
      </w:pPr>
      <w:bookmarkStart w:id="65" w:name="_Toc988_WPSOffice_Level2"/>
      <w:r>
        <w:rPr>
          <w:rFonts w:hint="eastAsia" w:ascii="仿宋_GB2312" w:hAnsi="仿宋_GB2312" w:eastAsia="仿宋_GB2312" w:cs="仿宋_GB2312"/>
          <w:szCs w:val="28"/>
        </w:rPr>
        <w:t>六 开标及评标</w:t>
      </w:r>
      <w:bookmarkEnd w:id="65"/>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20.开标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20.1采购人和采购代理机构将按投标人须知表20.1款中规定的开标时间和地点组织公开开标并邀请所有投标人代表参加。</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投标人不足3家的，不得开标。评标委员会成员不得参加开标活动。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未宣读投标价格、价格折扣等实质内容，评标时不予承认。</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20.3采购人或采购代理机构将对开标过程进行记录，由参加开标的各投标人代表和相关工作人员签字确认，并存档备查。投标人未参加开标或未签字确认的，视同认可开标结果。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20.4投标人代表对开标过程和开标记录有疑义，以及认为采购人、采购代理机构相关工作人员有需要回避的情形的，应当场提出询问或者回避申请。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21.组建评标委员会</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按照《中华人民共和国政府采购法》、《中华人民共和国政府采购法实施条例》有关规定依法组建评标委员会，负责本项目评标工作。本项目评标委员会组成详见投标人须知表21款。</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22.资格审查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；通过资格审查的投标人不足3家的，不得评标。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22.2采购人或采购代理机构将在递交投标文件截止时间前一个工作日至资格审查结束前查询投标人的信用记录。投标人存在不良信用记录的，其投标将被认定为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以联合体形式参加投标的，联合体任何成员存在以上不良信用记录的，联合体投标将被认定为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22.2.2查询及记录方式：采购人或采购代理机构经办人将查询网页打印并存档备查。投标人不良信用记录以采购人或采购代理机构查询结果为准。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在本招标文件规定的查询时间之后，网站信息发生的任何变更均不再作为评标依据。</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投标人自行提供的与网站信息不一致的其他证明材料亦不作为资格审查依据。</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23.符合性审查</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；通过符合性审查的投标人数量不足3家的，不得作进一步的比较和评价。</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24.投标文件的澄清</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24.2投标人的澄清、说明或补正将作为投标文件的一部分。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24.3投标文件报价出现前后不一致的，按照下列规定修正：</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（1）投标文件中开标一览表内容与投标文件中相应内容不一致的，以开标一览表为准；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（3）单价金额小数点或者百分比有明显错位的，以开标一览表的总价为准，并修改单价；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同时出现两种以上不一致的，按照前款规定的顺序修正。修正后的报价经投标人确认后产生约束力，投标人不确认的，其投标将被认定为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rPr>
      </w:pPr>
      <w:r>
        <w:rPr>
          <w:rFonts w:hint="eastAsia" w:ascii="仿宋_GB2312" w:hAnsi="仿宋_GB2312" w:eastAsia="仿宋_GB2312" w:cs="仿宋_GB2312"/>
          <w:szCs w:val="21"/>
        </w:rPr>
        <w:t>24.4</w:t>
      </w:r>
      <w:r>
        <w:rPr>
          <w:rFonts w:hint="eastAsia" w:ascii="仿宋_GB2312" w:hAnsi="仿宋_GB2312" w:eastAsia="仿宋_GB2312" w:cs="仿宋_GB2312"/>
          <w:b/>
          <w:bCs/>
          <w:szCs w:val="21"/>
        </w:rPr>
        <w:t>评标委员会认为</w:t>
      </w:r>
      <w:r>
        <w:rPr>
          <w:rFonts w:hint="eastAsia" w:ascii="仿宋_GB2312" w:hAnsi="仿宋_GB2312" w:eastAsia="仿宋_GB2312" w:cs="仿宋_GB2312"/>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处理。提交证明材料的合理时间按第四章 评标方法规定执行。</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25样品及演示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25.1投标人须知表11.3款中要求投标人提供样品的，按照投标人须知表25.1款中样品的评审方法以及评审标准进行评审。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25.3演示的评审方法以及评审标准具体内容见投标人须知表25.1款。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26.投标无效</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26.1在比较与评价之前，根据本须知的规定，评标委员会将审查每份投标文件是否实质上响应了招标文件的要求。</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实质性要求是指招标文件中带有★号标识内容（包括本级及其下级编号中所有内容）等文字说明的要求。</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kern w:val="0"/>
          <w:szCs w:val="21"/>
        </w:rPr>
        <w:t>对招标文件的实质性要求进行响应是指与招标文件中带有★号标识内容的文字说明、条款、条件和规格等要求相符。</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如果投标文件没有对招标文件的实质性要求进行响应，将作为</w:t>
      </w:r>
      <w:r>
        <w:rPr>
          <w:rFonts w:hint="eastAsia" w:ascii="仿宋_GB2312" w:hAnsi="仿宋_GB2312" w:eastAsia="仿宋_GB2312" w:cs="仿宋_GB2312"/>
          <w:b/>
          <w:bCs/>
          <w:szCs w:val="21"/>
        </w:rPr>
        <w:t>无效投标</w:t>
      </w:r>
      <w:r>
        <w:rPr>
          <w:rFonts w:hint="eastAsia" w:ascii="仿宋_GB2312" w:hAnsi="仿宋_GB2312" w:eastAsia="仿宋_GB2312" w:cs="仿宋_GB2312"/>
          <w:szCs w:val="21"/>
        </w:rPr>
        <w:t>处理，投标人不得再对投标文件进行任何修正从而使其投标成为实质上响应的投标。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评标委员会决定投标的响应性只根据招标文件要求、投标文件内容及财政主管部门指定媒体发布的相关信息。</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26.2如发现下列情况之一的，其投标将被认定为</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（1）未按招标文件的规定提交投标保证金的；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（2）未按照招标文件规定要求签署、盖章的；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（3）投标人的报价超过了招标文件中规定的预算金额或者最高限价的；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（4）不具备招标文件中规定的资格要求的；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（5）不符合法律、法规和招标文件中规定的其他实质性要求的。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（6）与其他投标人串通投标，或者与采购人串通投标；</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（7）评标委员会认为投标人的报价明显低于其他通过符合性审查投标人的报价，有可能影响履约的，且投标人未按照规定证明其报价合理性的；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（8）投标文件含有采购人不能接受的附加条件的；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（9）属于法律、法规和招标文件规定的其他投标无效情形；</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27.比较与评价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27.1经符合性审查合格的投标文件，评标委员会将根据招标文件确定的评标方法和标准，对其技术部分和商务部分作进一步的比较和评价。</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27.2评标严格按照招标文件的要求和条件进行。根据实际情况，在投标人须知表27.2款中规定采用下列一种评标方法，详细评标标准见第四章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（1）最低评标价法，是指投标文件满足招标文件全部实质性要求，且投标报价最低的投标人为中标候选人的评标方法。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（2）综合评分法，是指投标文件满足招标文件全部实质性要求，且按照评审因素的量化指标评审得分最高的投标人为中标候选人的评标方法。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27.5根据财政部、辽宁省财政厅相关规定，对于列入《辽宁省创新产品和服务目录》内的产品、服务实施政府优先采购。具体优先采购办法详见第四章 评标方法。</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28.废标</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出现下列情形之一，将导致项目</w:t>
      </w:r>
      <w:r>
        <w:rPr>
          <w:rFonts w:hint="eastAsia" w:ascii="仿宋_GB2312" w:hAnsi="仿宋_GB2312" w:eastAsia="仿宋_GB2312" w:cs="仿宋_GB2312"/>
          <w:b/>
          <w:bCs/>
          <w:szCs w:val="21"/>
        </w:rPr>
        <w:t>废标</w:t>
      </w:r>
      <w:r>
        <w:rPr>
          <w:rFonts w:hint="eastAsia" w:ascii="仿宋_GB2312" w:hAnsi="仿宋_GB2312" w:eastAsia="仿宋_GB2312" w:cs="仿宋_GB2312"/>
          <w:szCs w:val="21"/>
        </w:rPr>
        <w:t>：</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（1）符合专业条件的投标人或者对招标文件做实质性响应的投标人不足3家；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（3）投标人的报价均超过了采购预算或最高限价，采购人不能支付的；</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29.中标候选人的推荐原则及标准</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29.1除第32条规定外，评标委员会将根据评标标准，对实质上响应招标文件的投标人按下列方法进行排序，推荐中标候选人：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（2）采用综合评分法的，评标结果按评审后得分由高到低顺序排序。得分相同的，按第四章评标办法规定执行。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29.2评标委员会将根据评标标准，按投标人须知表29.2款中规定的数量推荐中标候选人。</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29.3因推荐中标候选人名单产生其他问题，由评标委员会集体研究处理。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30.保密原则</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30.1评标将在严格保密的情况下进行。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30.2有关人员应当遵守评标工作纪律，不得泄露评审文件、评标情况和评标过程中获悉的国家秘密、商业秘密。</w:t>
      </w:r>
    </w:p>
    <w:p>
      <w:pPr>
        <w:pStyle w:val="3"/>
        <w:jc w:val="center"/>
        <w:rPr>
          <w:rFonts w:ascii="仿宋_GB2312" w:hAnsi="仿宋_GB2312" w:eastAsia="仿宋_GB2312" w:cs="仿宋_GB2312"/>
          <w:szCs w:val="28"/>
        </w:rPr>
      </w:pPr>
      <w:bookmarkStart w:id="66" w:name="_Toc4544_WPSOffice_Level2"/>
      <w:r>
        <w:rPr>
          <w:rFonts w:hint="eastAsia" w:ascii="仿宋_GB2312" w:hAnsi="仿宋_GB2312" w:eastAsia="仿宋_GB2312" w:cs="仿宋_GB2312"/>
          <w:szCs w:val="28"/>
        </w:rPr>
        <w:t>七 确定中标</w:t>
      </w:r>
      <w:bookmarkEnd w:id="66"/>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31.确定中标人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由采购人或者采购人委托评标委员会按照投标人须知表31中规定的方式确定中标人。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采购人在收到评标报告5个工作日内未按评标报告推荐的中标候选人顺序确定中标人，又不能说明合法理由的，视同按评标报告推荐的顺序确定排名第一的中标候选人为中标人。</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★32.采购任务取消</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因重大变故采购任务取消时，采购人有权拒绝任何供应商中标，且对受影响的投标人不承担任何责任。</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33.中标通知书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33.1采购人或者采购代理机构应当自中标人确定之日起2个工作日内，在辽宁政府采购网及其地方分网媒体上公告中标结果。同时向中标人发出中标通知书。</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33.2中标通知书是合同的组成部分。</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34.签订合同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34.1中标人应当自发出中标通知书之日起 30 日内，与采购人签订书面合同。</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34.3 中标人拒绝与采购人签订合同的，采购人可以按照评标报告推荐的中标候选人名单排序，确定下一中标候选人为中标人，也可以重新开展政府采购活动。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35.履约保证金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35.1中标人应按照投标人须知表35.1款规定向采购人缴纳履约保证金。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szCs w:val="21"/>
        </w:rPr>
        <w:t>★</w:t>
      </w:r>
      <w:r>
        <w:rPr>
          <w:rFonts w:hint="eastAsia" w:ascii="仿宋_GB2312" w:hAnsi="仿宋_GB2312" w:eastAsia="仿宋_GB2312" w:cs="仿宋_GB2312"/>
          <w:b/>
          <w:bCs/>
          <w:szCs w:val="21"/>
        </w:rPr>
        <w:t>36.采购代理服务费</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中标人须按照投标须知表36款规定，向采购代理机构支付采购代理服务费。</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37.廉洁自律规定</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37.1采购代理机构工作人员不得以不正当手段获取政府采购代理业务，不得与采购人、投标人恶意串通操纵政府采购活动。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37.2采购代理机构工作人员不得接受采购人或者投标人组织的宴请、旅游、娱乐，不得收受礼品、现金、有价证券等，不得向采购人或者投标人报销应当由个人承担的费用。</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38.人员回避</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投标人认为采购人及其相关人员有法律法规所列与其他投标人有利害关系的，可以向采购人或采购代理机构书面提出回避申请，并说明理由。</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39.质疑与接收</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超出法定质疑期的、重复提出的、分次提出的或内容、形式不符合《政府采购质疑和投诉办法》的，质疑投标人将依法承担不利后果。</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39.3采购代理机构质疑函接收部门、联系电话和通讯地址, 见投标人须知表39.3款。</w:t>
      </w:r>
    </w:p>
    <w:p>
      <w:pPr>
        <w:adjustRightInd w:val="0"/>
        <w:snapToGrid w:val="0"/>
        <w:spacing w:line="360" w:lineRule="auto"/>
        <w:rPr>
          <w:rFonts w:ascii="仿宋_GB2312" w:hAnsi="仿宋_GB2312" w:eastAsia="仿宋_GB2312" w:cs="仿宋_GB2312"/>
          <w:b/>
          <w:bCs/>
          <w:szCs w:val="21"/>
        </w:rPr>
      </w:pPr>
      <w:r>
        <w:rPr>
          <w:rFonts w:hint="eastAsia" w:ascii="仿宋_GB2312" w:hAnsi="仿宋_GB2312" w:eastAsia="仿宋_GB2312" w:cs="仿宋_GB2312"/>
          <w:b/>
          <w:bCs/>
          <w:szCs w:val="21"/>
        </w:rPr>
        <w:t>40.履约验收</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本项目采购人及其委托的采购代理机构将严格按照政府采购相关法律法规以及《辽宁省政府采购履约验收管理办法》（辽财采〔2017〕603号）的要求进行验收。</w:t>
      </w:r>
    </w:p>
    <w:p>
      <w:pPr>
        <w:widowControl/>
        <w:jc w:val="left"/>
        <w:rPr>
          <w:rFonts w:ascii="仿宋_GB2312" w:hAnsi="仿宋_GB2312" w:eastAsia="仿宋_GB2312" w:cs="仿宋_GB2312"/>
          <w:szCs w:val="21"/>
        </w:rPr>
      </w:pPr>
      <w:r>
        <w:rPr>
          <w:rFonts w:ascii="仿宋_GB2312" w:hAnsi="仿宋_GB2312" w:eastAsia="仿宋_GB2312" w:cs="仿宋_GB2312"/>
          <w:szCs w:val="21"/>
        </w:rPr>
        <w:br w:type="page"/>
      </w:r>
    </w:p>
    <w:p>
      <w:pPr>
        <w:pStyle w:val="2"/>
        <w:jc w:val="center"/>
      </w:pPr>
      <w:bookmarkStart w:id="67" w:name="_Toc17725_WPSOffice_Level1"/>
      <w:r>
        <w:rPr>
          <w:rFonts w:hint="eastAsia"/>
        </w:rPr>
        <w:t>第二章 投标文件内容及格式</w:t>
      </w:r>
      <w:bookmarkEnd w:id="67"/>
    </w:p>
    <w:p>
      <w:pPr>
        <w:ind w:firstLine="482" w:firstLineChars="200"/>
        <w:rPr>
          <w:rFonts w:ascii="仿宋_GB2312" w:hAnsi="仿宋_GB2312" w:eastAsia="仿宋_GB2312" w:cs="仿宋_GB2312"/>
        </w:rPr>
      </w:pPr>
      <w:bookmarkStart w:id="68" w:name="sys_投标文件内容及格式：Block"/>
      <w:bookmarkEnd w:id="68"/>
      <w:bookmarkStart w:id="69" w:name="投标文件内容及格式：Block"/>
      <w:bookmarkEnd w:id="69"/>
      <w:bookmarkStart w:id="70" w:name="_Toc2481_WPSOffice_Level2"/>
      <w:bookmarkStart w:id="71" w:name="_Toc1538_WPSOffice_Level2"/>
      <w:r>
        <w:rPr>
          <w:rFonts w:hint="eastAsia" w:ascii="仿宋_GB2312" w:hAnsi="仿宋_GB2312" w:eastAsia="仿宋_GB2312" w:cs="仿宋_GB2312"/>
          <w:b/>
          <w:sz w:val="24"/>
        </w:rPr>
        <w:t>一、投标文件、电子文档的外封面、封口、封皮及目录</w:t>
      </w:r>
      <w:bookmarkEnd w:id="70"/>
      <w:bookmarkEnd w:id="71"/>
    </w:p>
    <w:tbl>
      <w:tblPr>
        <w:tblStyle w:val="19"/>
        <w:tblW w:w="83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序号</w:t>
            </w:r>
          </w:p>
        </w:tc>
        <w:tc>
          <w:tcPr>
            <w:tcW w:w="6775" w:type="dxa"/>
            <w:vAlign w:val="center"/>
          </w:tcPr>
          <w:p>
            <w:pPr>
              <w:widowControl/>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内容</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677"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6775" w:type="dxa"/>
            <w:vAlign w:val="center"/>
          </w:tcPr>
          <w:p>
            <w:pPr>
              <w:widowControl/>
              <w:jc w:val="left"/>
              <w:rPr>
                <w:rFonts w:ascii="仿宋_GB2312" w:hAnsi="仿宋_GB2312" w:eastAsia="仿宋_GB2312" w:cs="仿宋_GB2312"/>
                <w:b/>
                <w:kern w:val="0"/>
                <w:szCs w:val="21"/>
              </w:rPr>
            </w:pPr>
            <w:r>
              <w:rPr>
                <w:rFonts w:hint="eastAsia" w:ascii="仿宋_GB2312" w:hAnsi="仿宋_GB2312" w:eastAsia="仿宋_GB2312" w:cs="仿宋_GB2312"/>
                <w:kern w:val="0"/>
                <w:szCs w:val="21"/>
              </w:rPr>
              <w:t>投标文件、电子文档的外封面及封口</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投标文件的封皮</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c>
          <w:tcPr>
            <w:tcW w:w="6775" w:type="dxa"/>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投标文件的目录</w:t>
            </w:r>
          </w:p>
        </w:tc>
        <w:tc>
          <w:tcPr>
            <w:tcW w:w="882"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w:t>
            </w:r>
          </w:p>
        </w:tc>
      </w:tr>
    </w:tbl>
    <w:p>
      <w:pPr>
        <w:ind w:firstLine="482" w:firstLineChars="200"/>
        <w:rPr>
          <w:rFonts w:ascii="仿宋_GB2312" w:hAnsi="仿宋_GB2312" w:eastAsia="仿宋_GB2312" w:cs="仿宋_GB2312"/>
          <w:b/>
          <w:sz w:val="24"/>
        </w:rPr>
      </w:pPr>
      <w:bookmarkStart w:id="72" w:name="_Toc31052_WPSOffice_Level2"/>
      <w:bookmarkStart w:id="73" w:name="_Toc1266_WPSOffice_Level2"/>
      <w:r>
        <w:rPr>
          <w:rFonts w:hint="eastAsia" w:ascii="仿宋_GB2312" w:hAnsi="仿宋_GB2312" w:eastAsia="仿宋_GB2312" w:cs="仿宋_GB2312"/>
          <w:b/>
          <w:sz w:val="24"/>
        </w:rPr>
        <w:t>二、资格证明材料</w:t>
      </w:r>
      <w:bookmarkEnd w:id="72"/>
      <w:bookmarkEnd w:id="73"/>
      <w:r>
        <w:rPr>
          <w:rFonts w:hint="eastAsia" w:ascii="仿宋_GB2312" w:hAnsi="仿宋_GB2312" w:eastAsia="仿宋_GB2312" w:cs="仿宋_GB2312"/>
          <w:b/>
          <w:sz w:val="24"/>
        </w:rPr>
        <w:t>（有一项不符合要求，不能进入下一阶段评审）</w:t>
      </w:r>
    </w:p>
    <w:sdt>
      <w:sdtPr>
        <w:rPr>
          <w:rFonts w:hint="eastAsia" w:asciiTheme="majorEastAsia" w:hAnsiTheme="majorEastAsia" w:eastAsiaTheme="majorEastAsia"/>
        </w:rPr>
        <w:alias w:val="资格性证明材料"/>
        <w:tag w:val="Document"/>
        <w:id w:val="1856614308"/>
        <w:lock w:val="sdtLocked"/>
      </w:sdtPr>
      <w:sdtEndPr>
        <w:rPr>
          <w:rFonts w:hint="eastAsia" w:ascii="仿宋" w:hAnsi="仿宋" w:eastAsia="仿宋"/>
          <w:szCs w:val="21"/>
        </w:rPr>
      </w:sdtEndPr>
      <w:sdtContent>
        <w:p>
          <w:pPr>
            <w:rPr>
              <w:rFonts w:ascii="仿宋" w:hAnsi="仿宋" w:eastAsia="仿宋"/>
              <w:szCs w:val="21"/>
            </w:rPr>
          </w:pPr>
          <w:bookmarkStart w:id="74" w:name="_Toc22359_WPSOffice_Level2"/>
          <w:bookmarkStart w:id="75" w:name="_Toc25206_WPSOffice_Level2"/>
          <w:bookmarkStart w:id="76" w:name="资格性证明材料：Document"/>
          <w:bookmarkStart w:id="77" w:name="sys_资格性证明材料：Document"/>
        </w:p>
        <w:tbl>
          <w:tblPr>
            <w:tblStyle w:val="19"/>
            <w:tblW w:w="90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营业执照或事业单位法人证书或执业许可证等证明文件复印件或自然人的身份证明复印件（自然人身份证明仅在自然人作为投标主体时适用）</w:t>
                </w:r>
              </w:p>
            </w:tc>
            <w:sdt>
              <w:sdtPr>
                <w:rPr>
                  <w:rFonts w:hint="eastAsia" w:ascii="仿宋" w:hAnsi="仿宋" w:eastAsia="仿宋"/>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tc>
            <w:sdt>
              <w:sdtPr>
                <w:rPr>
                  <w:rFonts w:hint="eastAsia" w:ascii="仿宋" w:hAnsi="仿宋" w:eastAsia="仿宋"/>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tc>
            <w:sdt>
              <w:sdtPr>
                <w:rPr>
                  <w:rFonts w:hint="eastAsia" w:ascii="仿宋" w:hAnsi="仿宋" w:eastAsia="仿宋"/>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法定代表人（或非法人组织负责人）身份证明书（自然人投标的无需提供、授权委托人参加投标的无需提供）</w:t>
                </w:r>
              </w:p>
            </w:tc>
            <w:sdt>
              <w:sdtPr>
                <w:rPr>
                  <w:rFonts w:hint="eastAsia" w:ascii="仿宋" w:hAnsi="仿宋" w:eastAsia="仿宋"/>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法定代表人（或非法人组织负责人）授权委托书（授权委托人参加投标的须提供）</w:t>
                </w:r>
              </w:p>
            </w:tc>
            <w:sdt>
              <w:sdtPr>
                <w:rPr>
                  <w:rFonts w:hint="eastAsia" w:ascii="仿宋" w:hAnsi="仿宋" w:eastAsia="仿宋"/>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tc>
            <w:sdt>
              <w:sdtPr>
                <w:rPr>
                  <w:rFonts w:hint="eastAsia" w:ascii="仿宋" w:hAnsi="仿宋" w:eastAsia="仿宋"/>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（注：依法免税的投标人，应提供相关证明材料，包括相关法规要求原文及加盖单位公章的情况说明）</w:t>
                </w:r>
              </w:p>
            </w:tc>
            <w:sdt>
              <w:sdtPr>
                <w:rPr>
                  <w:rFonts w:hint="eastAsia" w:ascii="仿宋" w:hAnsi="仿宋" w:eastAsia="仿宋"/>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hint="eastAsia" w:ascii="仿宋" w:hAnsi="仿宋" w:eastAsia="仿宋"/>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参加政府采购活动前3年内在经营活动中没有重大违法记录的书面声明</w:t>
                </w:r>
              </w:p>
            </w:tc>
            <w:sdt>
              <w:sdtPr>
                <w:rPr>
                  <w:rFonts w:hint="eastAsia" w:ascii="仿宋" w:hAnsi="仿宋" w:eastAsia="仿宋"/>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信用记录（采购人或采购代理机构将在招标文件规定的审查期间内进行查询）</w:t>
                </w:r>
              </w:p>
            </w:tc>
            <w:sdt>
              <w:sdtPr>
                <w:rPr>
                  <w:rFonts w:hint="eastAsia" w:ascii="仿宋" w:hAnsi="仿宋" w:eastAsia="仿宋"/>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三、符合性证明材料</w:t>
      </w:r>
      <w:bookmarkEnd w:id="74"/>
      <w:bookmarkEnd w:id="75"/>
      <w:r>
        <w:rPr>
          <w:rFonts w:hint="eastAsia" w:ascii="仿宋_GB2312" w:hAnsi="仿宋_GB2312" w:eastAsia="仿宋_GB2312" w:cs="仿宋_GB2312"/>
          <w:b/>
          <w:sz w:val="24"/>
        </w:rPr>
        <w:t>（有一项不符合要求，不能进入下一阶段评审）</w:t>
      </w:r>
    </w:p>
    <w:bookmarkEnd w:id="76"/>
    <w:bookmarkEnd w:id="77"/>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bookmarkStart w:id="78" w:name="_Toc27769_WPSOffice_Level2"/>
          <w:bookmarkStart w:id="79" w:name="_Toc24432_WPSOffice_Level2"/>
        </w:p>
        <w:tbl>
          <w:tblPr>
            <w:tblStyle w:val="19"/>
            <w:tblW w:w="91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5449"/>
            <w:gridCol w:w="987"/>
            <w:gridCol w:w="938"/>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序号</w:t>
                </w:r>
              </w:p>
            </w:tc>
            <w:tc>
              <w:tcPr>
                <w:tcW w:w="5449"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符合性证明材料</w:t>
                </w:r>
              </w:p>
            </w:tc>
            <w:tc>
              <w:tcPr>
                <w:tcW w:w="987" w:type="dxa"/>
                <w:vAlign w:val="center"/>
              </w:tcPr>
              <w:p>
                <w:pPr>
                  <w:rPr>
                    <w:rFonts w:ascii="仿宋" w:hAnsi="仿宋" w:eastAsia="仿宋"/>
                    <w:kern w:val="0"/>
                    <w:szCs w:val="21"/>
                  </w:rPr>
                </w:pPr>
                <w:r>
                  <w:rPr>
                    <w:rFonts w:ascii="仿宋" w:hAnsi="仿宋" w:eastAsia="仿宋"/>
                    <w:kern w:val="0"/>
                    <w:szCs w:val="21"/>
                  </w:rPr>
                  <w:t>包号</w:t>
                </w:r>
              </w:p>
            </w:tc>
            <w:tc>
              <w:tcPr>
                <w:tcW w:w="938"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Cs w:val="21"/>
                  </w:rPr>
                </w:pPr>
                <w:r>
                  <w:rPr>
                    <w:rFonts w:hint="eastAsia" w:ascii="仿宋" w:hAnsi="仿宋" w:eastAsia="仿宋"/>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1</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投标函</w:t>
                </w:r>
              </w:p>
            </w:tc>
            <w:sdt>
              <w:sdtPr>
                <w:rPr>
                  <w:rFonts w:hint="eastAsia" w:ascii="仿宋" w:hAnsi="仿宋" w:eastAsia="仿宋"/>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10</w:t>
                </w:r>
              </w:p>
            </w:tc>
            <w:tc>
              <w:tcPr>
                <w:tcW w:w="1106" w:type="dxa"/>
                <w:vMerge w:val="restart"/>
                <w:vAlign w:val="center"/>
              </w:tcPr>
              <w:p>
                <w:pPr>
                  <w:jc w:val="center"/>
                  <w:rPr>
                    <w:rFonts w:ascii="仿宋" w:hAnsi="仿宋" w:eastAsia="仿宋"/>
                    <w:kern w:val="0"/>
                    <w:szCs w:val="21"/>
                  </w:rPr>
                </w:pPr>
                <w:r>
                  <w:rPr>
                    <w:rFonts w:ascii="仿宋" w:hAnsi="仿宋" w:eastAsia="仿宋"/>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ascii="仿宋" w:hAnsi="仿宋" w:eastAsia="仿宋"/>
                    <w:kern w:val="0"/>
                    <w:szCs w:val="21"/>
                  </w:rPr>
                  <w:t>2</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递交投标保证金证明材料复印件</w:t>
                </w:r>
              </w:p>
            </w:tc>
            <w:sdt>
              <w:sdtPr>
                <w:rPr>
                  <w:rFonts w:hint="eastAsia" w:ascii="仿宋" w:hAnsi="仿宋" w:eastAsia="仿宋"/>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3</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开标一览表</w:t>
                </w:r>
              </w:p>
            </w:tc>
            <w:sdt>
              <w:sdtPr>
                <w:rPr>
                  <w:rFonts w:hint="eastAsia" w:ascii="仿宋" w:hAnsi="仿宋" w:eastAsia="仿宋"/>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11</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4</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分项报价表</w:t>
                </w:r>
              </w:p>
            </w:tc>
            <w:sdt>
              <w:sdtPr>
                <w:rPr>
                  <w:rFonts w:hint="eastAsia" w:ascii="仿宋" w:hAnsi="仿宋" w:eastAsia="仿宋"/>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12</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5</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技术规格偏离表</w:t>
                </w:r>
              </w:p>
            </w:tc>
            <w:sdt>
              <w:sdtPr>
                <w:rPr>
                  <w:rFonts w:hint="eastAsia" w:ascii="仿宋" w:hAnsi="仿宋" w:eastAsia="仿宋"/>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13</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6</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商务条款偏离表</w:t>
                </w:r>
              </w:p>
            </w:tc>
            <w:sdt>
              <w:sdtPr>
                <w:rPr>
                  <w:rFonts w:hint="eastAsia" w:ascii="仿宋" w:hAnsi="仿宋" w:eastAsia="仿宋"/>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14</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7</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投标人关联单位说明</w:t>
                </w:r>
              </w:p>
            </w:tc>
            <w:sdt>
              <w:sdtPr>
                <w:rPr>
                  <w:rFonts w:hint="eastAsia" w:ascii="仿宋" w:hAnsi="仿宋" w:eastAsia="仿宋"/>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rPr>
                        <w:rFonts w:ascii="仿宋" w:hAnsi="仿宋" w:eastAsia="仿宋"/>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15</w:t>
                </w: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8</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《品目清单》、国家确定的认证机构出具的、处于有效期之内的《节能产品认证证书》（政府强制采购的节能产品须提供）</w:t>
                </w:r>
              </w:p>
            </w:tc>
            <w:sdt>
              <w:sdtPr>
                <w:rPr>
                  <w:rFonts w:hint="eastAsia" w:ascii="仿宋" w:hAnsi="仿宋" w:eastAsia="仿宋"/>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color w:val="FF0000"/>
                        <w:kern w:val="0"/>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647" w:type="dxa"/>
                <w:vAlign w:val="center"/>
              </w:tcPr>
              <w:p>
                <w:pPr>
                  <w:jc w:val="center"/>
                  <w:rPr>
                    <w:rFonts w:ascii="仿宋" w:hAnsi="仿宋" w:eastAsia="仿宋"/>
                    <w:kern w:val="0"/>
                    <w:szCs w:val="21"/>
                  </w:rPr>
                </w:pPr>
                <w:r>
                  <w:rPr>
                    <w:rFonts w:hint="eastAsia" w:ascii="仿宋" w:hAnsi="仿宋" w:eastAsia="仿宋"/>
                    <w:kern w:val="0"/>
                    <w:szCs w:val="21"/>
                  </w:rPr>
                  <w:t>9</w:t>
                </w:r>
              </w:p>
            </w:tc>
            <w:tc>
              <w:tcPr>
                <w:tcW w:w="5449"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其他符合性证明材料：</w:t>
                </w:r>
              </w:p>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货物主要技术指标和性能的详细说明（产品技术说明书、技术白皮书、产品彩页等文字资料、图纸和数据均可），备件和专用工具清单、检测报告等（如适用）。</w:t>
                </w:r>
              </w:p>
            </w:tc>
            <w:sdt>
              <w:sdtPr>
                <w:rPr>
                  <w:rFonts w:hint="eastAsia" w:ascii="仿宋" w:hAnsi="仿宋" w:eastAsia="仿宋"/>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987" w:type="dxa"/>
                    <w:vAlign w:val="center"/>
                  </w:tcPr>
                  <w:p>
                    <w:pPr>
                      <w:widowControl/>
                      <w:rPr>
                        <w:rFonts w:ascii="仿宋" w:hAnsi="仿宋" w:eastAsia="仿宋"/>
                        <w:szCs w:val="21"/>
                      </w:rPr>
                    </w:pPr>
                    <w:r>
                      <w:rPr>
                        <w:rFonts w:hint="eastAsia" w:ascii="仿宋" w:hAnsi="仿宋" w:eastAsia="仿宋"/>
                        <w:szCs w:val="21"/>
                      </w:rPr>
                      <w:t>全部</w:t>
                    </w:r>
                  </w:p>
                </w:tc>
              </w:sdtContent>
            </w:sdt>
            <w:tc>
              <w:tcPr>
                <w:tcW w:w="938"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Cs w:val="21"/>
                  </w:rPr>
                </w:pPr>
              </w:p>
            </w:tc>
          </w:tr>
        </w:tbl>
        <w:p>
          <w:pPr>
            <w:rPr>
              <w:rFonts w:asciiTheme="majorEastAsia" w:hAnsiTheme="majorEastAsia" w:eastAsiaTheme="majorEastAsia"/>
              <w:color w:val="000000" w:themeColor="text1"/>
              <w14:textFill>
                <w14:solidFill>
                  <w14:schemeClr w14:val="tx1"/>
                </w14:solidFill>
              </w14:textFill>
            </w:rPr>
          </w:pPr>
        </w:p>
      </w:sdtContent>
    </w:sdt>
    <w:bookmarkEnd w:id="78"/>
    <w:bookmarkEnd w:id="79"/>
    <w:p>
      <w:pPr>
        <w:snapToGrid w:val="0"/>
        <w:spacing w:before="156" w:beforeLines="50"/>
        <w:rPr>
          <w:rFonts w:ascii="仿宋_GB2312" w:hAnsi="仿宋_GB2312" w:eastAsia="仿宋_GB2312" w:cs="仿宋_GB2312"/>
          <w:b/>
          <w:sz w:val="24"/>
        </w:rPr>
      </w:pPr>
      <w:r>
        <w:rPr>
          <w:rFonts w:hint="eastAsia" w:ascii="仿宋_GB2312" w:hAnsi="仿宋_GB2312" w:eastAsia="仿宋_GB2312" w:cs="仿宋_GB2312"/>
          <w:b/>
          <w:sz w:val="24"/>
        </w:rPr>
        <w:t>　　四、其他材料（如有，请提供；如未提供，投标文件不作无效处理）</w:t>
      </w:r>
    </w:p>
    <w:sdt>
      <w:sdtPr>
        <w:rPr>
          <w:rFonts w:hint="eastAsia" w:asciiTheme="majorEastAsia" w:hAnsiTheme="majorEastAsia" w:eastAsiaTheme="majorEastAsia"/>
        </w:rPr>
        <w:alias w:val="其它材料"/>
        <w:tag w:val="Document"/>
        <w:id w:val="-145358182"/>
        <w:lock w:val="sdtLocked"/>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9"/>
            <w:tblW w:w="9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403"/>
            <w:gridCol w:w="976"/>
            <w:gridCol w:w="960"/>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403"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其他材料</w:t>
                </w:r>
              </w:p>
            </w:tc>
            <w:tc>
              <w:tcPr>
                <w:tcW w:w="976"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960" w:type="dxa"/>
                <w:vAlign w:val="center"/>
              </w:tcPr>
              <w:p>
                <w:pPr>
                  <w:adjustRightInd w:val="0"/>
                  <w:snapToGrid w:val="0"/>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403" w:type="dxa"/>
                <w:vAlign w:val="center"/>
              </w:tcPr>
              <w:p>
                <w:pPr>
                  <w:adjustRightInd w:val="0"/>
                  <w:snapToGrid w:val="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《品目清单》、国家确定的认证机构出具的、处于有效期之内的《节能产品、环境标志产品认证证书》（非政府强制采购的节能产品可以提供） </w:t>
                </w:r>
              </w:p>
            </w:tc>
            <w:sdt>
              <w:sdtPr>
                <w:rPr>
                  <w:rFonts w:hint="eastAsia" w:ascii="仿宋" w:hAnsi="仿宋" w:eastAsia="仿宋"/>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restart"/>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szCs w:val="21"/>
                  </w:rPr>
                  <w:t>进口产品的制造厂家的授权书（如适用）</w:t>
                </w:r>
                <w:r>
                  <w:rPr>
                    <w:rFonts w:hint="eastAsia" w:ascii="仿宋_GB2312" w:hAnsi="仿宋_GB2312" w:eastAsia="仿宋_GB2312" w:cs="仿宋_GB2312"/>
                    <w:kern w:val="0"/>
                    <w:szCs w:val="21"/>
                  </w:rPr>
                  <w:t>（可调整至符合性证明材料）</w:t>
                </w:r>
              </w:p>
            </w:tc>
            <w:sdt>
              <w:sdtPr>
                <w:rPr>
                  <w:rFonts w:hint="eastAsia" w:ascii="仿宋" w:hAnsi="仿宋" w:eastAsia="仿宋"/>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监狱企业证明文件</w:t>
                </w:r>
              </w:p>
            </w:tc>
            <w:sdt>
              <w:sdtPr>
                <w:rPr>
                  <w:rFonts w:hint="eastAsia" w:ascii="仿宋" w:hAnsi="仿宋" w:eastAsia="仿宋"/>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5403" w:type="dxa"/>
                <w:vAlign w:val="center"/>
              </w:tcPr>
              <w:p>
                <w:pPr>
                  <w:adjustRightInd w:val="0"/>
                  <w:snapToGrid w:val="0"/>
                  <w:ind w:left="25" w:leftChars="12"/>
                  <w:rPr>
                    <w:rFonts w:ascii="仿宋_GB2312" w:hAnsi="仿宋_GB2312" w:eastAsia="仿宋_GB2312" w:cs="仿宋_GB2312"/>
                    <w:kern w:val="0"/>
                    <w:szCs w:val="21"/>
                  </w:rPr>
                </w:pPr>
                <w:r>
                  <w:rPr>
                    <w:rFonts w:hint="eastAsia" w:ascii="仿宋_GB2312" w:hAnsi="仿宋_GB2312" w:eastAsia="仿宋_GB2312" w:cs="仿宋_GB2312"/>
                    <w:kern w:val="0"/>
                    <w:szCs w:val="21"/>
                  </w:rPr>
                  <w:t>中小企业声明函</w:t>
                </w:r>
              </w:p>
            </w:tc>
            <w:sdt>
              <w:sdtPr>
                <w:rPr>
                  <w:rFonts w:hint="eastAsia" w:ascii="仿宋" w:hAnsi="仿宋" w:eastAsia="仿宋"/>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残疾人福利性单位声明函</w:t>
                </w:r>
              </w:p>
            </w:tc>
            <w:sdt>
              <w:sdtPr>
                <w:rPr>
                  <w:rFonts w:hint="eastAsia" w:ascii="仿宋" w:hAnsi="仿宋" w:eastAsia="仿宋"/>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5403" w:type="dxa"/>
                <w:vAlign w:val="center"/>
              </w:tcPr>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szCs w:val="21"/>
                  </w:rPr>
                </w:pPr>
                <w:r>
                  <w:rPr>
                    <w:rFonts w:hint="eastAsia" w:ascii="仿宋_GB2312" w:hAnsi="仿宋_GB2312" w:eastAsia="仿宋_GB2312" w:cs="仿宋_GB2312"/>
                    <w:szCs w:val="21"/>
                  </w:rPr>
                  <w:t>（此项要求可视实际情况设置在符合性证明材料或其他材料中）</w:t>
                </w:r>
              </w:p>
            </w:tc>
            <w:sdt>
              <w:sdtPr>
                <w:rPr>
                  <w:rFonts w:hint="eastAsia" w:ascii="仿宋" w:hAnsi="仿宋" w:eastAsia="仿宋"/>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r>
                  <w:rPr>
                    <w:rFonts w:ascii="仿宋_GB2312" w:hAnsi="仿宋_GB2312" w:eastAsia="仿宋_GB2312" w:cs="仿宋_GB2312"/>
                    <w:kern w:val="0"/>
                    <w:szCs w:val="21"/>
                  </w:rPr>
                  <w:t>19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04"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403" w:type="dxa"/>
                <w:vAlign w:val="center"/>
              </w:tcPr>
              <w:p>
                <w:pPr>
                  <w:adjustRightInd w:val="0"/>
                  <w:snapToGrid w:val="0"/>
                  <w:ind w:left="25" w:leftChars="12"/>
                  <w:rPr>
                    <w:rFonts w:ascii="仿宋_GB2312" w:hAnsi="仿宋_GB2312" w:eastAsia="仿宋_GB2312" w:cs="仿宋_GB2312"/>
                    <w:szCs w:val="21"/>
                  </w:rPr>
                </w:pPr>
                <w:r>
                  <w:rPr>
                    <w:rFonts w:ascii="仿宋_GB2312" w:hAnsi="仿宋_GB2312" w:eastAsia="仿宋_GB2312" w:cs="仿宋_GB2312"/>
                    <w:szCs w:val="21"/>
                  </w:rPr>
                  <w:t>。。。</w:t>
                </w:r>
              </w:p>
            </w:tc>
            <w:sdt>
              <w:sdtPr>
                <w:rPr>
                  <w:rFonts w:hint="eastAsia" w:ascii="仿宋" w:hAnsi="仿宋" w:eastAsia="仿宋"/>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976" w:type="dxa"/>
                    <w:vAlign w:val="center"/>
                  </w:tcPr>
                  <w:p>
                    <w:pPr>
                      <w:rPr>
                        <w:rFonts w:ascii="仿宋" w:hAnsi="仿宋" w:eastAsia="仿宋"/>
                        <w:sz w:val="24"/>
                      </w:rPr>
                    </w:pPr>
                    <w:r>
                      <w:rPr>
                        <w:rFonts w:hint="eastAsia" w:ascii="仿宋" w:hAnsi="仿宋" w:eastAsia="仿宋"/>
                        <w:sz w:val="24"/>
                      </w:rPr>
                      <w:t>全部</w:t>
                    </w:r>
                  </w:p>
                </w:tc>
              </w:sdtContent>
            </w:sdt>
            <w:tc>
              <w:tcPr>
                <w:tcW w:w="960" w:type="dxa"/>
                <w:vAlign w:val="center"/>
              </w:tcPr>
              <w:p>
                <w:pPr>
                  <w:adjustRightInd w:val="0"/>
                  <w:snapToGrid w:val="0"/>
                  <w:jc w:val="center"/>
                  <w:rPr>
                    <w:rFonts w:ascii="仿宋_GB2312" w:hAnsi="仿宋_GB2312" w:eastAsia="仿宋_GB2312" w:cs="仿宋_GB2312"/>
                    <w:kern w:val="0"/>
                    <w:szCs w:val="21"/>
                  </w:rPr>
                </w:pPr>
              </w:p>
            </w:tc>
            <w:tc>
              <w:tcPr>
                <w:tcW w:w="1106" w:type="dxa"/>
                <w:vMerge w:val="continue"/>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360" w:lineRule="auto"/>
        <w:ind w:firstLine="482" w:firstLineChars="200"/>
        <w:rPr>
          <w:rFonts w:ascii="仿宋_GB2312" w:hAnsi="仿宋_GB2312" w:eastAsia="仿宋_GB2312" w:cs="仿宋_GB2312"/>
          <w:b/>
          <w:sz w:val="24"/>
        </w:rPr>
      </w:pPr>
      <w:r>
        <w:rPr>
          <w:rFonts w:hint="eastAsia" w:ascii="仿宋_GB2312" w:hAnsi="仿宋_GB2312" w:eastAsia="仿宋_GB2312" w:cs="仿宋_GB2312"/>
          <w:b/>
          <w:sz w:val="24"/>
        </w:rPr>
        <w:t xml:space="preserve"> </w:t>
      </w:r>
      <w:bookmarkStart w:id="80" w:name="_Toc23127_WPSOffice_Level2"/>
      <w:bookmarkStart w:id="81" w:name="_Toc24011_WPSOffice_Level2"/>
      <w:r>
        <w:rPr>
          <w:rFonts w:hint="eastAsia" w:ascii="仿宋_GB2312" w:hAnsi="仿宋_GB2312" w:eastAsia="仿宋_GB2312" w:cs="仿宋_GB2312"/>
          <w:b/>
          <w:sz w:val="24"/>
        </w:rPr>
        <w:t>重要提示：</w:t>
      </w:r>
      <w:bookmarkEnd w:id="80"/>
      <w:bookmarkEnd w:id="81"/>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1、投标人提供的证明材料，除需要投标人填报或有特殊说明外，均须按要求提供。</w:t>
      </w:r>
      <w:r>
        <w:rPr>
          <w:rFonts w:hint="eastAsia" w:ascii="仿宋_GB2312" w:hAnsi="仿宋_GB2312" w:eastAsia="仿宋_GB2312" w:cs="仿宋_GB2312"/>
          <w:b/>
          <w:bCs/>
          <w:szCs w:val="21"/>
        </w:rPr>
        <w:t xml:space="preserve"> </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pPr>
        <w:snapToGrid w:val="0"/>
        <w:spacing w:line="276"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3、投标文件应用中文书写。投标文件中所附或所引用的材料不是中文时，应附中文译本，并加盖公章。</w:t>
      </w:r>
    </w:p>
    <w:p>
      <w:pPr>
        <w:ind w:firstLine="420" w:firstLineChars="200"/>
        <w:rPr>
          <w:rFonts w:ascii="仿宋_GB2312" w:hAnsi="仿宋_GB2312" w:eastAsia="仿宋_GB2312" w:cs="仿宋_GB2312"/>
        </w:rPr>
      </w:pPr>
      <w:r>
        <w:rPr>
          <w:rFonts w:hint="eastAsia" w:ascii="仿宋_GB2312" w:hAnsi="仿宋_GB2312" w:eastAsia="仿宋_GB2312" w:cs="仿宋_GB2312"/>
          <w:szCs w:val="21"/>
        </w:rPr>
        <w:t>4、</w:t>
      </w:r>
      <w:r>
        <w:rPr>
          <w:rFonts w:hint="eastAsia" w:ascii="仿宋_GB2312" w:hAnsi="仿宋_GB2312" w:eastAsia="仿宋_GB2312" w:cs="仿宋_GB2312"/>
          <w:b/>
          <w:bCs/>
          <w:szCs w:val="21"/>
        </w:rPr>
        <w:t>“资格性证明材料”</w:t>
      </w:r>
      <w:r>
        <w:rPr>
          <w:rFonts w:hint="eastAsia" w:ascii="仿宋_GB2312" w:hAnsi="仿宋_GB2312" w:eastAsia="仿宋_GB2312" w:cs="仿宋_GB2312"/>
        </w:rPr>
        <w:t>所列内容即为采购项目的资格审查条件，有一项不符合要求，不能进入下一阶段评审。</w:t>
      </w:r>
    </w:p>
    <w:p>
      <w:pPr>
        <w:ind w:firstLine="420" w:firstLineChars="200"/>
        <w:rPr>
          <w:rFonts w:ascii="仿宋_GB2312" w:hAnsi="仿宋_GB2312" w:eastAsia="仿宋_GB2312" w:cs="仿宋_GB2312"/>
        </w:rPr>
      </w:pPr>
      <w:r>
        <w:rPr>
          <w:rFonts w:hint="eastAsia" w:ascii="仿宋_GB2312" w:hAnsi="仿宋_GB2312" w:eastAsia="仿宋_GB2312" w:cs="仿宋_GB2312"/>
        </w:rPr>
        <w:t>5、</w:t>
      </w:r>
      <w:r>
        <w:rPr>
          <w:rFonts w:hint="eastAsia" w:ascii="仿宋_GB2312" w:hAnsi="仿宋_GB2312" w:eastAsia="仿宋_GB2312" w:cs="仿宋_GB2312"/>
          <w:b/>
          <w:bCs/>
          <w:szCs w:val="21"/>
        </w:rPr>
        <w:t>“符合性证明材料”</w:t>
      </w:r>
      <w:r>
        <w:rPr>
          <w:rFonts w:hint="eastAsia" w:ascii="仿宋_GB2312" w:hAnsi="仿宋_GB2312" w:eastAsia="仿宋_GB2312" w:cs="仿宋_GB2312"/>
        </w:rPr>
        <w:t>所列内容即为采购项目的符合性审查条件，有一项不符合要求，不能进入下一阶段评审。</w:t>
      </w:r>
    </w:p>
    <w:p>
      <w:pPr>
        <w:ind w:firstLine="420" w:firstLineChars="200"/>
        <w:rPr>
          <w:rFonts w:ascii="仿宋_GB2312" w:hAnsi="仿宋_GB2312" w:eastAsia="仿宋_GB2312" w:cs="仿宋_GB2312"/>
          <w:szCs w:val="21"/>
        </w:rPr>
      </w:pPr>
      <w:r>
        <w:rPr>
          <w:rFonts w:hint="eastAsia" w:ascii="仿宋_GB2312" w:hAnsi="仿宋_GB2312" w:eastAsia="仿宋_GB2312" w:cs="仿宋_GB2312"/>
        </w:rPr>
        <w:t>6、</w:t>
      </w:r>
      <w:r>
        <w:rPr>
          <w:rFonts w:hint="eastAsia" w:ascii="仿宋_GB2312" w:hAnsi="仿宋_GB2312" w:eastAsia="仿宋_GB2312" w:cs="仿宋_GB2312"/>
          <w:szCs w:val="21"/>
        </w:rPr>
        <w:t>“其他材料”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（1）</w:t>
      </w:r>
      <w:r>
        <w:rPr>
          <w:rFonts w:hint="eastAsia" w:ascii="仿宋_GB2312" w:hAnsi="仿宋_GB2312" w:eastAsia="仿宋_GB2312" w:cs="仿宋_GB2312"/>
          <w:kern w:val="0"/>
          <w:szCs w:val="21"/>
        </w:rPr>
        <w:t>综合评分法：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招标文件要求以及评分细则中各项要求提供相应材料。</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（2）</w:t>
      </w:r>
      <w:r>
        <w:rPr>
          <w:rFonts w:hint="eastAsia" w:ascii="仿宋_GB2312" w:hAnsi="仿宋_GB2312" w:eastAsia="仿宋_GB2312" w:cs="仿宋_GB2312"/>
          <w:kern w:val="0"/>
          <w:szCs w:val="21"/>
        </w:rPr>
        <w:t>最低评标价法：</w:t>
      </w:r>
      <w:r>
        <w:rPr>
          <w:rFonts w:hint="eastAsia" w:ascii="仿宋_GB2312" w:hAnsi="仿宋_GB2312" w:eastAsia="仿宋_GB2312" w:cs="仿宋_GB2312"/>
          <w:szCs w:val="21"/>
        </w:rPr>
        <w:t>投标人可就</w:t>
      </w:r>
      <w:r>
        <w:rPr>
          <w:rFonts w:hint="eastAsia" w:ascii="仿宋_GB2312" w:hAnsi="仿宋_GB2312" w:eastAsia="仿宋_GB2312" w:cs="仿宋_GB2312"/>
          <w:kern w:val="0"/>
          <w:szCs w:val="21"/>
        </w:rPr>
        <w:t>招标文件要求提供相应材料。</w:t>
      </w:r>
    </w:p>
    <w:p>
      <w:pPr>
        <w:snapToGrid w:val="0"/>
        <w:spacing w:line="276" w:lineRule="auto"/>
        <w:ind w:firstLine="420" w:firstLineChars="200"/>
        <w:jc w:val="left"/>
        <w:rPr>
          <w:rFonts w:ascii="仿宋_GB2312" w:hAnsi="仿宋_GB2312" w:eastAsia="仿宋_GB2312" w:cs="仿宋_GB2312"/>
          <w:szCs w:val="21"/>
        </w:rPr>
      </w:pPr>
    </w:p>
    <w:p>
      <w:pPr>
        <w:widowControl/>
        <w:jc w:val="left"/>
        <w:rPr>
          <w:rFonts w:ascii="宋体" w:hAnsi="宋体"/>
          <w:b/>
          <w:sz w:val="44"/>
          <w:szCs w:val="44"/>
        </w:rPr>
      </w:pPr>
      <w:r>
        <w:rPr>
          <w:rFonts w:ascii="宋体" w:hAnsi="宋体"/>
          <w:b/>
          <w:sz w:val="44"/>
          <w:szCs w:val="44"/>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w:t>
      </w:r>
    </w:p>
    <w:p>
      <w:pPr>
        <w:jc w:val="center"/>
        <w:rPr>
          <w:rFonts w:ascii="仿宋_GB2312" w:hAnsi="仿宋_GB2312" w:eastAsia="仿宋_GB2312" w:cs="仿宋_GB2312"/>
          <w:b/>
          <w:bCs/>
          <w:sz w:val="32"/>
          <w:szCs w:val="32"/>
        </w:rPr>
      </w:pPr>
      <w:bookmarkStart w:id="82" w:name="_Toc26322_WPSOffice_Level2"/>
      <w:bookmarkStart w:id="83" w:name="_Toc21090_WPSOffice_Level2"/>
      <w:r>
        <w:rPr>
          <w:rFonts w:hint="eastAsia" w:ascii="仿宋_GB2312" w:hAnsi="仿宋_GB2312" w:eastAsia="仿宋_GB2312" w:cs="仿宋_GB2312"/>
          <w:b/>
          <w:bCs/>
          <w:sz w:val="32"/>
          <w:szCs w:val="32"/>
        </w:rPr>
        <w:t>投标文件、电子文档外封面、封口格式</w:t>
      </w:r>
      <w:bookmarkEnd w:id="82"/>
      <w:bookmarkEnd w:id="83"/>
    </w:p>
    <w:p>
      <w:pPr>
        <w:rPr>
          <w:rFonts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9"/>
        <w:tblW w:w="5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jc w:val="center"/>
        </w:trPr>
        <w:tc>
          <w:tcPr>
            <w:tcW w:w="5960" w:type="dxa"/>
          </w:tcPr>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p>
          <w:p>
            <w:pPr>
              <w:jc w:val="center"/>
              <w:rPr>
                <w:rFonts w:ascii="仿宋_GB2312" w:hAnsi="仿宋_GB2312" w:eastAsia="仿宋_GB2312" w:cs="仿宋_GB2312"/>
                <w:b/>
                <w:bCs/>
              </w:rPr>
            </w:pPr>
            <w:r>
              <w:rPr>
                <w:rFonts w:hint="eastAsia" w:ascii="仿宋_GB2312" w:hAnsi="仿宋_GB2312" w:eastAsia="仿宋_GB2312" w:cs="仿宋_GB2312"/>
                <w:b/>
                <w:bCs/>
                <w:sz w:val="44"/>
                <w:szCs w:val="52"/>
              </w:rPr>
              <w:t>投标文件/电子文档</w:t>
            </w: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所投包号：第  包</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项目名称：</w:t>
            </w:r>
          </w:p>
          <w:p>
            <w:pPr>
              <w:jc w:val="left"/>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项目编号：</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left"/>
              <w:rPr>
                <w:rFonts w:ascii="仿宋_GB2312" w:hAnsi="仿宋_GB2312" w:eastAsia="仿宋_GB2312" w:cs="仿宋_GB2312"/>
              </w:rPr>
            </w:pPr>
            <w:r>
              <w:rPr>
                <w:rFonts w:hint="eastAsia" w:ascii="仿宋_GB2312" w:hAnsi="仿宋_GB2312" w:eastAsia="仿宋_GB2312" w:cs="仿宋_GB2312"/>
              </w:rPr>
              <w:t>投标人名称（加盖单位公章）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9"/>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——于</w:t>
            </w:r>
            <w:r>
              <w:rPr>
                <w:rFonts w:hint="eastAsia" w:ascii="宋体" w:hAnsi="宋体" w:cs="宋体"/>
              </w:rPr>
              <w:t>  </w:t>
            </w:r>
            <w:r>
              <w:rPr>
                <w:rFonts w:hint="eastAsia" w:ascii="仿宋_GB2312" w:hAnsi="仿宋_GB2312" w:eastAsia="仿宋_GB2312" w:cs="仿宋_GB2312"/>
              </w:rPr>
              <w:t xml:space="preserve"> 年</w:t>
            </w:r>
            <w:r>
              <w:rPr>
                <w:rFonts w:hint="eastAsia" w:ascii="宋体" w:hAnsi="宋体" w:cs="宋体"/>
              </w:rPr>
              <w:t> </w:t>
            </w:r>
            <w:r>
              <w:rPr>
                <w:rFonts w:hint="eastAsia" w:ascii="仿宋_GB2312" w:hAnsi="仿宋_GB2312" w:eastAsia="仿宋_GB2312" w:cs="仿宋_GB2312"/>
              </w:rPr>
              <w:t xml:space="preserve"> 月</w:t>
            </w:r>
            <w:r>
              <w:rPr>
                <w:rFonts w:hint="eastAsia" w:ascii="宋体" w:hAnsi="宋体" w:cs="宋体"/>
              </w:rPr>
              <w:t> </w:t>
            </w:r>
            <w:r>
              <w:rPr>
                <w:rFonts w:hint="eastAsia" w:ascii="仿宋_GB2312" w:hAnsi="仿宋_GB2312" w:eastAsia="仿宋_GB2312" w:cs="仿宋_GB2312"/>
              </w:rPr>
              <w:t xml:space="preserve"> 日</w:t>
            </w:r>
            <w:r>
              <w:rPr>
                <w:rFonts w:hint="eastAsia" w:ascii="宋体" w:hAnsi="宋体" w:cs="宋体"/>
              </w:rPr>
              <w:t>  </w:t>
            </w:r>
            <w:r>
              <w:rPr>
                <w:rFonts w:hint="eastAsia" w:ascii="仿宋_GB2312" w:hAnsi="仿宋_GB2312" w:eastAsia="仿宋_GB2312" w:cs="仿宋_GB2312"/>
              </w:rPr>
              <w:t xml:space="preserve"> 时之前不准启封（公章）——</w:t>
            </w:r>
          </w:p>
        </w:tc>
      </w:tr>
    </w:tbl>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b/>
          <w:sz w:val="28"/>
          <w:szCs w:val="28"/>
        </w:rPr>
      </w:pPr>
      <w:r>
        <w:rPr>
          <w:rFonts w:hint="eastAsia" w:ascii="仿宋_GB2312" w:hAnsi="仿宋_GB2312" w:eastAsia="仿宋_GB2312" w:cs="仿宋_GB2312"/>
          <w:b/>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格式2</w:t>
      </w:r>
    </w:p>
    <w:p>
      <w:pPr>
        <w:jc w:val="center"/>
        <w:rPr>
          <w:rFonts w:ascii="仿宋_GB2312" w:hAnsi="仿宋_GB2312" w:eastAsia="仿宋_GB2312" w:cs="仿宋_GB2312"/>
          <w:b/>
          <w:bCs/>
          <w:sz w:val="32"/>
          <w:szCs w:val="32"/>
        </w:rPr>
      </w:pPr>
      <w:r>
        <w:rPr>
          <w:rFonts w:ascii="仿宋_GB2312" w:hAnsi="仿宋_GB2312" w:eastAsia="仿宋_GB2312" w:cs="仿宋_GB2312"/>
          <w:sz w:val="32"/>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1XXs+2QAAAAoBAAAPAAAAAAAAAAEAIAAAACIAAABkcnMvZG93bnJldi54bWxQSwECFAAU&#10;AAAACACHTuJAqlJnj/ABAADoAwAADgAAAAAAAAABACAAAAAoAQAAZHJzL2Uyb0RvYy54bWxQSwUG&#10;AAAAAAYABgBZAQAAig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投标文件的封皮</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jc w:val="center"/>
        <w:rPr>
          <w:rFonts w:ascii="仿宋_GB2312" w:hAnsi="仿宋_GB2312" w:eastAsia="仿宋_GB2312" w:cs="仿宋_GB2312"/>
          <w:b/>
          <w:bCs/>
          <w:sz w:val="52"/>
          <w:szCs w:val="52"/>
        </w:rPr>
      </w:pPr>
      <w:r>
        <w:rPr>
          <w:rFonts w:hint="eastAsia" w:ascii="仿宋_GB2312" w:hAnsi="仿宋_GB2312" w:eastAsia="仿宋_GB2312" w:cs="仿宋_GB2312"/>
          <w:b/>
          <w:bCs/>
          <w:sz w:val="52"/>
          <w:szCs w:val="52"/>
        </w:rPr>
        <w:t>投  标  文  件</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所投包号：第  包</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 ：</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格式3</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84" w:name="_Toc2304_WPSOffice_Level2"/>
      <w:bookmarkStart w:id="85" w:name="_Toc21414_WPSOffice_Level2"/>
      <w:r>
        <w:rPr>
          <w:rFonts w:hint="eastAsia" w:ascii="仿宋_GB2312" w:hAnsi="仿宋_GB2312" w:eastAsia="仿宋_GB2312" w:cs="仿宋_GB2312"/>
          <w:b/>
          <w:sz w:val="32"/>
          <w:szCs w:val="32"/>
        </w:rPr>
        <w:t>目  录</w:t>
      </w:r>
      <w:bookmarkEnd w:id="84"/>
      <w:bookmarkEnd w:id="85"/>
    </w:p>
    <w:p>
      <w:pPr>
        <w:rPr>
          <w:rFonts w:ascii="仿宋_GB2312" w:hAnsi="仿宋_GB2312" w:eastAsia="仿宋_GB2312" w:cs="仿宋_GB2312"/>
        </w:rPr>
      </w:pPr>
      <w:bookmarkStart w:id="86" w:name="_Toc7636_WPSOffice_Level2"/>
      <w:bookmarkStart w:id="87" w:name="_Toc30940_WPSOffice_Level2"/>
      <w:r>
        <w:rPr>
          <w:rFonts w:hint="eastAsia" w:ascii="仿宋_GB2312" w:hAnsi="仿宋_GB2312" w:eastAsia="仿宋_GB2312" w:cs="仿宋_GB2312"/>
        </w:rPr>
        <w:t>一、资格证明材料</w:t>
      </w:r>
      <w:bookmarkEnd w:id="86"/>
      <w:bookmarkEnd w:id="87"/>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88" w:name="_Toc13950_WPSOffice_Level2"/>
      <w:bookmarkStart w:id="89" w:name="_Toc31702_WPSOffice_Level2"/>
      <w:r>
        <w:rPr>
          <w:rFonts w:hint="eastAsia" w:ascii="仿宋_GB2312" w:hAnsi="仿宋_GB2312" w:eastAsia="仿宋_GB2312" w:cs="仿宋_GB2312"/>
        </w:rPr>
        <w:t>二、符合性证明材料</w:t>
      </w:r>
      <w:bookmarkEnd w:id="88"/>
      <w:bookmarkEnd w:id="89"/>
    </w:p>
    <w:p>
      <w:pPr>
        <w:rPr>
          <w:rFonts w:ascii="仿宋_GB2312" w:hAnsi="仿宋_GB2312" w:eastAsia="仿宋_GB2312" w:cs="仿宋_GB2312"/>
        </w:rPr>
      </w:pPr>
      <w:r>
        <w:rPr>
          <w:rFonts w:hint="eastAsia" w:ascii="仿宋_GB2312" w:hAnsi="仿宋_GB2312" w:eastAsia="仿宋_GB2312" w:cs="仿宋_GB2312"/>
        </w:rPr>
        <w:t>……</w:t>
      </w:r>
    </w:p>
    <w:p>
      <w:pPr>
        <w:rPr>
          <w:rFonts w:ascii="仿宋_GB2312" w:hAnsi="仿宋_GB2312" w:eastAsia="仿宋_GB2312" w:cs="仿宋_GB2312"/>
        </w:rPr>
      </w:pPr>
      <w:bookmarkStart w:id="90" w:name="_Toc14854_WPSOffice_Level2"/>
      <w:bookmarkStart w:id="91" w:name="_Toc9090_WPSOffice_Level2"/>
      <w:r>
        <w:rPr>
          <w:rFonts w:hint="eastAsia" w:ascii="仿宋_GB2312" w:hAnsi="仿宋_GB2312" w:eastAsia="仿宋_GB2312" w:cs="仿宋_GB2312"/>
        </w:rPr>
        <w:t>三、其它材料</w:t>
      </w:r>
      <w:bookmarkEnd w:id="90"/>
      <w:bookmarkEnd w:id="91"/>
    </w:p>
    <w:p>
      <w:pPr>
        <w:rPr>
          <w:rFonts w:ascii="仿宋_GB2312" w:hAnsi="仿宋_GB2312" w:eastAsia="仿宋_GB2312" w:cs="仿宋_GB2312"/>
          <w:szCs w:val="21"/>
        </w:rPr>
      </w:pPr>
      <w:r>
        <w:rPr>
          <w:rFonts w:hint="eastAsia" w:ascii="仿宋_GB2312" w:hAnsi="仿宋_GB2312" w:eastAsia="仿宋_GB2312" w:cs="仿宋_GB2312"/>
          <w:szCs w:val="21"/>
        </w:rPr>
        <w:t>……</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adjustRightInd w:val="0"/>
        <w:snapToGrid w:val="0"/>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我单位的投标文件由资格证明材料、符合性证明材料和其它材料三部分组成，在此加盖单位公章并由法定代表人（或非法人组织负责人）或其授权委托人签字，保证投标文件中所有材料真实、有效。</w:t>
      </w:r>
    </w:p>
    <w:p>
      <w:pPr>
        <w:spacing w:line="360" w:lineRule="auto"/>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rPr>
        <w:br w:type="page"/>
      </w:r>
      <w:r>
        <w:rPr>
          <w:rFonts w:hint="eastAsia" w:ascii="仿宋_GB2312" w:hAnsi="仿宋_GB2312" w:eastAsia="仿宋_GB2312" w:cs="仿宋_GB2312"/>
          <w:szCs w:val="28"/>
        </w:rPr>
        <w:t>格式4</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2" w:name="_Toc16924_WPSOffice_Level2"/>
      <w:bookmarkStart w:id="93" w:name="_Toc3401_WPSOffice_Level2"/>
      <w:r>
        <w:rPr>
          <w:rFonts w:hint="eastAsia" w:ascii="仿宋_GB2312" w:hAnsi="仿宋_GB2312" w:eastAsia="仿宋_GB2312" w:cs="仿宋_GB2312"/>
          <w:b/>
          <w:sz w:val="32"/>
          <w:szCs w:val="32"/>
        </w:rPr>
        <w:t>法定代表人（或非法人组织负责人）身份证明书</w:t>
      </w:r>
      <w:bookmarkEnd w:id="92"/>
      <w:bookmarkEnd w:id="93"/>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（投标人名称）的法定代表人（或非法人组织负责人）。</w:t>
      </w: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特此证明。</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spacing w:line="480" w:lineRule="auto"/>
        <w:rPr>
          <w:rFonts w:ascii="仿宋_GB2312" w:hAnsi="仿宋_GB2312" w:eastAsia="仿宋_GB2312" w:cs="仿宋_GB2312"/>
          <w:u w:val="single"/>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rPr>
          <w:rFonts w:ascii="仿宋_GB2312" w:hAnsi="仿宋_GB2312" w:eastAsia="仿宋_GB2312" w:cs="仿宋_GB2312"/>
        </w:rPr>
      </w:pPr>
    </w:p>
    <w:p>
      <w:pPr>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b w:val="0"/>
          <w:bCs w:val="0"/>
        </w:rPr>
      </w:pPr>
      <w:r>
        <w:rPr>
          <w:rFonts w:hint="eastAsia" w:ascii="仿宋_GB2312" w:hAnsi="仿宋_GB2312" w:eastAsia="仿宋_GB2312" w:cs="仿宋_GB2312"/>
          <w:szCs w:val="28"/>
        </w:rPr>
        <w:t>格式5</w:t>
      </w:r>
      <w:bookmarkStart w:id="94" w:name="_Toc122_WPSOffice_Level2"/>
      <w:bookmarkStart w:id="95" w:name="_Toc21833_WPSOffice_Level2"/>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法定代表人（或非法人组织负责人）授权委托书</w:t>
      </w:r>
      <w:bookmarkEnd w:id="94"/>
      <w:bookmarkEnd w:id="95"/>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tabs>
          <w:tab w:val="left" w:pos="5205"/>
        </w:tabs>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rPr>
        <w:tab/>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投标中，以我单位名义处理一切与之有关的事务。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日签字或盖章生效，无转委托，特此声明。</w:t>
      </w:r>
    </w:p>
    <w:p>
      <w:pPr>
        <w:spacing w:line="360" w:lineRule="auto"/>
        <w:rPr>
          <w:rFonts w:ascii="仿宋_GB2312" w:hAnsi="仿宋_GB2312" w:eastAsia="仿宋_GB2312" w:cs="仿宋_GB2312"/>
          <w:szCs w:val="21"/>
        </w:rPr>
      </w:pPr>
    </w:p>
    <w:tbl>
      <w:tblPr>
        <w:tblStyle w:val="19"/>
        <w:tblW w:w="82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0" w:hRule="atLeast"/>
          <w:jc w:val="center"/>
        </w:trPr>
        <w:tc>
          <w:tcPr>
            <w:tcW w:w="822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人身份证正、反面复印件※）</w:t>
            </w:r>
          </w:p>
        </w:tc>
      </w:tr>
    </w:tbl>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人（签字或盖章）：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格式6</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2" w:beforeLines="100" w:after="312" w:afterLines="100" w:line="480" w:lineRule="exact"/>
        <w:ind w:right="630" w:rightChars="3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rPr>
          <w:rFonts w:ascii="仿宋_GB2312" w:hAnsi="仿宋_GB2312" w:eastAsia="仿宋_GB2312" w:cs="仿宋_GB2312"/>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格式7</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96" w:name="_Toc23728_WPSOffice_Level2"/>
      <w:bookmarkStart w:id="97" w:name="_Toc12037_WPSOffice_Level2"/>
      <w:r>
        <w:rPr>
          <w:rFonts w:hint="eastAsia" w:ascii="仿宋_GB2312" w:hAnsi="仿宋_GB2312" w:eastAsia="仿宋_GB2312" w:cs="仿宋_GB2312"/>
          <w:b/>
          <w:sz w:val="32"/>
          <w:szCs w:val="32"/>
        </w:rPr>
        <w:t>具备履行合同所必需的设备和专业技术能力声明函</w:t>
      </w:r>
      <w:bookmarkEnd w:id="96"/>
      <w:bookmarkEnd w:id="97"/>
    </w:p>
    <w:p>
      <w:pPr>
        <w:spacing w:before="312" w:beforeLines="100" w:after="312" w:afterLines="100" w:line="480" w:lineRule="exact"/>
        <w:ind w:right="630" w:rightChars="300"/>
        <w:jc w:val="center"/>
        <w:rPr>
          <w:rFonts w:ascii="仿宋_GB2312" w:hAnsi="仿宋_GB2312" w:eastAsia="仿宋_GB2312" w:cs="仿宋_GB2312"/>
          <w:sz w:val="28"/>
          <w:szCs w:val="28"/>
        </w:rPr>
      </w:pPr>
      <w:bookmarkStart w:id="98" w:name="_Toc28831_WPSOffice_Level2"/>
      <w:bookmarkStart w:id="99" w:name="_Toc1917_WPSOffice_Level2"/>
      <w:r>
        <w:rPr>
          <w:rFonts w:hint="eastAsia" w:ascii="仿宋_GB2312" w:hAnsi="仿宋_GB2312" w:eastAsia="仿宋_GB2312" w:cs="仿宋_GB2312"/>
          <w:sz w:val="28"/>
          <w:szCs w:val="28"/>
        </w:rPr>
        <w:t>（格式自拟）</w:t>
      </w:r>
      <w:bookmarkEnd w:id="98"/>
      <w:bookmarkEnd w:id="99"/>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u w:val="single"/>
        </w:rPr>
      </w:pPr>
    </w:p>
    <w:p>
      <w:pPr>
        <w:adjustRightInd w:val="0"/>
        <w:snapToGrid w:val="0"/>
        <w:spacing w:line="360" w:lineRule="auto"/>
        <w:ind w:right="105" w:rightChars="50"/>
        <w:jc w:val="left"/>
        <w:rPr>
          <w:rFonts w:ascii="仿宋_GB2312" w:hAnsi="仿宋_GB2312" w:eastAsia="仿宋_GB2312" w:cs="仿宋_GB2312"/>
          <w:b/>
          <w:sz w:val="28"/>
          <w:szCs w:val="28"/>
        </w:rPr>
      </w:pPr>
    </w:p>
    <w:p>
      <w:pPr>
        <w:widowControl/>
        <w:jc w:val="left"/>
        <w:rPr>
          <w:rFonts w:ascii="仿宋_GB2312" w:hAnsi="仿宋_GB2312" w:eastAsia="仿宋_GB2312" w:cs="仿宋_GB2312"/>
          <w:b/>
          <w:sz w:val="28"/>
          <w:szCs w:val="28"/>
        </w:rPr>
      </w:pPr>
      <w:r>
        <w:rPr>
          <w:rFonts w:hint="eastAsia"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格式8</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0" w:name="_Toc11967_WPSOffice_Level2"/>
      <w:bookmarkStart w:id="101" w:name="_Toc7498_WPSOffice_Level2"/>
      <w:r>
        <w:rPr>
          <w:rFonts w:hint="eastAsia" w:ascii="仿宋_GB2312" w:hAnsi="仿宋_GB2312" w:eastAsia="仿宋_GB2312" w:cs="仿宋_GB2312"/>
          <w:b/>
          <w:sz w:val="32"/>
          <w:szCs w:val="32"/>
        </w:rPr>
        <w:t>参加政府采购活动前3年内在经营活动中没有重大违法记录的书面声明</w:t>
      </w:r>
      <w:bookmarkEnd w:id="100"/>
      <w:bookmarkEnd w:id="101"/>
    </w:p>
    <w:p>
      <w:pPr>
        <w:spacing w:line="360" w:lineRule="auto"/>
        <w:ind w:right="630" w:rightChars="300"/>
        <w:rPr>
          <w:rFonts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360" w:lineRule="auto"/>
        <w:ind w:right="-21" w:rightChars="-10" w:firstLine="493" w:firstLineChars="235"/>
        <w:rPr>
          <w:rFonts w:ascii="仿宋_GB2312" w:hAnsi="仿宋_GB2312" w:eastAsia="仿宋_GB2312" w:cs="仿宋_GB2312"/>
          <w:szCs w:val="21"/>
        </w:rPr>
      </w:pPr>
      <w:r>
        <w:rPr>
          <w:rFonts w:hint="eastAsia" w:ascii="仿宋_GB2312" w:hAnsi="仿宋_GB2312" w:eastAsia="仿宋_GB2312" w:cs="仿宋_GB2312"/>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360" w:lineRule="auto"/>
        <w:ind w:right="1050" w:rightChars="50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before="156" w:beforeLines="50" w:after="156" w:afterLines="50" w:line="400" w:lineRule="exact"/>
        <w:ind w:right="1050" w:rightChars="500"/>
        <w:rPr>
          <w:rFonts w:ascii="仿宋_GB2312" w:hAnsi="仿宋_GB2312" w:eastAsia="仿宋_GB2312" w:cs="仿宋_GB2312"/>
          <w:szCs w:val="21"/>
        </w:rPr>
      </w:pPr>
    </w:p>
    <w:p>
      <w:pPr>
        <w:spacing w:line="360" w:lineRule="exact"/>
        <w:ind w:right="1050" w:rightChars="500"/>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格式9</w:t>
      </w:r>
    </w:p>
    <w:p>
      <w:pPr>
        <w:spacing w:before="312" w:beforeLines="100" w:after="312" w:afterLines="100" w:line="360" w:lineRule="auto"/>
        <w:ind w:right="-21" w:rightChars="-10"/>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w:t>
      </w:r>
      <w:bookmarkStart w:id="102" w:name="_Toc16873_WPSOffice_Level2"/>
      <w:bookmarkStart w:id="103" w:name="_Toc30548_WPSOffice_Level2"/>
      <w:r>
        <w:rPr>
          <w:rFonts w:hint="eastAsia" w:ascii="仿宋_GB2312" w:hAnsi="仿宋_GB2312" w:eastAsia="仿宋_GB2312" w:cs="仿宋_GB2312"/>
          <w:b/>
          <w:sz w:val="32"/>
          <w:szCs w:val="32"/>
        </w:rPr>
        <w:t>联合体协议书</w:t>
      </w:r>
      <w:bookmarkEnd w:id="102"/>
      <w:bookmarkEnd w:id="103"/>
    </w:p>
    <w:p>
      <w:pPr>
        <w:pStyle w:val="11"/>
        <w:spacing w:line="360" w:lineRule="auto"/>
        <w:rPr>
          <w:rFonts w:ascii="仿宋_GB2312" w:hAnsi="仿宋_GB2312" w:eastAsia="仿宋_GB2312" w:cs="仿宋_GB2312"/>
        </w:rPr>
      </w:pPr>
      <w:r>
        <w:rPr>
          <w:rFonts w:hint="eastAsia" w:ascii="仿宋_GB2312" w:hAnsi="仿宋_GB2312" w:eastAsia="仿宋_GB2312" w:cs="仿宋_GB2312"/>
          <w:u w:val="single"/>
        </w:rPr>
        <w:t>(采购人或采购代理机构)</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经研究，我方决定自愿组成联合体共同参加</w:t>
      </w:r>
      <w:r>
        <w:rPr>
          <w:rFonts w:hint="eastAsia" w:ascii="仿宋_GB2312" w:hAnsi="仿宋_GB2312" w:eastAsia="仿宋_GB2312" w:cs="仿宋_GB2312"/>
          <w:u w:val="single"/>
        </w:rPr>
        <w:t>(项目名称、项目编号、包号)</w:t>
      </w:r>
      <w:r>
        <w:rPr>
          <w:rFonts w:hint="eastAsia" w:ascii="仿宋_GB2312" w:hAnsi="仿宋_GB2312" w:eastAsia="仿宋_GB2312" w:cs="仿宋_GB2312"/>
        </w:rPr>
        <w:t>项目的投标。现就联合体投标事宜订立如下协议：</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一、联合体成员：</w:t>
      </w:r>
    </w:p>
    <w:p>
      <w:pPr>
        <w:pStyle w:val="11"/>
        <w:spacing w:line="360" w:lineRule="auto"/>
        <w:ind w:firstLine="420" w:firstLineChars="200"/>
        <w:rPr>
          <w:rFonts w:ascii="仿宋_GB2312" w:hAnsi="仿宋_GB2312" w:eastAsia="仿宋_GB2312" w:cs="仿宋_GB2312"/>
          <w:u w:val="single"/>
        </w:rPr>
      </w:pPr>
      <w:bookmarkStart w:id="104" w:name="_Toc15561_WPSOffice_Level2"/>
      <w:bookmarkStart w:id="105" w:name="_Toc23749_WPSOffice_Level2"/>
      <w:r>
        <w:rPr>
          <w:rFonts w:hint="eastAsia" w:ascii="仿宋_GB2312" w:hAnsi="仿宋_GB2312" w:eastAsia="仿宋_GB2312" w:cs="仿宋_GB2312"/>
        </w:rPr>
        <w:t>1.</w:t>
      </w:r>
      <w:bookmarkEnd w:id="104"/>
      <w:bookmarkEnd w:id="105"/>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6" w:name="_Toc22173_WPSOffice_Level2"/>
      <w:bookmarkStart w:id="107" w:name="_Toc405_WPSOffice_Level2"/>
      <w:r>
        <w:rPr>
          <w:rFonts w:hint="eastAsia" w:ascii="仿宋_GB2312" w:hAnsi="仿宋_GB2312" w:eastAsia="仿宋_GB2312" w:cs="仿宋_GB2312"/>
        </w:rPr>
        <w:t>2.</w:t>
      </w:r>
      <w:bookmarkEnd w:id="106"/>
      <w:bookmarkEnd w:id="107"/>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bookmarkStart w:id="108" w:name="_Toc7084_WPSOffice_Level2"/>
      <w:bookmarkStart w:id="109" w:name="_Toc23482_WPSOffice_Level2"/>
      <w:r>
        <w:rPr>
          <w:rFonts w:hint="eastAsia" w:ascii="仿宋_GB2312" w:hAnsi="仿宋_GB2312" w:eastAsia="仿宋_GB2312" w:cs="仿宋_GB2312"/>
        </w:rPr>
        <w:t>3.</w:t>
      </w:r>
      <w:bookmarkEnd w:id="108"/>
      <w:bookmarkEnd w:id="109"/>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二、</w:t>
      </w:r>
      <w:r>
        <w:rPr>
          <w:rFonts w:hint="eastAsia" w:ascii="仿宋_GB2312" w:hAnsi="仿宋_GB2312" w:eastAsia="仿宋_GB2312" w:cs="仿宋_GB2312"/>
          <w:u w:val="single"/>
        </w:rPr>
        <w:t>(某成员单位名称)</w:t>
      </w:r>
      <w:r>
        <w:rPr>
          <w:rFonts w:hint="eastAsia" w:ascii="仿宋_GB2312" w:hAnsi="仿宋_GB2312" w:eastAsia="仿宋_GB2312" w:cs="仿宋_GB2312"/>
        </w:rPr>
        <w:t>为(联合体名称)牵头人。</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四、联合体将严格按照招标文件的各项要求，递交投标文件，参加投标，履行中标义务和中标后的合同，并向采购人承担连带责任。</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五、联合体各成员单位内部的职责分工如下：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。按照本条上述分工，联合体成员单位各自所承担的合同工作量比例如下：</w:t>
      </w:r>
      <w:r>
        <w:rPr>
          <w:rFonts w:hint="eastAsia" w:ascii="仿宋_GB2312" w:hAnsi="仿宋_GB2312" w:eastAsia="仿宋_GB2312" w:cs="仿宋_GB2312"/>
          <w:u w:val="single"/>
        </w:rPr>
        <w:t xml:space="preserve">                  </w:t>
      </w:r>
      <w:r>
        <w:rPr>
          <w:rFonts w:hint="eastAsia" w:ascii="仿宋_GB2312" w:hAnsi="仿宋_GB2312" w:eastAsia="仿宋_GB2312" w:cs="仿宋_GB2312"/>
        </w:rPr>
        <w:t>。</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六、本协议书自签署之日起生效，合同履行完毕后自动失效。</w:t>
      </w:r>
    </w:p>
    <w:p>
      <w:pPr>
        <w:pStyle w:val="11"/>
        <w:spacing w:line="360" w:lineRule="auto"/>
        <w:ind w:firstLine="420" w:firstLineChars="200"/>
        <w:rPr>
          <w:rFonts w:ascii="仿宋_GB2312" w:hAnsi="仿宋_GB2312" w:eastAsia="仿宋_GB2312" w:cs="仿宋_GB2312"/>
        </w:rPr>
      </w:pPr>
      <w:r>
        <w:rPr>
          <w:rFonts w:hint="eastAsia" w:ascii="仿宋_GB2312" w:hAnsi="仿宋_GB2312" w:eastAsia="仿宋_GB2312" w:cs="仿宋_GB2312"/>
        </w:rPr>
        <w:t>七、本协议书一式</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份，联合体成员和采购人各执</w:t>
      </w:r>
      <w:r>
        <w:rPr>
          <w:rFonts w:hint="eastAsia" w:ascii="仿宋_GB2312" w:hAnsi="仿宋_GB2312" w:eastAsia="仿宋_GB2312" w:cs="仿宋_GB2312"/>
          <w:u w:val="single"/>
        </w:rPr>
        <w:t xml:space="preserve">  </w:t>
      </w:r>
      <w:r>
        <w:rPr>
          <w:rFonts w:hint="eastAsia" w:ascii="仿宋_GB2312" w:hAnsi="仿宋_GB2312" w:eastAsia="仿宋_GB2312" w:cs="仿宋_GB2312"/>
        </w:rPr>
        <w:t>份。</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牵头人名称(加盖单位公章)：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pStyle w:val="11"/>
        <w:spacing w:line="360" w:lineRule="auto"/>
        <w:ind w:firstLine="420" w:firstLineChars="200"/>
        <w:rPr>
          <w:rFonts w:ascii="仿宋_GB2312" w:hAnsi="仿宋_GB2312" w:eastAsia="仿宋_GB2312" w:cs="仿宋_GB2312"/>
        </w:rPr>
      </w:pP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成员名称(加盖单位公章)：</w:t>
      </w:r>
      <w:r>
        <w:rPr>
          <w:rFonts w:hint="eastAsia" w:ascii="仿宋_GB2312" w:hAnsi="仿宋_GB2312" w:eastAsia="仿宋_GB2312" w:cs="仿宋_GB2312"/>
          <w:u w:val="single"/>
        </w:rPr>
        <w:t xml:space="preserve">                              </w:t>
      </w:r>
    </w:p>
    <w:p>
      <w:pPr>
        <w:pStyle w:val="11"/>
        <w:spacing w:line="360" w:lineRule="auto"/>
        <w:rPr>
          <w:rFonts w:ascii="仿宋_GB2312" w:hAnsi="仿宋_GB2312" w:eastAsia="仿宋_GB2312" w:cs="仿宋_GB2312"/>
          <w:u w:val="single"/>
        </w:rPr>
      </w:pPr>
      <w:r>
        <w:rPr>
          <w:rFonts w:hint="eastAsia" w:ascii="仿宋_GB2312" w:hAnsi="仿宋_GB2312" w:eastAsia="仿宋_GB2312" w:cs="仿宋_GB2312"/>
        </w:rPr>
        <w:t>法定代表人或其授权委托人(签字或盖章)：</w:t>
      </w:r>
      <w:r>
        <w:rPr>
          <w:rFonts w:hint="eastAsia" w:ascii="仿宋_GB2312" w:hAnsi="仿宋_GB2312" w:eastAsia="仿宋_GB2312" w:cs="仿宋_GB2312"/>
          <w:u w:val="single"/>
        </w:rPr>
        <w:t xml:space="preserve">                  </w:t>
      </w:r>
    </w:p>
    <w:p>
      <w:pPr>
        <w:spacing w:line="360" w:lineRule="exact"/>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格式10</w:t>
      </w:r>
    </w:p>
    <w:p>
      <w:pPr>
        <w:spacing w:before="312" w:beforeLines="100" w:after="312" w:afterLines="100" w:line="360" w:lineRule="auto"/>
        <w:ind w:right="-21" w:rightChars="-10"/>
        <w:jc w:val="center"/>
        <w:rPr>
          <w:rFonts w:ascii="仿宋_GB2312" w:hAnsi="仿宋_GB2312" w:eastAsia="仿宋_GB2312" w:cs="仿宋_GB2312"/>
          <w:b/>
          <w:sz w:val="32"/>
          <w:szCs w:val="32"/>
        </w:rPr>
      </w:pPr>
      <w:bookmarkStart w:id="110" w:name="_Toc14782_WPSOffice_Level2"/>
      <w:bookmarkStart w:id="111" w:name="_Toc24841_WPSOffice_Level2"/>
      <w:r>
        <w:rPr>
          <w:rFonts w:hint="eastAsia" w:ascii="仿宋_GB2312" w:hAnsi="仿宋_GB2312" w:eastAsia="仿宋_GB2312" w:cs="仿宋_GB2312"/>
          <w:b/>
          <w:sz w:val="32"/>
          <w:szCs w:val="32"/>
        </w:rPr>
        <w:t>投标函</w:t>
      </w:r>
      <w:bookmarkEnd w:id="110"/>
      <w:bookmarkEnd w:id="111"/>
    </w:p>
    <w:p>
      <w:pPr>
        <w:adjustRightInd w:val="0"/>
        <w:snapToGrid w:val="0"/>
        <w:spacing w:line="360" w:lineRule="auto"/>
        <w:ind w:right="630" w:rightChars="300"/>
        <w:rPr>
          <w:rFonts w:ascii="仿宋_GB2312" w:hAnsi="仿宋_GB2312" w:eastAsia="仿宋_GB2312" w:cs="仿宋_GB2312"/>
          <w:szCs w:val="21"/>
          <w:u w:val="single"/>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项目的招标公告</w:t>
      </w:r>
      <w:r>
        <w:rPr>
          <w:rFonts w:hint="eastAsia" w:ascii="仿宋_GB2312" w:hAnsi="仿宋_GB2312" w:eastAsia="仿宋_GB2312" w:cs="仿宋_GB2312"/>
          <w:szCs w:val="21"/>
          <w:u w:val="single"/>
        </w:rPr>
        <w:t>(招标编号)</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(姓名、职务)</w:t>
      </w:r>
      <w:r>
        <w:rPr>
          <w:rFonts w:hint="eastAsia" w:ascii="仿宋_GB2312" w:hAnsi="仿宋_GB2312" w:eastAsia="仿宋_GB2312" w:cs="仿宋_GB2312"/>
          <w:szCs w:val="21"/>
        </w:rPr>
        <w:t>经正式授权并代表投标人</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人民币元的投标保证金。</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本项目投标总价详见开标一览表。</w:t>
      </w:r>
    </w:p>
    <w:p>
      <w:pPr>
        <w:numPr>
          <w:ilvl w:val="0"/>
          <w:numId w:val="3"/>
        </w:num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本投标有效期为自递交投标文件截止之日起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（3）已详细审查全部招标文件，包括所有补充通知（如果有的话）。</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（4）在规定的开标时间后，遵守招标文件中有关保证金的规定。</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（6）在领取中标通知书的同时按招标文件规定的形式，向采购代理机构一次性支付采购代理服务费（适用于中标人支付采购代理服务费情形）。</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（7）按照贵方可能要求，提供与其投标有关的一切数据或资料，完全理解贵方不一定接受最低价的投标或收到的任何投标。</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（8）按照招标文件的规定履行合同责任和义务。</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（9）我方承诺投标文件中的证明材料真实、合法、有效。</w:t>
      </w:r>
    </w:p>
    <w:p>
      <w:pPr>
        <w:adjustRightInd w:val="0"/>
        <w:snapToGrid w:val="0"/>
        <w:spacing w:line="360" w:lineRule="auto"/>
        <w:ind w:right="-21" w:rightChars="-10"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其他事项：</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u w:val="single"/>
        </w:rPr>
      </w:pPr>
      <w:r>
        <w:rPr>
          <w:rFonts w:hint="eastAsia" w:ascii="仿宋_GB2312" w:hAnsi="仿宋_GB2312" w:eastAsia="仿宋_GB2312" w:cs="仿宋_GB2312"/>
          <w:szCs w:val="21"/>
        </w:rPr>
        <w:t>法定代表人（非法人组织负责人）或其授权委托人（签字或盖章）：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投标人开户银行（全称）：</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ascii="仿宋_GB2312" w:hAnsi="仿宋_GB2312" w:eastAsia="仿宋_GB2312" w:cs="仿宋_GB2312"/>
          <w:szCs w:val="21"/>
        </w:rPr>
      </w:pPr>
      <w:r>
        <w:rPr>
          <w:rFonts w:hint="eastAsia" w:ascii="仿宋_GB2312" w:hAnsi="仿宋_GB2312" w:eastAsia="仿宋_GB2312" w:cs="仿宋_GB2312"/>
          <w:szCs w:val="21"/>
        </w:rPr>
        <w:t>投标人银行账号：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jc w:val="left"/>
        <w:rPr>
          <w:rFonts w:ascii="仿宋_GB2312" w:hAnsi="仿宋_GB2312" w:eastAsia="仿宋_GB2312" w:cs="仿宋_GB2312"/>
          <w:szCs w:val="21"/>
          <w:u w:val="single"/>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格式11</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2" w:name="_Toc2673_WPSOffice_Level2"/>
      <w:bookmarkStart w:id="113" w:name="_Toc11267_WPSOffice_Level2"/>
      <w:r>
        <w:rPr>
          <w:rFonts w:hint="eastAsia" w:ascii="仿宋_GB2312" w:hAnsi="仿宋_GB2312" w:eastAsia="仿宋_GB2312" w:cs="仿宋_GB2312"/>
          <w:b/>
          <w:bCs/>
          <w:sz w:val="32"/>
          <w:szCs w:val="32"/>
        </w:rPr>
        <w:t>开标一览表</w:t>
      </w:r>
      <w:bookmarkEnd w:id="112"/>
      <w:bookmarkEnd w:id="113"/>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5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373"/>
        <w:gridCol w:w="1309"/>
        <w:gridCol w:w="1109"/>
        <w:gridCol w:w="1252"/>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货物名称</w:t>
            </w:r>
          </w:p>
        </w:tc>
        <w:tc>
          <w:tcPr>
            <w:tcW w:w="2373"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投标总价</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投标保证金</w:t>
            </w: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交货时间</w:t>
            </w: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交货地点</w:t>
            </w: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3" w:hRule="atLeast"/>
          <w:jc w:val="center"/>
        </w:trPr>
        <w:tc>
          <w:tcPr>
            <w:tcW w:w="154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2373" w:type="dxa"/>
            <w:vAlign w:val="center"/>
          </w:tcPr>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55" w:leftChars="-26" w:right="-46" w:rightChars="-22"/>
              <w:jc w:val="left"/>
              <w:rPr>
                <w:rFonts w:ascii="仿宋_GB2312" w:hAnsi="仿宋_GB2312" w:eastAsia="仿宋_GB2312" w:cs="仿宋_GB2312"/>
                <w:szCs w:val="21"/>
              </w:rPr>
            </w:pPr>
            <w:r>
              <w:rPr>
                <w:rFonts w:hint="eastAsia" w:ascii="仿宋_GB2312" w:hAnsi="仿宋_GB2312" w:eastAsia="仿宋_GB2312" w:cs="仿宋_GB2312"/>
                <w:szCs w:val="21"/>
              </w:rPr>
              <w:t>大写：</w:t>
            </w:r>
          </w:p>
        </w:tc>
        <w:tc>
          <w:tcPr>
            <w:tcW w:w="13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109"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1252" w:type="dxa"/>
            <w:vAlign w:val="center"/>
          </w:tcPr>
          <w:p>
            <w:pPr>
              <w:adjustRightInd w:val="0"/>
              <w:snapToGrid w:val="0"/>
              <w:ind w:left="-55" w:leftChars="-26" w:right="-46" w:rightChars="-22"/>
              <w:jc w:val="center"/>
              <w:rPr>
                <w:rFonts w:ascii="仿宋_GB2312" w:hAnsi="仿宋_GB2312" w:eastAsia="仿宋_GB2312" w:cs="仿宋_GB2312"/>
                <w:szCs w:val="21"/>
              </w:rPr>
            </w:pPr>
          </w:p>
        </w:tc>
        <w:tc>
          <w:tcPr>
            <w:tcW w:w="951" w:type="dxa"/>
            <w:vAlign w:val="center"/>
          </w:tcPr>
          <w:p>
            <w:pPr>
              <w:adjustRightInd w:val="0"/>
              <w:snapToGrid w:val="0"/>
              <w:ind w:left="-55" w:leftChars="-26" w:right="-46" w:rightChars="-22"/>
              <w:jc w:val="center"/>
              <w:rPr>
                <w:rFonts w:ascii="仿宋_GB2312" w:hAnsi="仿宋_GB2312" w:eastAsia="仿宋_GB2312" w:cs="仿宋_GB2312"/>
                <w:szCs w:val="21"/>
              </w:rPr>
            </w:pPr>
          </w:p>
        </w:tc>
      </w:tr>
    </w:tbl>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注：此表中，投标总价应和分项报价表的总价相一致。</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ind w:right="1050" w:rightChars="500"/>
        <w:jc w:val="left"/>
        <w:rPr>
          <w:rFonts w:ascii="仿宋_GB2312" w:hAnsi="仿宋_GB2312" w:eastAsia="仿宋_GB2312" w:cs="仿宋_GB2312"/>
          <w:szCs w:val="21"/>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格式12</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14" w:name="_Toc16044_WPSOffice_Level2"/>
      <w:bookmarkStart w:id="115" w:name="_Toc28271_WPSOffice_Level2"/>
      <w:r>
        <w:rPr>
          <w:rFonts w:hint="eastAsia" w:ascii="仿宋_GB2312" w:hAnsi="仿宋_GB2312" w:eastAsia="仿宋_GB2312" w:cs="仿宋_GB2312"/>
          <w:b/>
          <w:bCs/>
          <w:sz w:val="32"/>
          <w:szCs w:val="32"/>
        </w:rPr>
        <w:t>分项报价表</w:t>
      </w:r>
      <w:bookmarkEnd w:id="114"/>
      <w:bookmarkEnd w:id="115"/>
    </w:p>
    <w:p>
      <w:pPr>
        <w:adjustRightInd w:val="0"/>
        <w:snapToGrid w:val="0"/>
        <w:spacing w:line="360" w:lineRule="auto"/>
        <w:ind w:right="105" w:rightChars="50"/>
        <w:jc w:val="left"/>
        <w:rPr>
          <w:rFonts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9"/>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47"/>
        <w:gridCol w:w="1033"/>
        <w:gridCol w:w="1033"/>
        <w:gridCol w:w="721"/>
        <w:gridCol w:w="802"/>
        <w:gridCol w:w="802"/>
        <w:gridCol w:w="675"/>
        <w:gridCol w:w="682"/>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型号</w:t>
            </w:r>
          </w:p>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原产地</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制造商名称</w:t>
            </w: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55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347"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75"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682" w:type="dxa"/>
            <w:vAlign w:val="center"/>
          </w:tcPr>
          <w:p>
            <w:pPr>
              <w:adjustRightInd w:val="0"/>
              <w:snapToGrid w:val="0"/>
              <w:ind w:left="-97" w:leftChars="-46" w:right="-63" w:rightChars="-30"/>
              <w:jc w:val="center"/>
              <w:rPr>
                <w:rFonts w:ascii="仿宋_GB2312" w:hAnsi="仿宋_GB2312" w:eastAsia="仿宋_GB2312" w:cs="仿宋_GB2312"/>
                <w:szCs w:val="21"/>
              </w:rPr>
            </w:pPr>
          </w:p>
        </w:tc>
        <w:tc>
          <w:tcPr>
            <w:tcW w:w="802" w:type="dxa"/>
            <w:vAlign w:val="center"/>
          </w:tcPr>
          <w:p>
            <w:pPr>
              <w:adjustRightInd w:val="0"/>
              <w:snapToGrid w:val="0"/>
              <w:ind w:left="-97" w:leftChars="-46" w:right="-63" w:rightChars="-3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1904"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1033" w:type="dxa"/>
            <w:vAlign w:val="center"/>
          </w:tcPr>
          <w:p>
            <w:pPr>
              <w:adjustRightInd w:val="0"/>
              <w:snapToGrid w:val="0"/>
              <w:ind w:right="105" w:rightChars="50"/>
              <w:jc w:val="center"/>
              <w:rPr>
                <w:rFonts w:ascii="仿宋_GB2312" w:hAnsi="仿宋_GB2312" w:eastAsia="仿宋_GB2312" w:cs="仿宋_GB2312"/>
                <w:szCs w:val="21"/>
              </w:rPr>
            </w:pPr>
          </w:p>
        </w:tc>
        <w:tc>
          <w:tcPr>
            <w:tcW w:w="721"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c>
          <w:tcPr>
            <w:tcW w:w="675" w:type="dxa"/>
            <w:vAlign w:val="center"/>
          </w:tcPr>
          <w:p>
            <w:pPr>
              <w:adjustRightInd w:val="0"/>
              <w:snapToGrid w:val="0"/>
              <w:ind w:right="105" w:rightChars="50"/>
              <w:jc w:val="center"/>
              <w:rPr>
                <w:rFonts w:ascii="仿宋_GB2312" w:hAnsi="仿宋_GB2312" w:eastAsia="仿宋_GB2312" w:cs="仿宋_GB2312"/>
                <w:szCs w:val="21"/>
              </w:rPr>
            </w:pPr>
          </w:p>
        </w:tc>
        <w:tc>
          <w:tcPr>
            <w:tcW w:w="682" w:type="dxa"/>
            <w:vAlign w:val="center"/>
          </w:tcPr>
          <w:p>
            <w:pPr>
              <w:adjustRightInd w:val="0"/>
              <w:snapToGrid w:val="0"/>
              <w:ind w:right="105" w:rightChars="50"/>
              <w:jc w:val="center"/>
              <w:rPr>
                <w:rFonts w:ascii="仿宋_GB2312" w:hAnsi="仿宋_GB2312" w:eastAsia="仿宋_GB2312" w:cs="仿宋_GB2312"/>
                <w:szCs w:val="21"/>
              </w:rPr>
            </w:pPr>
          </w:p>
        </w:tc>
        <w:tc>
          <w:tcPr>
            <w:tcW w:w="802"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注：1.此表中，总价应和开标一览表的投标总价相一致。</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2.本表格须准备一份电子版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盘并做好标记、密封，递交投标文件时一并递交。</w:t>
      </w: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firstLine="420" w:firstLineChars="20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adjustRightInd w:val="0"/>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Cs w:val="28"/>
        </w:rPr>
        <w:t>格式13</w:t>
      </w:r>
    </w:p>
    <w:p>
      <w:pPr>
        <w:adjustRightInd w:val="0"/>
        <w:snapToGrid w:val="0"/>
        <w:spacing w:before="312" w:beforeLines="100" w:line="360" w:lineRule="auto"/>
        <w:ind w:right="105" w:rightChars="50"/>
        <w:jc w:val="center"/>
        <w:rPr>
          <w:rFonts w:ascii="仿宋_GB2312" w:hAnsi="仿宋_GB2312" w:eastAsia="仿宋_GB2312" w:cs="仿宋_GB2312"/>
          <w:b/>
          <w:bCs/>
          <w:sz w:val="32"/>
          <w:szCs w:val="32"/>
        </w:rPr>
      </w:pPr>
      <w:bookmarkStart w:id="116" w:name="_Toc9235_WPSOffice_Level2"/>
      <w:bookmarkStart w:id="117" w:name="_Toc31555_WPSOffice_Level2"/>
      <w:r>
        <w:rPr>
          <w:rFonts w:hint="eastAsia" w:ascii="仿宋_GB2312" w:hAnsi="仿宋_GB2312" w:eastAsia="仿宋_GB2312" w:cs="仿宋_GB2312"/>
          <w:b/>
          <w:bCs/>
          <w:sz w:val="32"/>
          <w:szCs w:val="32"/>
        </w:rPr>
        <w:t>技术规格偏离表</w:t>
      </w:r>
      <w:bookmarkEnd w:id="116"/>
      <w:bookmarkEnd w:id="117"/>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3"/>
        <w:gridCol w:w="2310"/>
        <w:gridCol w:w="1186"/>
        <w:gridCol w:w="1125"/>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304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招标文件要求</w:t>
            </w:r>
          </w:p>
          <w:p>
            <w:pPr>
              <w:ind w:hanging="1"/>
              <w:rPr>
                <w:rFonts w:ascii="仿宋_GB2312" w:hAnsi="仿宋_GB2312" w:eastAsia="仿宋_GB2312" w:cs="仿宋_GB2312"/>
                <w:b/>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投标文件</w:t>
            </w:r>
          </w:p>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3043" w:type="dxa"/>
            <w:tcBorders>
              <w:top w:val="single" w:color="auto" w:sz="4" w:space="0"/>
              <w:left w:val="single" w:color="auto" w:sz="4" w:space="0"/>
              <w:bottom w:val="single" w:color="auto" w:sz="4" w:space="0"/>
              <w:right w:val="single" w:color="auto" w:sz="4" w:space="0"/>
            </w:tcBorders>
            <w:vAlign w:val="center"/>
          </w:tcPr>
          <w:tbl>
            <w:tblPr>
              <w:tblStyle w:val="19"/>
              <w:tblW w:w="2816" w:type="dxa"/>
              <w:tblInd w:w="0" w:type="dxa"/>
              <w:tblLayout w:type="fixed"/>
              <w:tblCellMar>
                <w:top w:w="0" w:type="dxa"/>
                <w:left w:w="108" w:type="dxa"/>
                <w:bottom w:w="0" w:type="dxa"/>
                <w:right w:w="108" w:type="dxa"/>
              </w:tblCellMar>
            </w:tblPr>
            <w:tblGrid>
              <w:gridCol w:w="618"/>
              <w:gridCol w:w="616"/>
              <w:gridCol w:w="1582"/>
            </w:tblGrid>
            <w:tr>
              <w:tblPrEx>
                <w:tblLayout w:type="fixed"/>
                <w:tblCellMar>
                  <w:top w:w="0" w:type="dxa"/>
                  <w:left w:w="108" w:type="dxa"/>
                  <w:bottom w:w="0" w:type="dxa"/>
                  <w:right w:w="108" w:type="dxa"/>
                </w:tblCellMar>
              </w:tblPrEx>
              <w:trPr>
                <w:trHeight w:val="36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产品名称</w:t>
                  </w:r>
                </w:p>
              </w:tc>
              <w:tc>
                <w:tcPr>
                  <w:tcW w:w="1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产品参数</w:t>
                  </w:r>
                </w:p>
              </w:tc>
            </w:tr>
            <w:tr>
              <w:tblPrEx>
                <w:tblLayout w:type="fixed"/>
                <w:tblCellMar>
                  <w:top w:w="0" w:type="dxa"/>
                  <w:left w:w="108" w:type="dxa"/>
                  <w:bottom w:w="0" w:type="dxa"/>
                  <w:right w:w="108" w:type="dxa"/>
                </w:tblCellMar>
              </w:tblPrEx>
              <w:trPr>
                <w:trHeight w:val="31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台式计算机（学生）</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lang w:bidi="ar"/>
                    </w:rPr>
                    <w:t>1、CPU主频≥3.1GHz，睿频≥4.4GHz，核心数量≥六核心，三级缓存≥12MB；</w:t>
                  </w:r>
                  <w:r>
                    <w:rPr>
                      <w:lang w:bidi="ar"/>
                    </w:rPr>
                    <w:br w:type="textWrapping"/>
                  </w:r>
                  <w:r>
                    <w:rPr>
                      <w:lang w:bidi="ar"/>
                    </w:rPr>
                    <w:t>★2、内存：≥8G DDR4；</w:t>
                  </w:r>
                  <w:r>
                    <w:rPr>
                      <w:lang w:bidi="ar"/>
                    </w:rPr>
                    <w:br w:type="textWrapping"/>
                  </w:r>
                  <w:r>
                    <w:rPr>
                      <w:lang w:bidi="ar"/>
                    </w:rPr>
                    <w:t>3、硬盘：≥1T机械硬盘；</w:t>
                  </w:r>
                  <w:r>
                    <w:rPr>
                      <w:lang w:bidi="ar"/>
                    </w:rPr>
                    <w:br w:type="textWrapping"/>
                  </w:r>
                  <w:r>
                    <w:rPr>
                      <w:lang w:bidi="ar"/>
                    </w:rPr>
                    <w:t>4、声卡：音频接口≥3个音频接口；</w:t>
                  </w:r>
                  <w:r>
                    <w:rPr>
                      <w:lang w:bidi="ar"/>
                    </w:rPr>
                    <w:br w:type="textWrapping"/>
                  </w:r>
                  <w:r>
                    <w:rPr>
                      <w:lang w:bidi="ar"/>
                    </w:rPr>
                    <w:t>5、扩展插槽：≥1个M.2插槽，≥1个PCI-E*16、1个PCI-E*1；</w:t>
                  </w:r>
                  <w:r>
                    <w:rPr>
                      <w:lang w:bidi="ar"/>
                    </w:rPr>
                    <w:br w:type="textWrapping"/>
                  </w:r>
                  <w:r>
                    <w:rPr>
                      <w:lang w:bidi="ar"/>
                    </w:rPr>
                    <w:t>6、显卡：集成；</w:t>
                  </w:r>
                  <w:r>
                    <w:rPr>
                      <w:lang w:bidi="ar"/>
                    </w:rPr>
                    <w:br w:type="textWrapping"/>
                  </w:r>
                  <w:r>
                    <w:rPr>
                      <w:lang w:bidi="ar"/>
                    </w:rPr>
                    <w:t>7、网卡：≥集成千兆以太网卡；</w:t>
                  </w:r>
                  <w:r>
                    <w:rPr>
                      <w:lang w:bidi="ar"/>
                    </w:rPr>
                    <w:br w:type="textWrapping"/>
                  </w:r>
                  <w:r>
                    <w:rPr>
                      <w:lang w:bidi="ar"/>
                    </w:rPr>
                    <w:t>8、接口：≥8个USB接口（其中≥4个USB3.0）、≥1个HDMI接口、1个RJ-45接口；</w:t>
                  </w:r>
                  <w:r>
                    <w:rPr>
                      <w:lang w:bidi="ar"/>
                    </w:rPr>
                    <w:br w:type="textWrapping"/>
                  </w:r>
                  <w:r>
                    <w:rPr>
                      <w:lang w:bidi="ar"/>
                    </w:rPr>
                    <w:t>9、键鼠键盘：USB有线键盘鼠标；</w:t>
                  </w:r>
                  <w:r>
                    <w:rPr>
                      <w:lang w:bidi="ar"/>
                    </w:rPr>
                    <w:br w:type="textWrapping"/>
                  </w:r>
                  <w:r>
                    <w:rPr>
                      <w:lang w:bidi="ar"/>
                    </w:rPr>
                    <w:t>10、电源≥180W电源；</w:t>
                  </w:r>
                  <w:r>
                    <w:rPr>
                      <w:lang w:bidi="ar"/>
                    </w:rPr>
                    <w:br w:type="textWrapping"/>
                  </w:r>
                  <w:r>
                    <w:rPr>
                      <w:lang w:bidi="ar"/>
                    </w:rPr>
                    <w:t>★11、显示器：≥21.5寸宽屏液晶显示器，分辨率不低于1920x1080；</w:t>
                  </w:r>
                  <w:r>
                    <w:rPr>
                      <w:lang w:bidi="ar"/>
                    </w:rPr>
                    <w:br w:type="textWrapping"/>
                  </w:r>
                  <w:r>
                    <w:rPr>
                      <w:lang w:bidi="ar"/>
                    </w:rPr>
                    <w:t>12、操作系统：出厂预装正版Windows正版操作系统。</w:t>
                  </w:r>
                </w:p>
              </w:tc>
            </w:tr>
            <w:tr>
              <w:tblPrEx>
                <w:tblLayout w:type="fixed"/>
                <w:tblCellMar>
                  <w:top w:w="0" w:type="dxa"/>
                  <w:left w:w="108" w:type="dxa"/>
                  <w:bottom w:w="0" w:type="dxa"/>
                  <w:right w:w="108" w:type="dxa"/>
                </w:tblCellMar>
              </w:tblPrEx>
              <w:trPr>
                <w:trHeight w:val="45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台式计算机（教师）</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lang w:bidi="ar"/>
                    </w:rPr>
                    <w:t>1、CPU主频≥3.1GHz，睿频≥4.4GHz，核心数量≥六核心，三级缓存≥12MB；</w:t>
                  </w:r>
                  <w:r>
                    <w:rPr>
                      <w:lang w:bidi="ar"/>
                    </w:rPr>
                    <w:br w:type="textWrapping"/>
                  </w:r>
                  <w:r>
                    <w:rPr>
                      <w:lang w:bidi="ar"/>
                    </w:rPr>
                    <w:t>★2、内存：≥8G DDR4；</w:t>
                  </w:r>
                  <w:r>
                    <w:rPr>
                      <w:lang w:bidi="ar"/>
                    </w:rPr>
                    <w:br w:type="textWrapping"/>
                  </w:r>
                  <w:r>
                    <w:rPr>
                      <w:lang w:bidi="ar"/>
                    </w:rPr>
                    <w:t>3、硬盘：≥1T机械硬盘；</w:t>
                  </w:r>
                  <w:r>
                    <w:rPr>
                      <w:lang w:bidi="ar"/>
                    </w:rPr>
                    <w:br w:type="textWrapping"/>
                  </w:r>
                  <w:r>
                    <w:rPr>
                      <w:lang w:bidi="ar"/>
                    </w:rPr>
                    <w:t>4、声卡：音频接口≥3个音频接口；</w:t>
                  </w:r>
                  <w:r>
                    <w:rPr>
                      <w:lang w:bidi="ar"/>
                    </w:rPr>
                    <w:br w:type="textWrapping"/>
                  </w:r>
                  <w:r>
                    <w:rPr>
                      <w:lang w:bidi="ar"/>
                    </w:rPr>
                    <w:t>5、扩展插槽：≥1个M.2插槽，≥1个PCI-E*16、1个PCI-E*1；</w:t>
                  </w:r>
                  <w:r>
                    <w:rPr>
                      <w:lang w:bidi="ar"/>
                    </w:rPr>
                    <w:br w:type="textWrapping"/>
                  </w:r>
                  <w:r>
                    <w:rPr>
                      <w:lang w:bidi="ar"/>
                    </w:rPr>
                    <w:t>★6、显卡：≥2G独立显卡；</w:t>
                  </w:r>
                  <w:r>
                    <w:rPr>
                      <w:lang w:bidi="ar"/>
                    </w:rPr>
                    <w:br w:type="textWrapping"/>
                  </w:r>
                  <w:r>
                    <w:rPr>
                      <w:lang w:bidi="ar"/>
                    </w:rPr>
                    <w:t>7、网卡：≥集成千兆以太网卡；</w:t>
                  </w:r>
                  <w:r>
                    <w:rPr>
                      <w:lang w:bidi="ar"/>
                    </w:rPr>
                    <w:br w:type="textWrapping"/>
                  </w:r>
                  <w:r>
                    <w:rPr>
                      <w:lang w:bidi="ar"/>
                    </w:rPr>
                    <w:t>8、接口：≥8个USB接口（其中≥4个USB3.0）、≥1个HDMI接口、1个RJ-45接口；</w:t>
                  </w:r>
                  <w:r>
                    <w:rPr>
                      <w:lang w:bidi="ar"/>
                    </w:rPr>
                    <w:br w:type="textWrapping"/>
                  </w:r>
                  <w:r>
                    <w:rPr>
                      <w:lang w:bidi="ar"/>
                    </w:rPr>
                    <w:t>9、键鼠键盘：USB有线键盘鼠标；</w:t>
                  </w:r>
                  <w:r>
                    <w:rPr>
                      <w:lang w:bidi="ar"/>
                    </w:rPr>
                    <w:br w:type="textWrapping"/>
                  </w:r>
                  <w:r>
                    <w:rPr>
                      <w:lang w:bidi="ar"/>
                    </w:rPr>
                    <w:t>10、电源≥180W电源；</w:t>
                  </w:r>
                  <w:r>
                    <w:rPr>
                      <w:lang w:bidi="ar"/>
                    </w:rPr>
                    <w:br w:type="textWrapping"/>
                  </w:r>
                  <w:r>
                    <w:rPr>
                      <w:lang w:bidi="ar"/>
                    </w:rPr>
                    <w:t>★11、显示器：≥23寸宽屏液晶显示器，分辨率不低于1920x1080；</w:t>
                  </w:r>
                  <w:r>
                    <w:rPr>
                      <w:lang w:bidi="ar"/>
                    </w:rPr>
                    <w:br w:type="textWrapping"/>
                  </w:r>
                  <w:r>
                    <w:rPr>
                      <w:lang w:bidi="ar"/>
                    </w:rPr>
                    <w:t>12、操作系统：出厂预装正版Windows正版操作系统。</w:t>
                  </w:r>
                </w:p>
              </w:tc>
            </w:tr>
            <w:tr>
              <w:tblPrEx>
                <w:tblLayout w:type="fixed"/>
                <w:tblCellMar>
                  <w:top w:w="0" w:type="dxa"/>
                  <w:left w:w="108" w:type="dxa"/>
                  <w:bottom w:w="0" w:type="dxa"/>
                  <w:right w:w="108" w:type="dxa"/>
                </w:tblCellMar>
              </w:tblPrEx>
              <w:trPr>
                <w:trHeight w:val="1920" w:hRule="atLeast"/>
              </w:trPr>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笔记本电脑</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lang w:bidi="ar"/>
                    </w:rPr>
                    <w:t>CPU主频≥1.8GHz，核心数量≥四核心；</w:t>
                  </w:r>
                  <w:r>
                    <w:rPr>
                      <w:rFonts w:hint="eastAsia" w:ascii="宋体" w:hAnsi="宋体" w:cs="宋体"/>
                      <w:kern w:val="0"/>
                      <w:sz w:val="20"/>
                      <w:szCs w:val="20"/>
                      <w:lang w:bidi="ar"/>
                    </w:rPr>
                    <w:br w:type="textWrapping"/>
                  </w:r>
                  <w:r>
                    <w:rPr>
                      <w:rFonts w:hint="eastAsia" w:ascii="宋体" w:hAnsi="宋体" w:cs="宋体"/>
                      <w:kern w:val="0"/>
                      <w:sz w:val="20"/>
                      <w:szCs w:val="20"/>
                      <w:lang w:bidi="ar"/>
                    </w:rPr>
                    <w:t>2、屏幕：≥15'HD防眩光屏；</w:t>
                  </w:r>
                  <w:r>
                    <w:rPr>
                      <w:rFonts w:hint="eastAsia" w:ascii="宋体" w:hAnsi="宋体" w:cs="宋体"/>
                      <w:kern w:val="0"/>
                      <w:sz w:val="20"/>
                      <w:szCs w:val="20"/>
                      <w:lang w:bidi="ar"/>
                    </w:rPr>
                    <w:br w:type="textWrapping"/>
                  </w:r>
                  <w:r>
                    <w:rPr>
                      <w:rFonts w:hint="eastAsia" w:ascii="宋体" w:hAnsi="宋体" w:cs="宋体"/>
                      <w:kern w:val="0"/>
                      <w:sz w:val="20"/>
                      <w:szCs w:val="20"/>
                      <w:lang w:bidi="ar"/>
                    </w:rPr>
                    <w:t>3、内存：≥8G</w:t>
                  </w:r>
                  <w:r>
                    <w:rPr>
                      <w:rFonts w:ascii="宋体" w:hAnsi="宋体" w:cs="宋体"/>
                      <w:kern w:val="0"/>
                      <w:sz w:val="20"/>
                      <w:szCs w:val="20"/>
                      <w:lang w:bidi="ar"/>
                    </w:rPr>
                    <w:t xml:space="preserve"> </w:t>
                  </w:r>
                  <w:r>
                    <w:rPr>
                      <w:rFonts w:hint="eastAsia" w:ascii="宋体" w:hAnsi="宋体" w:cs="宋体"/>
                      <w:kern w:val="0"/>
                      <w:sz w:val="20"/>
                      <w:szCs w:val="20"/>
                      <w:lang w:bidi="ar"/>
                    </w:rPr>
                    <w:t>DDR4；</w:t>
                  </w:r>
                  <w:r>
                    <w:rPr>
                      <w:rFonts w:hint="eastAsia" w:ascii="宋体" w:hAnsi="宋体" w:cs="宋体"/>
                      <w:kern w:val="0"/>
                      <w:sz w:val="20"/>
                      <w:szCs w:val="20"/>
                      <w:lang w:bidi="ar"/>
                    </w:rPr>
                    <w:br w:type="textWrapping"/>
                  </w:r>
                  <w:r>
                    <w:rPr>
                      <w:rFonts w:hint="eastAsia" w:ascii="宋体" w:hAnsi="宋体" w:cs="宋体"/>
                      <w:kern w:val="0"/>
                      <w:sz w:val="20"/>
                      <w:szCs w:val="20"/>
                      <w:lang w:bidi="ar"/>
                    </w:rPr>
                    <w:t>4、硬盘：≥256G固态硬盘；</w:t>
                  </w:r>
                  <w:r>
                    <w:rPr>
                      <w:rFonts w:hint="eastAsia" w:ascii="宋体" w:hAnsi="宋体" w:cs="宋体"/>
                      <w:kern w:val="0"/>
                      <w:sz w:val="20"/>
                      <w:szCs w:val="20"/>
                      <w:lang w:bidi="ar"/>
                    </w:rPr>
                    <w:br w:type="textWrapping"/>
                  </w:r>
                  <w:r>
                    <w:rPr>
                      <w:rFonts w:hint="eastAsia" w:ascii="宋体" w:hAnsi="宋体" w:cs="宋体"/>
                      <w:kern w:val="0"/>
                      <w:sz w:val="20"/>
                      <w:szCs w:val="20"/>
                      <w:lang w:bidi="ar"/>
                    </w:rPr>
                    <w:t>5、显卡：≥2G独立显卡；</w:t>
                  </w:r>
                  <w:r>
                    <w:rPr>
                      <w:rFonts w:hint="eastAsia" w:ascii="宋体" w:hAnsi="宋体" w:cs="宋体"/>
                      <w:kern w:val="0"/>
                      <w:sz w:val="20"/>
                      <w:szCs w:val="20"/>
                      <w:lang w:bidi="ar"/>
                    </w:rPr>
                    <w:br w:type="textWrapping"/>
                  </w:r>
                  <w:r>
                    <w:rPr>
                      <w:rFonts w:hint="eastAsia" w:ascii="宋体" w:hAnsi="宋体" w:cs="宋体"/>
                      <w:kern w:val="0"/>
                      <w:sz w:val="20"/>
                      <w:szCs w:val="20"/>
                      <w:lang w:bidi="ar"/>
                    </w:rPr>
                    <w:t>6、接口：≥4个USB接口（其中≥2个USB3.</w:t>
                  </w:r>
                  <w:r>
                    <w:rPr>
                      <w:rFonts w:ascii="宋体" w:hAnsi="宋体" w:cs="宋体"/>
                      <w:kern w:val="0"/>
                      <w:sz w:val="20"/>
                      <w:szCs w:val="20"/>
                      <w:lang w:bidi="ar"/>
                    </w:rPr>
                    <w:t>0</w:t>
                  </w:r>
                  <w:r>
                    <w:rPr>
                      <w:rFonts w:hint="eastAsia" w:ascii="宋体" w:hAnsi="宋体" w:cs="宋体"/>
                      <w:kern w:val="0"/>
                      <w:sz w:val="20"/>
                      <w:szCs w:val="20"/>
                      <w:lang w:bidi="ar"/>
                    </w:rPr>
                    <w:t>）、≥1个HDMI接口、1个RJ-45接口；</w:t>
                  </w:r>
                  <w:r>
                    <w:rPr>
                      <w:rFonts w:hint="eastAsia" w:ascii="宋体" w:hAnsi="宋体" w:cs="宋体"/>
                      <w:kern w:val="0"/>
                      <w:sz w:val="20"/>
                      <w:szCs w:val="20"/>
                      <w:lang w:bidi="ar"/>
                    </w:rPr>
                    <w:br w:type="textWrapping"/>
                  </w:r>
                  <w:r>
                    <w:rPr>
                      <w:rFonts w:hint="eastAsia" w:ascii="宋体" w:hAnsi="宋体" w:cs="宋体"/>
                      <w:kern w:val="0"/>
                      <w:sz w:val="20"/>
                      <w:szCs w:val="20"/>
                      <w:lang w:bidi="ar"/>
                    </w:rPr>
                    <w:t>7、操作系统：出厂预装正版Windows正版操作系统；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8、高清摄像头。</w:t>
                  </w:r>
                </w:p>
              </w:tc>
            </w:tr>
          </w:tbl>
          <w:p>
            <w:pPr>
              <w:adjustRightInd w:val="0"/>
              <w:snapToGrid w:val="0"/>
              <w:ind w:hanging="1"/>
              <w:jc w:val="center"/>
              <w:rPr>
                <w:rFonts w:ascii="仿宋_GB2312" w:hAnsi="仿宋_GB2312" w:eastAsia="仿宋_GB2312" w:cs="仿宋_GB2312"/>
                <w:szCs w:val="21"/>
              </w:rPr>
            </w:pP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ascii="仿宋_GB2312" w:hAnsi="仿宋_GB2312" w:eastAsia="仿宋_GB2312" w:cs="仿宋_GB2312"/>
                <w:kern w:val="0"/>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3043"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ascii="仿宋_GB2312" w:hAnsi="仿宋_GB2312" w:eastAsia="仿宋_GB2312" w:cs="仿宋_GB2312"/>
                <w:szCs w:val="21"/>
              </w:rPr>
            </w:pPr>
            <w:r>
              <w:rPr>
                <w:rFonts w:hint="eastAsia" w:ascii="仿宋_GB2312" w:hAnsi="仿宋_GB2312" w:eastAsia="仿宋_GB2312" w:cs="仿宋_GB2312"/>
                <w:szCs w:val="21"/>
              </w:rPr>
              <w:t>其它</w:t>
            </w:r>
          </w:p>
        </w:tc>
        <w:tc>
          <w:tcPr>
            <w:tcW w:w="2310" w:type="dxa"/>
            <w:tcBorders>
              <w:top w:val="single" w:color="auto" w:sz="4" w:space="0"/>
              <w:left w:val="single" w:color="auto" w:sz="4" w:space="0"/>
              <w:bottom w:val="single" w:color="auto" w:sz="4" w:space="0"/>
              <w:right w:val="single" w:color="auto" w:sz="4" w:space="0"/>
            </w:tcBorders>
            <w:vAlign w:val="center"/>
          </w:tcPr>
          <w:p>
            <w:pPr>
              <w:tabs>
                <w:tab w:val="left" w:pos="-61"/>
              </w:tabs>
              <w:adjustRightInd w:val="0"/>
              <w:snapToGrid w:val="0"/>
              <w:ind w:right="-55" w:rightChars="-26"/>
              <w:jc w:val="left"/>
              <w:rPr>
                <w:rFonts w:ascii="仿宋_GB2312" w:hAnsi="仿宋_GB2312" w:eastAsia="仿宋_GB2312" w:cs="仿宋_GB2312"/>
                <w:kern w:val="0"/>
                <w:szCs w:val="21"/>
              </w:rPr>
            </w:pPr>
            <w:r>
              <w:rPr>
                <w:rFonts w:hint="eastAsia" w:ascii="仿宋_GB2312" w:hAnsi="仿宋_GB2312" w:eastAsia="仿宋_GB2312" w:cs="仿宋_GB2312"/>
                <w:szCs w:val="21"/>
              </w:rPr>
              <w:t>采购单位未提供需求而投标人认为需说明及补充的内容在此填列</w:t>
            </w:r>
          </w:p>
        </w:tc>
        <w:tc>
          <w:tcPr>
            <w:tcW w:w="1186"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c>
          <w:tcPr>
            <w:tcW w:w="109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仿宋_GB2312" w:eastAsia="仿宋_GB2312" w:cs="仿宋_GB2312"/>
                <w:kern w:val="0"/>
                <w:szCs w:val="21"/>
              </w:rPr>
            </w:pPr>
          </w:p>
        </w:tc>
      </w:tr>
    </w:tbl>
    <w:p>
      <w:pPr>
        <w:adjustRightInd w:val="0"/>
        <w:snapToGrid w:val="0"/>
        <w:spacing w:line="360" w:lineRule="auto"/>
        <w:ind w:right="105" w:rightChars="50"/>
        <w:jc w:val="left"/>
        <w:rPr>
          <w:rFonts w:ascii="仿宋_GB2312" w:hAnsi="仿宋_GB2312" w:eastAsia="仿宋_GB2312" w:cs="仿宋_GB2312"/>
          <w:b/>
          <w:szCs w:val="21"/>
        </w:rPr>
      </w:pPr>
      <w:r>
        <w:rPr>
          <w:rFonts w:hint="eastAsia" w:ascii="仿宋_GB2312" w:hAnsi="仿宋_GB2312" w:eastAsia="仿宋_GB2312" w:cs="仿宋_GB2312"/>
          <w:b/>
          <w:szCs w:val="21"/>
        </w:rPr>
        <w:t>填表要求：</w:t>
      </w:r>
    </w:p>
    <w:p>
      <w:pPr>
        <w:numPr>
          <w:ilvl w:val="0"/>
          <w:numId w:val="4"/>
        </w:num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“投标文件响应内容”一栏由投标人根据所投报产品的真实技术参数逐项对照填写，且须与所提供的投报产品的证明资料相一致。</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3．“偏离说明”一栏由投标人对偏离的情况做详细说明。</w:t>
      </w:r>
    </w:p>
    <w:p>
      <w:pPr>
        <w:adjustRightInd w:val="0"/>
        <w:snapToGrid w:val="0"/>
        <w:spacing w:line="360" w:lineRule="auto"/>
        <w:rPr>
          <w:rFonts w:ascii="仿宋_GB2312" w:hAnsi="仿宋_GB2312" w:eastAsia="仿宋_GB2312" w:cs="仿宋_GB2312"/>
          <w:b/>
          <w:bCs/>
          <w:sz w:val="24"/>
        </w:rPr>
      </w:pPr>
      <w:r>
        <w:rPr>
          <w:rFonts w:hint="eastAsia" w:ascii="仿宋_GB2312" w:hAnsi="仿宋_GB2312" w:eastAsia="仿宋_GB2312" w:cs="仿宋_GB2312"/>
          <w:b/>
          <w:bCs/>
          <w:sz w:val="24"/>
        </w:rPr>
        <w:t>4.投标人填报本表有以下情形之一的，将被认定为无效投标文件：</w:t>
      </w:r>
    </w:p>
    <w:p>
      <w:pPr>
        <w:adjustRightInd w:val="0"/>
        <w:snapToGrid w:val="0"/>
        <w:spacing w:line="360" w:lineRule="auto"/>
        <w:rPr>
          <w:rFonts w:ascii="仿宋" w:hAnsi="仿宋" w:eastAsia="仿宋_GB2312" w:cs="仿宋"/>
          <w:b/>
          <w:bCs/>
          <w:sz w:val="24"/>
        </w:rPr>
      </w:pPr>
      <w:r>
        <w:rPr>
          <w:rFonts w:hint="eastAsia" w:ascii="仿宋" w:hAnsi="仿宋" w:eastAsia="仿宋" w:cs="仿宋"/>
          <w:b/>
          <w:bCs/>
          <w:sz w:val="24"/>
        </w:rPr>
        <w:t>①</w:t>
      </w:r>
      <w:r>
        <w:rPr>
          <w:rFonts w:hint="eastAsia" w:ascii="仿宋_GB2312" w:hAnsi="仿宋_GB2312" w:eastAsia="仿宋_GB2312" w:cs="仿宋_GB2312"/>
          <w:b/>
          <w:bCs/>
          <w:sz w:val="24"/>
        </w:rPr>
        <w:t>★标注项出现负偏离的；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②</w:t>
      </w:r>
      <w:r>
        <w:rPr>
          <w:rFonts w:hint="eastAsia" w:ascii="仿宋_GB2312" w:hAnsi="仿宋_GB2312" w:eastAsia="仿宋_GB2312" w:cs="仿宋_GB2312"/>
          <w:b/>
          <w:bCs/>
          <w:sz w:val="24"/>
        </w:rPr>
        <w:t>投标文件响应内容未逐项填写的；</w:t>
      </w:r>
    </w:p>
    <w:p>
      <w:pPr>
        <w:adjustRightInd w:val="0"/>
        <w:snapToGrid w:val="0"/>
        <w:spacing w:line="360" w:lineRule="auto"/>
        <w:rPr>
          <w:rFonts w:ascii="仿宋" w:hAnsi="仿宋" w:eastAsia="仿宋" w:cs="仿宋"/>
          <w:b/>
          <w:bCs/>
          <w:sz w:val="24"/>
        </w:rPr>
      </w:pPr>
      <w:r>
        <w:rPr>
          <w:rFonts w:hint="eastAsia" w:ascii="仿宋" w:hAnsi="仿宋" w:eastAsia="仿宋" w:cs="仿宋"/>
          <w:b/>
          <w:bCs/>
          <w:sz w:val="24"/>
        </w:rPr>
        <w:t>③</w:t>
      </w:r>
      <w:r>
        <w:rPr>
          <w:rFonts w:hint="eastAsia" w:ascii="仿宋_GB2312" w:hAnsi="仿宋_GB2312" w:eastAsia="仿宋_GB2312" w:cs="仿宋_GB2312"/>
          <w:b/>
          <w:bCs/>
          <w:sz w:val="24"/>
        </w:rPr>
        <w:t>所投报产品响应内容与证明资料不相符的；</w:t>
      </w:r>
    </w:p>
    <w:p>
      <w:pPr>
        <w:adjustRightInd w:val="0"/>
        <w:snapToGrid w:val="0"/>
        <w:spacing w:line="360" w:lineRule="auto"/>
        <w:rPr>
          <w:rFonts w:ascii="仿宋_GB2312" w:hAnsi="仿宋_GB2312" w:eastAsia="仿宋_GB2312" w:cs="仿宋_GB2312"/>
          <w:b/>
          <w:bCs/>
          <w:sz w:val="24"/>
        </w:rPr>
      </w:pPr>
      <w:r>
        <w:rPr>
          <w:rFonts w:hint="eastAsia" w:ascii="仿宋" w:hAnsi="仿宋" w:eastAsia="仿宋" w:cs="仿宋"/>
          <w:b/>
          <w:bCs/>
          <w:sz w:val="24"/>
        </w:rPr>
        <w:t>④</w:t>
      </w:r>
      <w:r>
        <w:rPr>
          <w:rFonts w:hint="eastAsia" w:ascii="仿宋_GB2312" w:hAnsi="仿宋_GB2312" w:eastAsia="仿宋_GB2312" w:cs="仿宋_GB2312"/>
          <w:b/>
          <w:bCs/>
          <w:sz w:val="24"/>
        </w:rPr>
        <w:t>偏离程度表述不真实的。</w:t>
      </w:r>
    </w:p>
    <w:p>
      <w:pPr>
        <w:adjustRightInd w:val="0"/>
        <w:snapToGrid w:val="0"/>
        <w:spacing w:line="360" w:lineRule="auto"/>
        <w:rPr>
          <w:rFonts w:ascii="仿宋_GB2312" w:hAnsi="仿宋_GB2312" w:eastAsia="仿宋_GB2312" w:cs="仿宋_GB2312"/>
          <w:szCs w:val="21"/>
        </w:rPr>
      </w:pP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napToGrid w:val="0"/>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adjustRightInd w:val="0"/>
        <w:snapToGrid w:val="0"/>
        <w:spacing w:line="360" w:lineRule="auto"/>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r>
        <w:rPr>
          <w:rFonts w:ascii="仿宋_GB2312" w:hAnsi="仿宋_GB2312" w:eastAsia="仿宋_GB2312" w:cs="仿宋_GB2312"/>
          <w:szCs w:val="28"/>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格式14</w:t>
      </w:r>
    </w:p>
    <w:p>
      <w:pPr>
        <w:adjustRightInd w:val="0"/>
        <w:snapToGrid w:val="0"/>
        <w:spacing w:line="360" w:lineRule="auto"/>
        <w:ind w:right="105" w:rightChars="50"/>
        <w:jc w:val="center"/>
        <w:rPr>
          <w:rFonts w:ascii="仿宋_GB2312" w:hAnsi="仿宋_GB2312" w:eastAsia="仿宋_GB2312" w:cs="仿宋_GB2312"/>
          <w:b/>
          <w:bCs/>
          <w:sz w:val="32"/>
          <w:szCs w:val="32"/>
        </w:rPr>
      </w:pPr>
      <w:bookmarkStart w:id="118" w:name="_Toc8488_WPSOffice_Level2"/>
      <w:bookmarkStart w:id="119" w:name="_Toc4431_WPSOffice_Level2"/>
      <w:r>
        <w:rPr>
          <w:rFonts w:hint="eastAsia" w:ascii="仿宋_GB2312" w:hAnsi="仿宋_GB2312" w:eastAsia="仿宋_GB2312" w:cs="仿宋_GB2312"/>
          <w:b/>
          <w:bCs/>
          <w:sz w:val="32"/>
          <w:szCs w:val="32"/>
        </w:rPr>
        <w:t>商务条款偏离表</w:t>
      </w:r>
      <w:bookmarkEnd w:id="118"/>
      <w:bookmarkEnd w:id="119"/>
    </w:p>
    <w:sdt>
      <w:sdtPr>
        <w:alias w:val="一表（对项目或各包的要求）"/>
        <w:tag w:val="一表（对项目或各包的要求）"/>
        <w:id w:val="1558982016"/>
        <w:lock w:val="sdtLocked"/>
      </w:sdtPr>
      <w:sdtContent>
        <w:p/>
        <w:tbl>
          <w:tblPr>
            <w:tblStyle w:val="19"/>
            <w:tblW w:w="86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3431"/>
            <w:gridCol w:w="2298"/>
            <w:gridCol w:w="772"/>
            <w:gridCol w:w="86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8620" w:type="dxa"/>
                <w:gridSpan w:val="6"/>
                <w:vAlign w:val="center"/>
              </w:tcPr>
              <w:p>
                <w:pPr>
                  <w:adjustRightInd w:val="0"/>
                  <w:snapToGrid w:val="0"/>
                  <w:ind w:right="-107" w:rightChars="-51"/>
                  <w:rPr>
                    <w:rFonts w:ascii="仿宋_GB2312" w:hAnsi="仿宋_GB2312" w:eastAsia="仿宋_GB2312" w:cs="仿宋_GB2312"/>
                    <w:kern w:val="0"/>
                    <w:sz w:val="24"/>
                  </w:rPr>
                </w:pPr>
                <w:r>
                  <w:rPr>
                    <w:rFonts w:hint="eastAsia" w:ascii="仿宋" w:hAnsi="仿宋" w:eastAsia="仿宋" w:cs="Lucida Sans Unicode"/>
                    <w:color w:val="000000" w:themeColor="text1"/>
                    <w:kern w:val="0"/>
                    <w:sz w:val="24"/>
                    <w14:textFill>
                      <w14:solidFill>
                        <w14:schemeClr w14:val="tx1"/>
                      </w14:solidFill>
                    </w14:textFill>
                  </w:rPr>
                  <w:fldChar w:fldCharType="begin"/>
                </w:r>
                <w:r>
                  <w:rPr>
                    <w:rFonts w:hint="eastAsia" w:ascii="仿宋" w:hAnsi="仿宋" w:eastAsia="仿宋" w:cs="Lucida Sans Unicode"/>
                    <w:color w:val="000000" w:themeColor="text1"/>
                    <w:sz w:val="24"/>
                    <w14:textFill>
                      <w14:solidFill>
                        <w14:schemeClr w14:val="tx1"/>
                      </w14:solidFill>
                    </w14:textFill>
                  </w:rPr>
                  <w:instrText xml:space="preserve"> DOCPROPERTY  项目要求  \* MERGEFORMAT </w:instrText>
                </w:r>
                <w:r>
                  <w:rPr>
                    <w:rFonts w:hint="eastAsia" w:ascii="仿宋" w:hAnsi="仿宋" w:eastAsia="仿宋" w:cs="Lucida Sans Unicode"/>
                    <w:color w:val="000000" w:themeColor="text1"/>
                    <w:kern w:val="0"/>
                    <w:sz w:val="24"/>
                    <w14:textFill>
                      <w14:solidFill>
                        <w14:schemeClr w14:val="tx1"/>
                      </w14:solidFill>
                    </w14:textFill>
                  </w:rPr>
                  <w:fldChar w:fldCharType="separate"/>
                </w:r>
                <w:r>
                  <w:rPr>
                    <w:rFonts w:hint="eastAsia" w:ascii="仿宋" w:hAnsi="仿宋" w:eastAsia="仿宋" w:cs="Lucida Sans Unicode"/>
                    <w:color w:val="000000" w:themeColor="text1"/>
                    <w:sz w:val="24"/>
                    <w14:textFill>
                      <w14:solidFill>
                        <w14:schemeClr w14:val="tx1"/>
                      </w14:solidFill>
                    </w14:textFill>
                  </w:rPr>
                  <w:t>包号</w:t>
                </w:r>
                <w:r>
                  <w:rPr>
                    <w:rFonts w:hint="eastAsia" w:ascii="仿宋" w:hAnsi="仿宋" w:eastAsia="仿宋" w:cs="Lucida Sans Unicode"/>
                    <w:color w:val="000000" w:themeColor="text1"/>
                    <w:kern w:val="0"/>
                    <w:sz w:val="24"/>
                    <w14:textFill>
                      <w14:solidFill>
                        <w14:schemeClr w14:val="tx1"/>
                      </w14:solidFill>
                    </w14:textFill>
                  </w:rPr>
                  <w:fldChar w:fldCharType="end"/>
                </w:r>
                <w:r>
                  <w:rPr>
                    <w:rFonts w:hint="eastAsia" w:ascii="仿宋" w:hAnsi="仿宋" w:eastAsia="仿宋" w:cs="Lucida Sans Unicode"/>
                    <w:color w:val="000000" w:themeColor="text1"/>
                    <w:sz w:val="24"/>
                    <w14:textFill>
                      <w14:solidFill>
                        <w14:schemeClr w14:val="tx1"/>
                      </w14:solidFill>
                    </w14:textFill>
                  </w:rPr>
                  <w:t>：</w:t>
                </w:r>
                <w:sdt>
                  <w:sdtPr>
                    <w:rPr>
                      <w:rFonts w:hint="eastAsia" w:ascii="仿宋" w:hAnsi="仿宋" w:eastAsia="仿宋"/>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kern w:val="0"/>
                      <w:sz w:val="24"/>
                    </w:rPr>
                  </w:sdtEndPr>
                  <w:sdtContent>
                    <w:r>
                      <w:rPr>
                        <w:rFonts w:hint="eastAsia" w:ascii="仿宋" w:hAnsi="仿宋" w:eastAsia="仿宋"/>
                        <w:kern w:val="0"/>
                        <w:sz w:val="24"/>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jc w:val="center"/>
            </w:trPr>
            <w:tc>
              <w:tcPr>
                <w:tcW w:w="500" w:type="dxa"/>
                <w:vAlign w:val="center"/>
              </w:tcPr>
              <w:p>
                <w:pPr>
                  <w:adjustRightInd w:val="0"/>
                  <w:snapToGrid w:val="0"/>
                  <w:ind w:right="-48" w:rightChars="-23"/>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序号</w:t>
                </w:r>
              </w:p>
            </w:tc>
            <w:tc>
              <w:tcPr>
                <w:tcW w:w="3431" w:type="dxa"/>
                <w:vAlign w:val="center"/>
              </w:tcPr>
              <w:p>
                <w:pPr>
                  <w:adjustRightInd w:val="0"/>
                  <w:snapToGrid w:val="0"/>
                  <w:ind w:right="-73" w:rightChars="-35"/>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招标文件的商务条款</w:t>
                </w:r>
              </w:p>
              <w:p>
                <w:pPr>
                  <w:adjustRightInd w:val="0"/>
                  <w:snapToGrid w:val="0"/>
                  <w:ind w:right="-73" w:rightChars="-35"/>
                  <w:jc w:val="center"/>
                  <w:rPr>
                    <w:rFonts w:ascii="仿宋_GB2312" w:hAnsi="仿宋_GB2312" w:eastAsia="仿宋_GB2312" w:cs="仿宋_GB2312"/>
                    <w:kern w:val="0"/>
                    <w:sz w:val="20"/>
                    <w:szCs w:val="21"/>
                  </w:rPr>
                </w:pPr>
                <w:r>
                  <w:rPr>
                    <w:rFonts w:hint="eastAsia" w:ascii="仿宋" w:hAnsi="仿宋" w:cs="宋体"/>
                    <w:kern w:val="0"/>
                    <w:sz w:val="20"/>
                    <w:szCs w:val="21"/>
                  </w:rPr>
                  <w:t>（</w:t>
                </w:r>
                <w:r>
                  <w:rPr>
                    <w:rFonts w:hint="eastAsia" w:ascii="仿宋" w:hAnsi="仿宋" w:cs="宋体"/>
                    <w:b/>
                    <w:kern w:val="0"/>
                    <w:sz w:val="18"/>
                    <w:szCs w:val="18"/>
                  </w:rPr>
                  <w:t>实质性要求及重要指标用★标注，★标注项不得负偏离，如果负偏离，则投标文件无效。</w:t>
                </w:r>
                <w:r>
                  <w:rPr>
                    <w:rFonts w:hint="eastAsia" w:ascii="仿宋" w:hAnsi="仿宋" w:cs="宋体"/>
                    <w:kern w:val="0"/>
                    <w:sz w:val="20"/>
                    <w:szCs w:val="21"/>
                  </w:rPr>
                  <w:t>）</w:t>
                </w:r>
              </w:p>
            </w:tc>
            <w:tc>
              <w:tcPr>
                <w:tcW w:w="2298"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投标文件响应内容</w:t>
                </w:r>
              </w:p>
            </w:tc>
            <w:tc>
              <w:tcPr>
                <w:tcW w:w="772"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偏离程度</w:t>
                </w:r>
              </w:p>
            </w:tc>
            <w:tc>
              <w:tcPr>
                <w:tcW w:w="860"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说明</w:t>
                </w:r>
              </w:p>
            </w:tc>
            <w:tc>
              <w:tcPr>
                <w:tcW w:w="759" w:type="dxa"/>
                <w:vAlign w:val="center"/>
              </w:tcPr>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证明</w:t>
                </w:r>
              </w:p>
              <w:p>
                <w:pPr>
                  <w:adjustRightInd w:val="0"/>
                  <w:snapToGrid w:val="0"/>
                  <w:ind w:right="-107" w:rightChars="-51"/>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交货/交付时间：合同签订后60天内。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交货/交付地点：营口市教育局指定地点。</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r>
                  <w:rPr>
                    <w:rFonts w:hint="eastAsia" w:ascii="仿宋" w:hAnsi="仿宋" w:eastAsia="仿宋"/>
                    <w:b/>
                    <w:color w:val="000000" w:themeColor="text1"/>
                    <w:kern w:val="0"/>
                    <w:sz w:val="24"/>
                    <w14:textFill>
                      <w14:solidFill>
                        <w14:schemeClr w14:val="tx1"/>
                      </w14:solidFill>
                    </w14:textFill>
                  </w:rPr>
                  <w:t>★</w:t>
                </w: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付款方式及条件：设备安装调试验收合格后付合同价款的95%，剩余5%作为质保金一年后付清。</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6"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验收标准：按照财政部及省财政厅关于履约验收相关规定执行。</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验收程序：</w:t>
                </w:r>
              </w:p>
              <w:p>
                <w:pPr>
                  <w:adjustRightInd w:val="0"/>
                  <w:snapToGrid w:val="0"/>
                  <w:rPr>
                    <w:rFonts w:ascii="仿宋_GB2312" w:hAnsi="仿宋_GB2312" w:eastAsia="仿宋_GB2312" w:cs="仿宋_GB2312"/>
                    <w:color w:val="000000"/>
                    <w:kern w:val="0"/>
                    <w:sz w:val="20"/>
                    <w:szCs w:val="21"/>
                  </w:rPr>
                </w:pPr>
                <w:r>
                  <w:rPr>
                    <w:rFonts w:hint="eastAsia" w:ascii="仿宋_GB2312" w:hAnsi="仿宋_GB2312" w:eastAsia="仿宋_GB2312" w:cs="仿宋_GB2312"/>
                    <w:color w:val="000000"/>
                    <w:kern w:val="0"/>
                    <w:sz w:val="20"/>
                    <w:szCs w:val="21"/>
                  </w:rPr>
                  <w:t>验收报告：</w:t>
                </w:r>
              </w:p>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组织验收主体：本项目的履约验收工作由采购人依法组织实施。</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质量保证期：所有设备质量保证期不少于（ 1 ）年。</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服务支持：要求接到报修后2小时响应，24小时内到达现场。</w:t>
                </w:r>
              </w:p>
            </w:tc>
            <w:tc>
              <w:tcPr>
                <w:tcW w:w="2298"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5" w:hRule="atLeast"/>
              <w:jc w:val="center"/>
            </w:trPr>
            <w:tc>
              <w:tcPr>
                <w:tcW w:w="50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3431" w:type="dxa"/>
                <w:vAlign w:val="center"/>
              </w:tcPr>
              <w:p>
                <w:pPr>
                  <w:adjustRightInd w:val="0"/>
                  <w:snapToGrid w:val="0"/>
                  <w:ind w:hanging="1"/>
                  <w:rPr>
                    <w:rFonts w:ascii="仿宋_GB2312" w:hAnsi="仿宋_GB2312" w:eastAsia="仿宋_GB2312" w:cs="仿宋_GB2312"/>
                    <w:kern w:val="0"/>
                    <w:sz w:val="20"/>
                    <w:szCs w:val="21"/>
                  </w:rPr>
                </w:pPr>
                <w:r>
                  <w:rPr>
                    <w:rFonts w:hint="eastAsia" w:ascii="仿宋_GB2312" w:hAnsi="仿宋_GB2312" w:eastAsia="仿宋_GB2312" w:cs="仿宋_GB2312"/>
                    <w:color w:val="000000"/>
                    <w:kern w:val="0"/>
                    <w:sz w:val="20"/>
                    <w:szCs w:val="21"/>
                  </w:rPr>
                  <w:t>其它</w:t>
                </w:r>
              </w:p>
            </w:tc>
            <w:tc>
              <w:tcPr>
                <w:tcW w:w="2298" w:type="dxa"/>
                <w:vAlign w:val="center"/>
              </w:tcPr>
              <w:p>
                <w:pPr>
                  <w:adjustRightInd w:val="0"/>
                  <w:snapToGrid w:val="0"/>
                  <w:ind w:right="105" w:rightChars="50"/>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采购单位未提供需求而投标人认为需说明及补充的内容在此填列</w:t>
                </w:r>
              </w:p>
            </w:tc>
            <w:tc>
              <w:tcPr>
                <w:tcW w:w="772"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860" w:type="dxa"/>
                <w:vAlign w:val="center"/>
              </w:tcPr>
              <w:p>
                <w:pPr>
                  <w:adjustRightInd w:val="0"/>
                  <w:snapToGrid w:val="0"/>
                  <w:ind w:right="105" w:rightChars="50"/>
                  <w:jc w:val="center"/>
                  <w:rPr>
                    <w:rFonts w:ascii="仿宋_GB2312" w:hAnsi="仿宋_GB2312" w:eastAsia="仿宋_GB2312" w:cs="仿宋_GB2312"/>
                    <w:kern w:val="0"/>
                    <w:sz w:val="20"/>
                    <w:szCs w:val="21"/>
                  </w:rPr>
                </w:pPr>
              </w:p>
            </w:tc>
            <w:tc>
              <w:tcPr>
                <w:tcW w:w="759" w:type="dxa"/>
                <w:vAlign w:val="center"/>
              </w:tcPr>
              <w:p>
                <w:pPr>
                  <w:adjustRightInd w:val="0"/>
                  <w:snapToGrid w:val="0"/>
                  <w:ind w:right="105" w:rightChars="50"/>
                  <w:jc w:val="center"/>
                  <w:rPr>
                    <w:rFonts w:ascii="仿宋_GB2312" w:hAnsi="仿宋_GB2312" w:eastAsia="仿宋_GB2312" w:cs="仿宋_GB2312"/>
                    <w:kern w:val="0"/>
                    <w:sz w:val="20"/>
                    <w:szCs w:val="21"/>
                  </w:rPr>
                </w:pPr>
              </w:p>
            </w:tc>
          </w:tr>
        </w:tbl>
        <w:p/>
        <w:p/>
      </w:sdtContent>
    </w:sdt>
    <w:p>
      <w:pPr>
        <w:adjustRightInd w:val="0"/>
        <w:snapToGrid w:val="0"/>
        <w:spacing w:line="36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b/>
          <w:color w:val="000000"/>
          <w:szCs w:val="21"/>
        </w:rPr>
        <w:t>填表要求：</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1．“投标文件响应内容”一栏由投标人按照招标文件要求填写，进行响应。</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2．“偏离程度”一栏根据“投标文件响应内容”与招标文件逐项对照的结果填写。偏离必须用 “正偏离、负偏离或无偏离”三个名称中的一种进行标注。</w:t>
      </w:r>
    </w:p>
    <w:p>
      <w:pPr>
        <w:adjustRightInd w:val="0"/>
        <w:snapToGrid w:val="0"/>
        <w:spacing w:line="360" w:lineRule="auto"/>
        <w:rPr>
          <w:rFonts w:ascii="仿宋_GB2312" w:hAnsi="仿宋_GB2312" w:eastAsia="仿宋_GB2312" w:cs="仿宋_GB2312"/>
          <w:szCs w:val="21"/>
        </w:rPr>
      </w:pPr>
      <w:r>
        <w:rPr>
          <w:rFonts w:hint="eastAsia" w:ascii="仿宋_GB2312" w:hAnsi="仿宋_GB2312" w:eastAsia="仿宋_GB2312" w:cs="仿宋_GB2312"/>
          <w:szCs w:val="21"/>
        </w:rPr>
        <w:t>3．“说明”一栏由投标人对偏离的情况做详细说明。</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b/>
          <w:bCs/>
          <w:sz w:val="32"/>
          <w:szCs w:val="28"/>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0" w:name="_Toc9410_WPSOffice_Level2"/>
      <w:bookmarkStart w:id="121" w:name="_Toc20929_WPSOffice_Level2"/>
      <w:r>
        <w:rPr>
          <w:rFonts w:hint="eastAsia" w:ascii="仿宋_GB2312" w:hAnsi="仿宋_GB2312" w:eastAsia="仿宋_GB2312" w:cs="仿宋_GB2312"/>
          <w:b/>
          <w:bCs/>
          <w:sz w:val="32"/>
          <w:szCs w:val="32"/>
        </w:rPr>
        <w:t>投标人关联单位的说明</w:t>
      </w:r>
      <w:bookmarkEnd w:id="120"/>
      <w:bookmarkEnd w:id="12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说明：投标人应当如实披露与本单位存在下列关联关系的单位名称：</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2" w:name="_Toc2074_WPSOffice_Level2"/>
      <w:bookmarkStart w:id="123" w:name="_Toc31070_WPSOffice_Level2"/>
      <w:r>
        <w:rPr>
          <w:rFonts w:hint="eastAsia" w:ascii="仿宋_GB2312" w:hAnsi="仿宋_GB2312" w:eastAsia="仿宋_GB2312" w:cs="仿宋_GB2312"/>
          <w:szCs w:val="21"/>
        </w:rPr>
        <w:t>（1）与投标人单位法定代表人（或非法人组织负责人）为同一人的其他单位；</w:t>
      </w:r>
      <w:bookmarkEnd w:id="122"/>
      <w:bookmarkEnd w:id="123"/>
    </w:p>
    <w:p>
      <w:pPr>
        <w:adjustRightInd w:val="0"/>
        <w:snapToGrid w:val="0"/>
        <w:spacing w:line="360" w:lineRule="auto"/>
        <w:ind w:right="105" w:rightChars="50" w:firstLine="476" w:firstLineChars="227"/>
        <w:jc w:val="left"/>
        <w:rPr>
          <w:rFonts w:ascii="仿宋_GB2312" w:hAnsi="仿宋_GB2312" w:eastAsia="仿宋_GB2312" w:cs="仿宋_GB2312"/>
          <w:szCs w:val="21"/>
        </w:rPr>
      </w:pPr>
      <w:bookmarkStart w:id="124" w:name="_Toc27053_WPSOffice_Level2"/>
      <w:bookmarkStart w:id="125" w:name="_Toc889_WPSOffice_Level2"/>
      <w:r>
        <w:rPr>
          <w:rFonts w:hint="eastAsia" w:ascii="仿宋_GB2312" w:hAnsi="仿宋_GB2312" w:eastAsia="仿宋_GB2312" w:cs="仿宋_GB2312"/>
          <w:szCs w:val="21"/>
        </w:rPr>
        <w:t>（2）与投标人存在直接控股、管理关系的其他单位。</w:t>
      </w:r>
      <w:bookmarkEnd w:id="124"/>
      <w:bookmarkEnd w:id="125"/>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spacing w:line="480" w:lineRule="auto"/>
        <w:rPr>
          <w:rFonts w:ascii="仿宋_GB2312" w:hAnsi="仿宋_GB2312" w:eastAsia="仿宋_GB2312" w:cs="仿宋_GB2312"/>
        </w:rPr>
      </w:pPr>
      <w:r>
        <w:rPr>
          <w:rFonts w:hint="eastAsia" w:ascii="仿宋_GB2312" w:hAnsi="仿宋_GB2312" w:eastAsia="仿宋_GB2312" w:cs="仿宋_GB2312"/>
        </w:rPr>
        <w:t>投标人名称（加盖单位公章）：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w:t>
      </w:r>
      <w:r>
        <w:rPr>
          <w:rFonts w:hint="eastAsia" w:ascii="仿宋_GB2312" w:hAnsi="仿宋_GB2312" w:eastAsia="仿宋_GB2312" w:cs="仿宋_GB2312"/>
          <w:szCs w:val="21"/>
        </w:rPr>
        <w:t>授权</w:t>
      </w:r>
      <w:r>
        <w:rPr>
          <w:rFonts w:hint="eastAsia" w:ascii="仿宋_GB2312" w:hAnsi="仿宋_GB2312" w:eastAsia="仿宋_GB2312" w:cs="仿宋_GB2312"/>
        </w:rPr>
        <w:t>委托</w:t>
      </w:r>
      <w:r>
        <w:rPr>
          <w:rFonts w:hint="eastAsia" w:ascii="仿宋_GB2312" w:hAnsi="仿宋_GB2312" w:eastAsia="仿宋_GB2312" w:cs="仿宋_GB2312"/>
          <w:szCs w:val="21"/>
        </w:rPr>
        <w:t>人</w:t>
      </w:r>
      <w:r>
        <w:rPr>
          <w:rFonts w:hint="eastAsia" w:ascii="仿宋_GB2312" w:hAnsi="仿宋_GB2312" w:eastAsia="仿宋_GB2312" w:cs="仿宋_GB2312"/>
        </w:rPr>
        <w:t>(签字或盖章)：</w:t>
      </w:r>
      <w:r>
        <w:rPr>
          <w:rFonts w:hint="eastAsia" w:ascii="仿宋_GB2312" w:hAnsi="仿宋_GB2312" w:eastAsia="仿宋_GB2312" w:cs="仿宋_GB2312"/>
          <w:u w:val="single"/>
        </w:rPr>
        <w:t xml:space="preserve">           </w:t>
      </w:r>
    </w:p>
    <w:p>
      <w:pPr>
        <w:spacing w:line="480" w:lineRule="auto"/>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br w:type="page"/>
      </w:r>
      <w:r>
        <w:rPr>
          <w:rFonts w:hint="eastAsia" w:ascii="仿宋_GB2312" w:hAnsi="仿宋_GB2312" w:eastAsia="仿宋_GB2312" w:cs="仿宋_GB2312"/>
          <w:szCs w:val="28"/>
        </w:rPr>
        <w:t>格式16</w:t>
      </w:r>
    </w:p>
    <w:p>
      <w:pPr>
        <w:spacing w:before="312" w:beforeLines="100" w:after="312" w:afterLines="100" w:line="360" w:lineRule="auto"/>
        <w:ind w:firstLine="643" w:firstLineChars="200"/>
        <w:jc w:val="center"/>
        <w:rPr>
          <w:rFonts w:ascii="仿宋_GB2312" w:hAnsi="仿宋_GB2312" w:eastAsia="仿宋_GB2312" w:cs="仿宋_GB2312"/>
          <w:b/>
          <w:bCs/>
          <w:sz w:val="32"/>
          <w:szCs w:val="32"/>
        </w:rPr>
      </w:pPr>
      <w:bookmarkStart w:id="126" w:name="_Toc6847_WPSOffice_Level2"/>
      <w:bookmarkStart w:id="127" w:name="_Toc13329_WPSOffice_Level2"/>
      <w:r>
        <w:rPr>
          <w:rFonts w:hint="eastAsia" w:ascii="仿宋_GB2312" w:hAnsi="仿宋_GB2312" w:eastAsia="仿宋_GB2312" w:cs="仿宋_GB2312"/>
          <w:b/>
          <w:bCs/>
          <w:sz w:val="32"/>
          <w:szCs w:val="32"/>
        </w:rPr>
        <w:t>进口产品制造厂家的授权书</w:t>
      </w:r>
      <w:bookmarkEnd w:id="126"/>
      <w:bookmarkEnd w:id="127"/>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spacing w:line="360" w:lineRule="auto"/>
        <w:ind w:firstLine="840" w:firstLineChars="400"/>
        <w:rPr>
          <w:rFonts w:ascii="仿宋_GB2312" w:hAnsi="仿宋_GB2312" w:eastAsia="仿宋_GB2312" w:cs="仿宋_GB2312"/>
          <w:szCs w:val="21"/>
        </w:rPr>
      </w:pPr>
      <w:r>
        <w:rPr>
          <w:rFonts w:hint="eastAsia" w:ascii="仿宋_GB2312" w:hAnsi="仿宋_GB2312" w:eastAsia="仿宋_GB2312" w:cs="仿宋_GB2312"/>
          <w:szCs w:val="21"/>
        </w:rPr>
        <w:t>我们</w:t>
      </w:r>
      <w:r>
        <w:rPr>
          <w:rFonts w:hint="eastAsia" w:ascii="仿宋_GB2312" w:hAnsi="仿宋_GB2312" w:eastAsia="仿宋_GB2312" w:cs="仿宋_GB2312"/>
          <w:szCs w:val="21"/>
          <w:u w:val="single"/>
        </w:rPr>
        <w:t>（制造商名称）</w:t>
      </w:r>
      <w:r>
        <w:rPr>
          <w:rFonts w:hint="eastAsia" w:ascii="仿宋_GB2312" w:hAnsi="仿宋_GB2312" w:eastAsia="仿宋_GB2312" w:cs="仿宋_GB2312"/>
          <w:szCs w:val="21"/>
        </w:rPr>
        <w:t>是按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法律成立的一家制造商，主要营业地点设在</w:t>
      </w:r>
      <w:r>
        <w:rPr>
          <w:rFonts w:hint="eastAsia" w:ascii="仿宋_GB2312" w:hAnsi="仿宋_GB2312" w:eastAsia="仿宋_GB2312" w:cs="仿宋_GB2312"/>
          <w:szCs w:val="21"/>
          <w:u w:val="single"/>
        </w:rPr>
        <w:t>（制造商地址）</w:t>
      </w:r>
      <w:r>
        <w:rPr>
          <w:rFonts w:hint="eastAsia" w:ascii="仿宋_GB2312" w:hAnsi="仿宋_GB2312" w:eastAsia="仿宋_GB2312" w:cs="仿宋_GB2312"/>
          <w:szCs w:val="21"/>
        </w:rPr>
        <w:t>。兹指派按</w:t>
      </w:r>
      <w:r>
        <w:rPr>
          <w:rFonts w:hint="eastAsia" w:ascii="仿宋_GB2312" w:hAnsi="仿宋_GB2312" w:eastAsia="仿宋_GB2312" w:cs="仿宋_GB2312"/>
          <w:szCs w:val="21"/>
          <w:u w:val="single"/>
        </w:rPr>
        <w:t>（国家名称）</w:t>
      </w:r>
      <w:r>
        <w:rPr>
          <w:rFonts w:hint="eastAsia" w:ascii="仿宋_GB2312" w:hAnsi="仿宋_GB2312" w:eastAsia="仿宋_GB2312" w:cs="仿宋_GB2312"/>
          <w:szCs w:val="21"/>
        </w:rPr>
        <w:t>的法律正式成立的，主要营业地点设在</w:t>
      </w:r>
      <w:r>
        <w:rPr>
          <w:rFonts w:hint="eastAsia" w:ascii="仿宋_GB2312" w:hAnsi="仿宋_GB2312" w:eastAsia="仿宋_GB2312" w:cs="仿宋_GB2312"/>
          <w:szCs w:val="21"/>
          <w:u w:val="single"/>
        </w:rPr>
        <w:t>（投标人地址）</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（投标人名称）</w:t>
      </w:r>
      <w:r>
        <w:rPr>
          <w:rFonts w:hint="eastAsia" w:ascii="仿宋_GB2312" w:hAnsi="仿宋_GB2312" w:eastAsia="仿宋_GB2312" w:cs="仿宋_GB2312"/>
          <w:szCs w:val="21"/>
        </w:rPr>
        <w:t>作为我方真正的合法的代理人进行下列有效的活动：</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（1）代表我方办理贵方</w:t>
      </w:r>
      <w:r>
        <w:rPr>
          <w:rFonts w:hint="eastAsia" w:ascii="仿宋_GB2312" w:hAnsi="仿宋_GB2312" w:eastAsia="仿宋_GB2312" w:cs="仿宋_GB2312"/>
          <w:szCs w:val="21"/>
          <w:u w:val="single"/>
        </w:rPr>
        <w:t xml:space="preserve"> （项目编号、项目名称、包号）</w:t>
      </w:r>
      <w:r>
        <w:rPr>
          <w:rFonts w:hint="eastAsia" w:ascii="仿宋_GB2312" w:hAnsi="仿宋_GB2312" w:eastAsia="仿宋_GB2312" w:cs="仿宋_GB2312"/>
          <w:szCs w:val="21"/>
        </w:rPr>
        <w:t xml:space="preserve"> 投标邀请要求提供的由我方制造的货物的有关事宜，并对我方具有约束力。</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（2）作为制造商，我方保证以投标合作者来约束自己，并对该投标共同和分别承担招标文件中所规定的义务。</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（3）我方兹授予</w:t>
      </w:r>
      <w:r>
        <w:rPr>
          <w:rFonts w:hint="eastAsia" w:ascii="仿宋_GB2312" w:hAnsi="仿宋_GB2312" w:eastAsia="仿宋_GB2312" w:cs="仿宋_GB2312"/>
          <w:szCs w:val="21"/>
          <w:u w:val="single"/>
        </w:rPr>
        <w:t xml:space="preserve"> （投标人名称） </w:t>
      </w:r>
      <w:r>
        <w:rPr>
          <w:rFonts w:hint="eastAsia" w:ascii="仿宋_GB2312" w:hAnsi="仿宋_GB2312" w:eastAsia="仿宋_GB2312" w:cs="仿宋_GB2312"/>
          <w:szCs w:val="21"/>
        </w:rPr>
        <w:t xml:space="preserve">全权办理和履行上述我方为完成上述各点所必须的事宜，具有替换或撤销的全权。兹确认 </w:t>
      </w:r>
      <w:r>
        <w:rPr>
          <w:rFonts w:hint="eastAsia" w:ascii="仿宋_GB2312" w:hAnsi="仿宋_GB2312" w:eastAsia="仿宋_GB2312" w:cs="仿宋_GB2312"/>
          <w:szCs w:val="21"/>
          <w:u w:val="single"/>
        </w:rPr>
        <w:t xml:space="preserve">（投标人名称） </w:t>
      </w:r>
      <w:r>
        <w:rPr>
          <w:rFonts w:hint="eastAsia" w:ascii="仿宋_GB2312" w:hAnsi="仿宋_GB2312" w:eastAsia="仿宋_GB2312" w:cs="仿宋_GB2312"/>
          <w:szCs w:val="21"/>
        </w:rPr>
        <w:t>或其正式授权代表依此合法地办理一切事宜。</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（4）我方于</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签署本文件，</w:t>
      </w:r>
      <w:r>
        <w:rPr>
          <w:rFonts w:hint="eastAsia" w:ascii="仿宋_GB2312" w:hAnsi="仿宋_GB2312" w:eastAsia="仿宋_GB2312" w:cs="仿宋_GB2312"/>
          <w:szCs w:val="21"/>
          <w:u w:val="single"/>
        </w:rPr>
        <w:t xml:space="preserve"> （投标人名称）</w:t>
      </w:r>
      <w:r>
        <w:rPr>
          <w:rFonts w:hint="eastAsia" w:ascii="仿宋_GB2312" w:hAnsi="仿宋_GB2312" w:eastAsia="仿宋_GB2312" w:cs="仿宋_GB2312"/>
          <w:szCs w:val="21"/>
        </w:rPr>
        <w:t>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日接受此件，以此为证。</w:t>
      </w:r>
    </w:p>
    <w:p>
      <w:pPr>
        <w:spacing w:line="360" w:lineRule="auto"/>
        <w:ind w:firstLine="420" w:firstLineChars="200"/>
        <w:rPr>
          <w:rFonts w:ascii="仿宋_GB2312" w:hAnsi="仿宋_GB2312" w:eastAsia="仿宋_GB2312" w:cs="仿宋_GB2312"/>
          <w:szCs w:val="21"/>
        </w:rPr>
      </w:pP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签字人职务和部门：</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签字人姓名：</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签字人（签字）：</w:t>
      </w:r>
      <w:r>
        <w:rPr>
          <w:rFonts w:hint="eastAsia" w:ascii="仿宋_GB2312" w:hAnsi="仿宋_GB2312" w:eastAsia="仿宋_GB2312" w:cs="仿宋_GB2312"/>
          <w:szCs w:val="21"/>
          <w:u w:val="single"/>
        </w:rPr>
        <w:t xml:space="preserve">                           </w:t>
      </w:r>
    </w:p>
    <w:p>
      <w:pPr>
        <w:spacing w:line="360" w:lineRule="auto"/>
        <w:rPr>
          <w:rFonts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u w:val="single"/>
        </w:rPr>
      </w:pPr>
    </w:p>
    <w:p>
      <w:pPr>
        <w:spacing w:line="360" w:lineRule="auto"/>
        <w:ind w:firstLine="420" w:firstLineChars="200"/>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格式17</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28" w:name="_Toc19164_WPSOffice_Level2"/>
      <w:bookmarkStart w:id="129" w:name="_Toc4541_WPSOffice_Level2"/>
      <w:r>
        <w:rPr>
          <w:rFonts w:hint="eastAsia" w:ascii="仿宋_GB2312" w:hAnsi="仿宋_GB2312" w:eastAsia="仿宋_GB2312" w:cs="仿宋_GB2312"/>
          <w:b/>
          <w:bCs/>
          <w:sz w:val="32"/>
          <w:szCs w:val="32"/>
        </w:rPr>
        <w:t>中小企业声明函</w:t>
      </w:r>
      <w:bookmarkEnd w:id="128"/>
      <w:bookmarkEnd w:id="129"/>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本公司（联合体）郑重声明，根据《政府采购促进中小企业发展管理办法》（财库﹝2020﹞46 号）的规定，本公司（联合体）参加</w:t>
      </w:r>
      <w:r>
        <w:rPr>
          <w:rFonts w:hint="eastAsia" w:ascii="仿宋_GB2312" w:hAnsi="仿宋_GB2312" w:eastAsia="仿宋_GB2312" w:cs="仿宋_GB2312"/>
          <w:szCs w:val="21"/>
          <w:u w:val="single"/>
        </w:rPr>
        <w:t>（单位名称）</w:t>
      </w:r>
      <w:r>
        <w:rPr>
          <w:rFonts w:hint="eastAsia" w:ascii="仿宋_GB2312" w:hAnsi="仿宋_GB2312" w:eastAsia="仿宋_GB2312" w:cs="仿宋_GB2312"/>
          <w:szCs w:val="21"/>
        </w:rPr>
        <w:t>的</w:t>
      </w:r>
      <w:r>
        <w:rPr>
          <w:rFonts w:hint="eastAsia" w:ascii="仿宋_GB2312" w:hAnsi="仿宋_GB2312" w:eastAsia="仿宋_GB2312" w:cs="仿宋_GB2312"/>
          <w:szCs w:val="21"/>
          <w:u w:val="single"/>
        </w:rPr>
        <w:t>（项目名称）</w:t>
      </w:r>
      <w:r>
        <w:rPr>
          <w:rFonts w:hint="eastAsia" w:ascii="仿宋_GB2312" w:hAnsi="仿宋_GB2312" w:eastAsia="仿宋_GB2312" w:cs="仿宋_GB2312"/>
          <w:szCs w:val="21"/>
        </w:rPr>
        <w:t>采购活动，提供的货物全部由符合政策要求的中小企业制造。相关企业（含联合体中的中小企业、签订分包意向协议的中小企业）的具体情况如下：</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1.</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万元</w:t>
      </w:r>
      <w:r>
        <w:rPr>
          <w:rFonts w:hint="eastAsia" w:ascii="仿宋_GB2312" w:hAnsi="仿宋_GB2312" w:eastAsia="仿宋_GB2312" w:cs="仿宋_GB2312"/>
          <w:sz w:val="36"/>
          <w:szCs w:val="36"/>
          <w:vertAlign w:val="superscript"/>
        </w:rPr>
        <w:t>1</w:t>
      </w:r>
      <w:r>
        <w:rPr>
          <w:rFonts w:hint="eastAsia" w:ascii="仿宋_GB2312" w:hAnsi="仿宋_GB2312" w:eastAsia="仿宋_GB2312" w:cs="仿宋_GB2312"/>
          <w:szCs w:val="21"/>
        </w:rPr>
        <w:t xml:space="preserve">，属于（中型企业、小型企业、微型企业）；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2.</w:t>
      </w:r>
      <w:r>
        <w:rPr>
          <w:rFonts w:hint="eastAsia" w:ascii="仿宋_GB2312" w:hAnsi="仿宋_GB2312" w:eastAsia="仿宋_GB2312" w:cs="仿宋_GB2312"/>
          <w:szCs w:val="21"/>
          <w:u w:val="single"/>
        </w:rPr>
        <w:t>（标的名称）</w:t>
      </w:r>
      <w:r>
        <w:rPr>
          <w:rFonts w:hint="eastAsia" w:ascii="仿宋_GB2312" w:hAnsi="仿宋_GB2312" w:eastAsia="仿宋_GB2312" w:cs="仿宋_GB2312"/>
          <w:szCs w:val="21"/>
        </w:rPr>
        <w:t xml:space="preserve"> ，属于</w:t>
      </w:r>
      <w:r>
        <w:rPr>
          <w:rFonts w:hint="eastAsia" w:ascii="仿宋_GB2312" w:hAnsi="仿宋_GB2312" w:eastAsia="仿宋_GB2312" w:cs="仿宋_GB2312"/>
          <w:szCs w:val="21"/>
          <w:u w:val="single"/>
        </w:rPr>
        <w:t>（采购文件中明确的所属行业）</w:t>
      </w:r>
      <w:r>
        <w:rPr>
          <w:rFonts w:hint="eastAsia" w:ascii="仿宋_GB2312" w:hAnsi="仿宋_GB2312" w:eastAsia="仿宋_GB2312" w:cs="仿宋_GB2312"/>
          <w:szCs w:val="21"/>
        </w:rPr>
        <w:t>行业；制造商为</w:t>
      </w:r>
      <w:r>
        <w:rPr>
          <w:rFonts w:hint="eastAsia" w:ascii="仿宋_GB2312" w:hAnsi="仿宋_GB2312" w:eastAsia="仿宋_GB2312" w:cs="仿宋_GB2312"/>
          <w:szCs w:val="21"/>
          <w:u w:val="single"/>
        </w:rPr>
        <w:t>（企业名称）</w:t>
      </w:r>
      <w:r>
        <w:rPr>
          <w:rFonts w:hint="eastAsia" w:ascii="仿宋_GB2312" w:hAnsi="仿宋_GB2312" w:eastAsia="仿宋_GB2312" w:cs="仿宋_GB2312"/>
          <w:szCs w:val="21"/>
        </w:rPr>
        <w:t>，从业人员</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人，营业收入为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万元，资产总额为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万元，属于</w:t>
      </w:r>
      <w:r>
        <w:rPr>
          <w:rFonts w:hint="eastAsia" w:ascii="仿宋_GB2312" w:hAnsi="仿宋_GB2312" w:eastAsia="仿宋_GB2312" w:cs="仿宋_GB2312"/>
          <w:szCs w:val="21"/>
          <w:u w:val="single"/>
        </w:rPr>
        <w:t>（中型企业、小型企业、微型企业）</w:t>
      </w:r>
      <w:r>
        <w:rPr>
          <w:rFonts w:hint="eastAsia" w:ascii="仿宋_GB2312" w:hAnsi="仿宋_GB2312" w:eastAsia="仿宋_GB2312" w:cs="仿宋_GB2312"/>
          <w:szCs w:val="21"/>
        </w:rPr>
        <w:t xml:space="preserve">；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 </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     以上企业，不属于大企业的分支机构，不存在控股股东为大企业的情形，也不存在与大企业的负责人为同一人的情形。</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本企业对上述声明内容的真实性负责。如有虚假，将依 法承担相应责任。</w:t>
      </w:r>
    </w:p>
    <w:p>
      <w:pPr>
        <w:spacing w:line="360" w:lineRule="auto"/>
        <w:jc w:val="left"/>
        <w:rPr>
          <w:rFonts w:ascii="仿宋_GB2312" w:hAnsi="仿宋_GB2312" w:eastAsia="仿宋_GB2312" w:cs="仿宋_GB2312"/>
          <w:szCs w:val="21"/>
        </w:rPr>
      </w:pPr>
    </w:p>
    <w:p>
      <w:pPr>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企业名称（盖章）：</w:t>
      </w: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spacing w:line="360" w:lineRule="auto"/>
        <w:jc w:val="left"/>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rPr>
          <w:rFonts w:ascii="仿宋_GB2312" w:hAnsi="仿宋_GB2312" w:eastAsia="仿宋_GB2312" w:cs="仿宋_GB2312"/>
          <w:szCs w:val="21"/>
        </w:rPr>
      </w:pPr>
    </w:p>
    <w:p>
      <w:pPr>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注：1从业人员、营业收入、资产总额填报上一年度数据，无上一年度数据的新成立企业可不填报。</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br w:type="page"/>
      </w:r>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格式18</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32"/>
          <w:szCs w:val="32"/>
        </w:rPr>
      </w:pPr>
      <w:bookmarkStart w:id="130" w:name="_Toc29880_WPSOffice_Level2"/>
      <w:bookmarkStart w:id="131" w:name="_Toc13566_WPSOffice_Level2"/>
      <w:r>
        <w:rPr>
          <w:rFonts w:hint="eastAsia" w:ascii="仿宋_GB2312" w:hAnsi="仿宋_GB2312" w:eastAsia="仿宋_GB2312" w:cs="仿宋_GB2312"/>
          <w:b/>
          <w:bCs/>
          <w:sz w:val="32"/>
          <w:szCs w:val="32"/>
        </w:rPr>
        <w:t>残疾人福利性单位声明函</w:t>
      </w:r>
      <w:bookmarkEnd w:id="130"/>
      <w:bookmarkEnd w:id="131"/>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tbl>
      <w:tblPr>
        <w:tblStyle w:val="19"/>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9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ascii="仿宋_GB2312" w:hAnsi="仿宋_GB2312" w:eastAsia="仿宋_GB2312" w:cs="仿宋_GB2312"/>
                <w:szCs w:val="21"/>
              </w:rPr>
            </w:pPr>
          </w:p>
        </w:tc>
        <w:tc>
          <w:tcPr>
            <w:tcW w:w="158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427" w:type="dxa"/>
            <w:vAlign w:val="center"/>
          </w:tcPr>
          <w:p>
            <w:pPr>
              <w:jc w:val="center"/>
              <w:rPr>
                <w:rFonts w:ascii="仿宋_GB2312" w:hAnsi="仿宋_GB2312" w:eastAsia="仿宋_GB2312" w:cs="仿宋_GB2312"/>
                <w:szCs w:val="21"/>
              </w:rPr>
            </w:pPr>
          </w:p>
        </w:tc>
        <w:tc>
          <w:tcPr>
            <w:tcW w:w="1344" w:type="dxa"/>
            <w:vAlign w:val="center"/>
          </w:tcPr>
          <w:p>
            <w:pPr>
              <w:spacing w:line="360" w:lineRule="auto"/>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8320" w:type="dxa"/>
            <w:gridSpan w:val="6"/>
            <w:vAlign w:val="center"/>
          </w:tcPr>
          <w:p>
            <w:pPr>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szCs w:val="21"/>
              </w:rPr>
              <w:t xml:space="preserve"> </w:t>
            </w:r>
            <w:r>
              <w:rPr>
                <w:rFonts w:hint="eastAsia" w:ascii="仿宋_GB2312" w:hAnsi="仿宋_GB2312" w:eastAsia="仿宋_GB2312" w:cs="仿宋_GB2312"/>
                <w:b/>
                <w:szCs w:val="21"/>
                <w:lang w:val="zh-CN"/>
              </w:rPr>
              <w:t>投标文件中所提供投标的以上伴随产品为我单位生产的产品，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，我单位承担由此产生的一切后果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ascii="仿宋_GB2312" w:hAnsi="仿宋_GB2312" w:eastAsia="仿宋_GB2312" w:cs="仿宋_GB2312"/>
          <w:szCs w:val="21"/>
        </w:rPr>
      </w:pP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注：1、供应商为非残疾人福利性单位的，无需填写此声明函。</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2、仅为本项目提供服务，未提供服务所伴随产品的，此表格可不填写。</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3、如为本项目提供本单位伴随产品的，请填写此表格。</w:t>
      </w:r>
    </w:p>
    <w:p>
      <w:pPr>
        <w:adjustRightInd w:val="0"/>
        <w:snapToGrid w:val="0"/>
        <w:spacing w:line="360" w:lineRule="auto"/>
        <w:ind w:right="105" w:rightChars="50" w:firstLine="476" w:firstLineChars="227"/>
        <w:jc w:val="left"/>
        <w:rPr>
          <w:rFonts w:ascii="仿宋_GB2312" w:hAnsi="仿宋_GB2312" w:eastAsia="仿宋_GB2312" w:cs="仿宋_GB2312"/>
          <w:szCs w:val="21"/>
        </w:rPr>
      </w:pPr>
      <w:r>
        <w:rPr>
          <w:rFonts w:hint="eastAsia" w:ascii="仿宋_GB2312" w:hAnsi="仿宋_GB2312" w:eastAsia="仿宋_GB2312" w:cs="仿宋_GB2312"/>
          <w:szCs w:val="21"/>
        </w:rPr>
        <w:t xml:space="preserve">    4、如为本项目提供的伴随产品是其他单位生产的，无需填写此表格，但需生产单位按此格式出具此声明。</w:t>
      </w: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360" w:lineRule="auto"/>
        <w:ind w:right="105" w:rightChars="50"/>
        <w:jc w:val="left"/>
        <w:rPr>
          <w:rFonts w:ascii="仿宋_GB2312" w:hAnsi="仿宋_GB2312" w:eastAsia="仿宋_GB2312" w:cs="仿宋_GB2312"/>
          <w:szCs w:val="21"/>
        </w:rPr>
      </w:pP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投标人名称（加盖单位公章）：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b/>
          <w:sz w:val="28"/>
          <w:szCs w:val="28"/>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szCs w:val="21"/>
          <w:u w:val="single"/>
        </w:rPr>
      </w:pPr>
    </w:p>
    <w:p>
      <w:pPr>
        <w:adjustRightInd w:val="0"/>
        <w:snapToGrid w:val="0"/>
        <w:spacing w:line="360" w:lineRule="auto"/>
        <w:ind w:right="105" w:rightChars="50"/>
        <w:jc w:val="left"/>
        <w:rPr>
          <w:rFonts w:ascii="仿宋_GB2312" w:hAnsi="仿宋_GB2312" w:eastAsia="仿宋_GB2312" w:cs="仿宋_GB2312"/>
          <w:szCs w:val="21"/>
          <w:u w:val="single"/>
        </w:rPr>
      </w:pPr>
    </w:p>
    <w:p>
      <w:pPr>
        <w:widowControl/>
        <w:jc w:val="left"/>
        <w:rPr>
          <w:rFonts w:ascii="仿宋_GB2312" w:hAnsi="仿宋_GB2312" w:eastAsia="仿宋_GB2312" w:cs="仿宋_GB2312"/>
          <w:b/>
          <w:kern w:val="44"/>
          <w:sz w:val="44"/>
        </w:rPr>
      </w:pPr>
      <w:r>
        <w:rPr>
          <w:rFonts w:hint="eastAsia" w:ascii="仿宋_GB2312" w:hAnsi="仿宋_GB2312" w:eastAsia="仿宋_GB2312" w:cs="仿宋_GB2312"/>
        </w:rPr>
        <w:br w:type="page"/>
      </w:r>
    </w:p>
    <w:p>
      <w:pPr>
        <w:widowControl/>
        <w:jc w:val="left"/>
        <w:rPr>
          <w:rFonts w:ascii="仿宋_GB2312" w:hAnsi="仿宋_GB2312" w:eastAsia="仿宋_GB2312" w:cs="仿宋_GB2312"/>
          <w:b/>
          <w:bCs/>
          <w:sz w:val="32"/>
          <w:szCs w:val="28"/>
        </w:rPr>
      </w:pPr>
    </w:p>
    <w:p>
      <w:pPr>
        <w:pStyle w:val="2"/>
        <w:jc w:val="center"/>
      </w:pPr>
      <w:bookmarkStart w:id="132" w:name="_Toc4498_WPSOffice_Level1"/>
      <w:r>
        <w:rPr>
          <w:rFonts w:hint="eastAsia"/>
        </w:rPr>
        <w:t>第三章 货物需求</w:t>
      </w:r>
      <w:bookmarkEnd w:id="132"/>
    </w:p>
    <w:p>
      <w:pPr>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w:t>
      </w:r>
    </w:p>
    <w:sdt>
      <w:sdtPr>
        <w:rPr>
          <w:rFonts w:hint="eastAsia" w:ascii="仿宋" w:hAnsi="仿宋" w:eastAsia="仿宋"/>
          <w:sz w:val="24"/>
        </w:rPr>
        <w:alias w:val="项目详细需求"/>
        <w:tag w:val="项目详细需求"/>
        <w:id w:val="-617600732"/>
        <w:lock w:val="sdtLocked"/>
      </w:sdtPr>
      <w:sdtEndPr>
        <w:rPr>
          <w:rFonts w:hint="eastAsia" w:ascii="仿宋" w:hAnsi="仿宋" w:eastAsia="仿宋"/>
          <w:sz w:val="24"/>
        </w:rPr>
      </w:sdtEndPr>
      <w:sdtContent>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spacing w:line="360" w:lineRule="auto"/>
                <w:jc w:val="center"/>
                <w:rPr>
                  <w:rFonts w:ascii="宋体" w:hAnsi="宋体" w:cs="宋体"/>
                  <w:b/>
                  <w:sz w:val="30"/>
                  <w:szCs w:val="30"/>
                </w:rPr>
              </w:pPr>
              <w:r>
                <w:rPr>
                  <w:rFonts w:hint="eastAsia" w:ascii="宋体" w:hAnsi="宋体" w:cs="宋体"/>
                  <w:b/>
                  <w:bCs/>
                  <w:kern w:val="0"/>
                  <w:sz w:val="36"/>
                  <w:szCs w:val="36"/>
                </w:rPr>
                <w:t>营口市教育局教学台式机采购项目</w:t>
              </w:r>
            </w:p>
            <w:p>
              <w:pPr>
                <w:spacing w:line="360" w:lineRule="auto"/>
                <w:rPr>
                  <w:rFonts w:ascii="宋体" w:hAnsi="宋体" w:cs="宋体"/>
                  <w:b/>
                  <w:sz w:val="30"/>
                  <w:szCs w:val="30"/>
                </w:rPr>
              </w:pPr>
              <w:r>
                <w:rPr>
                  <w:rFonts w:hint="eastAsia" w:ascii="宋体" w:hAnsi="宋体" w:cs="宋体"/>
                  <w:b/>
                  <w:sz w:val="30"/>
                  <w:szCs w:val="30"/>
                </w:rPr>
                <w:t>一、建设要求</w:t>
              </w:r>
            </w:p>
            <w:p>
              <w:pPr>
                <w:spacing w:line="360" w:lineRule="auto"/>
                <w:ind w:firstLine="560" w:firstLineChars="200"/>
                <w:rPr>
                  <w:rFonts w:ascii="宋体" w:hAnsi="宋体" w:cs="宋体"/>
                  <w:sz w:val="28"/>
                  <w:szCs w:val="28"/>
                </w:rPr>
              </w:pPr>
              <w:r>
                <w:rPr>
                  <w:rFonts w:hint="eastAsia" w:ascii="宋体" w:hAnsi="宋体" w:cs="宋体"/>
                  <w:sz w:val="28"/>
                  <w:szCs w:val="28"/>
                </w:rPr>
                <w:t>本项目中所涉及到的所有设备，需符合本次招标采购的技术功能要求。并按甲方要求，负责所有设备全部交付工作，包括但不限于：组织协调安排、运输管理安排、组织实施计划、进行强弱电综合布线工作、设备安装调试工作、信息安全管理保障、技术培训服务、售后服务保障等全部工作，达到交钥匙标准。项目实施过程中产生的所有管材、线材、辅材、配件、人工等均需投标人考虑周全并提供，甲方不再支付额外所需费用。</w:t>
              </w:r>
            </w:p>
            <w:p>
              <w:pPr>
                <w:spacing w:line="360" w:lineRule="auto"/>
                <w:rPr>
                  <w:rFonts w:ascii="宋体" w:hAnsi="宋体" w:cs="宋体"/>
                  <w:b/>
                  <w:sz w:val="30"/>
                  <w:szCs w:val="30"/>
                </w:rPr>
              </w:pPr>
              <w:r>
                <w:rPr>
                  <w:rFonts w:hint="eastAsia" w:ascii="宋体" w:hAnsi="宋体" w:cs="宋体"/>
                  <w:b/>
                  <w:sz w:val="30"/>
                  <w:szCs w:val="30"/>
                </w:rPr>
                <w:t>二、其他要求</w:t>
              </w:r>
            </w:p>
            <w:p>
              <w:pPr>
                <w:spacing w:line="360" w:lineRule="auto"/>
                <w:rPr>
                  <w:rFonts w:ascii="宋体" w:hAnsi="宋体" w:cs="宋体"/>
                  <w:sz w:val="28"/>
                  <w:szCs w:val="28"/>
                </w:rPr>
              </w:pPr>
              <w:r>
                <w:rPr>
                  <w:rFonts w:hint="eastAsia" w:ascii="宋体" w:hAnsi="宋体" w:cs="宋体"/>
                  <w:sz w:val="28"/>
                  <w:szCs w:val="28"/>
                </w:rPr>
                <w:t>1.交货/交付时间：合同签订后60天内。</w:t>
              </w:r>
            </w:p>
            <w:p>
              <w:pPr>
                <w:spacing w:line="360" w:lineRule="auto"/>
                <w:rPr>
                  <w:rFonts w:ascii="宋体" w:hAnsi="宋体" w:cs="宋体"/>
                  <w:sz w:val="28"/>
                  <w:szCs w:val="28"/>
                </w:rPr>
              </w:pPr>
              <w:r>
                <w:rPr>
                  <w:rFonts w:hint="eastAsia" w:ascii="宋体" w:hAnsi="宋体" w:cs="宋体"/>
                  <w:sz w:val="28"/>
                  <w:szCs w:val="28"/>
                </w:rPr>
                <w:t>2.交货/交付地点：营口市教育局指定地点。</w:t>
              </w:r>
            </w:p>
            <w:p>
              <w:pPr>
                <w:spacing w:line="360" w:lineRule="auto"/>
                <w:rPr>
                  <w:rFonts w:ascii="宋体" w:hAnsi="宋体" w:cs="宋体"/>
                  <w:sz w:val="28"/>
                  <w:szCs w:val="28"/>
                </w:rPr>
              </w:pPr>
              <w:r>
                <w:rPr>
                  <w:rFonts w:hint="eastAsia" w:ascii="宋体" w:hAnsi="宋体" w:cs="宋体"/>
                  <w:sz w:val="28"/>
                  <w:szCs w:val="28"/>
                </w:rPr>
                <w:t>3.最高限价：800万元。</w:t>
              </w:r>
            </w:p>
            <w:p>
              <w:pPr>
                <w:spacing w:line="360" w:lineRule="auto"/>
                <w:ind w:left="280" w:hanging="280" w:hangingChars="100"/>
                <w:rPr>
                  <w:rFonts w:ascii="宋体" w:hAnsi="宋体" w:cs="宋体"/>
                  <w:sz w:val="28"/>
                  <w:szCs w:val="28"/>
                </w:rPr>
              </w:pPr>
              <w:r>
                <w:rPr>
                  <w:rFonts w:hint="eastAsia" w:ascii="宋体" w:hAnsi="宋体" w:cs="宋体"/>
                  <w:sz w:val="28"/>
                  <w:szCs w:val="28"/>
                </w:rPr>
                <w:t>4.付款方式：设备安装调试验收合格后付合同价款的95%，剩余5%作为质保金一年后付清。</w:t>
              </w:r>
            </w:p>
            <w:p>
              <w:pPr>
                <w:spacing w:line="360" w:lineRule="auto"/>
                <w:ind w:left="280" w:hanging="280" w:hangingChars="100"/>
                <w:rPr>
                  <w:rFonts w:ascii="宋体" w:hAnsi="宋体" w:cs="宋体"/>
                  <w:sz w:val="28"/>
                  <w:szCs w:val="28"/>
                </w:rPr>
              </w:pPr>
              <w:r>
                <w:rPr>
                  <w:rFonts w:hint="eastAsia" w:ascii="宋体" w:hAnsi="宋体" w:cs="宋体"/>
                  <w:sz w:val="28"/>
                  <w:szCs w:val="28"/>
                </w:rPr>
                <w:t>5.核心产品：台式计算机（学生）。</w:t>
              </w:r>
            </w:p>
            <w:p>
              <w:pPr>
                <w:spacing w:line="360" w:lineRule="auto"/>
                <w:rPr>
                  <w:rFonts w:ascii="宋体" w:hAnsi="宋体" w:cs="宋体"/>
                  <w:sz w:val="28"/>
                  <w:szCs w:val="28"/>
                </w:rPr>
              </w:pPr>
              <w:r>
                <w:rPr>
                  <w:rFonts w:hint="eastAsia" w:ascii="宋体" w:hAnsi="宋体" w:cs="宋体"/>
                  <w:sz w:val="28"/>
                  <w:szCs w:val="28"/>
                </w:rPr>
                <w:t>6.售后服务要求：所有设备质量保证期不少于（1）年。</w:t>
              </w:r>
            </w:p>
            <w:p>
              <w:pPr>
                <w:spacing w:line="360" w:lineRule="auto"/>
                <w:rPr>
                  <w:rFonts w:ascii="宋体" w:hAnsi="宋体" w:cs="宋体"/>
                  <w:sz w:val="28"/>
                  <w:szCs w:val="28"/>
                </w:rPr>
              </w:pPr>
              <w:r>
                <w:rPr>
                  <w:rFonts w:hint="eastAsia" w:ascii="宋体" w:hAnsi="宋体" w:cs="宋体"/>
                  <w:sz w:val="28"/>
                  <w:szCs w:val="28"/>
                </w:rPr>
                <w:t>7.服务支持：要求接到报修后2小时响应，24小时内到达现场。</w:t>
              </w:r>
            </w:p>
            <w:p>
              <w:pPr>
                <w:spacing w:line="360" w:lineRule="auto"/>
                <w:rPr>
                  <w:rFonts w:ascii="宋体" w:hAnsi="宋体" w:cs="宋体"/>
                  <w:b/>
                  <w:bCs/>
                  <w:sz w:val="30"/>
                  <w:szCs w:val="30"/>
                </w:rPr>
              </w:pPr>
              <w:r>
                <w:rPr>
                  <w:rFonts w:hint="eastAsia" w:ascii="宋体" w:hAnsi="宋体" w:cs="宋体"/>
                  <w:sz w:val="28"/>
                  <w:szCs w:val="28"/>
                </w:rPr>
                <w:t>8.验收标准：按照财政部及省财政厅关于履约验收相关规定执行。</w:t>
              </w:r>
            </w:p>
            <w:p>
              <w:pPr>
                <w:spacing w:line="360" w:lineRule="auto"/>
                <w:rPr>
                  <w:rFonts w:ascii="宋体" w:hAnsi="宋体" w:cs="宋体"/>
                  <w:b/>
                  <w:bCs/>
                  <w:sz w:val="30"/>
                  <w:szCs w:val="30"/>
                </w:rPr>
              </w:pPr>
              <w:r>
                <w:rPr>
                  <w:rFonts w:hint="eastAsia" w:ascii="宋体" w:hAnsi="宋体" w:cs="宋体"/>
                  <w:b/>
                  <w:bCs/>
                  <w:sz w:val="30"/>
                  <w:szCs w:val="30"/>
                </w:rPr>
                <w:t>三、设备采购清单</w:t>
              </w:r>
            </w:p>
            <w:tbl>
              <w:tblPr>
                <w:tblStyle w:val="19"/>
                <w:tblW w:w="9113" w:type="dxa"/>
                <w:tblInd w:w="0" w:type="dxa"/>
                <w:tblLayout w:type="fixed"/>
                <w:tblCellMar>
                  <w:top w:w="0" w:type="dxa"/>
                  <w:left w:w="108" w:type="dxa"/>
                  <w:bottom w:w="0" w:type="dxa"/>
                  <w:right w:w="108" w:type="dxa"/>
                </w:tblCellMar>
              </w:tblPr>
              <w:tblGrid>
                <w:gridCol w:w="785"/>
                <w:gridCol w:w="1264"/>
                <w:gridCol w:w="5242"/>
                <w:gridCol w:w="911"/>
                <w:gridCol w:w="911"/>
              </w:tblGrid>
              <w:tr>
                <w:tblPrEx>
                  <w:tblLayout w:type="fixed"/>
                  <w:tblCellMar>
                    <w:top w:w="0" w:type="dxa"/>
                    <w:left w:w="108" w:type="dxa"/>
                    <w:bottom w:w="0" w:type="dxa"/>
                    <w:right w:w="108" w:type="dxa"/>
                  </w:tblCellMar>
                </w:tblPrEx>
                <w:trPr>
                  <w:trHeight w:val="3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序号</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产品名称</w:t>
                    </w:r>
                  </w:p>
                </w:tc>
                <w:tc>
                  <w:tcPr>
                    <w:tcW w:w="5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产品参数</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数量</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sz w:val="20"/>
                        <w:szCs w:val="20"/>
                      </w:rPr>
                    </w:pPr>
                    <w:r>
                      <w:rPr>
                        <w:rFonts w:hint="eastAsia" w:ascii="宋体" w:hAnsi="宋体" w:cs="宋体"/>
                        <w:b/>
                        <w:bCs/>
                        <w:kern w:val="0"/>
                        <w:sz w:val="20"/>
                        <w:szCs w:val="20"/>
                        <w:lang w:bidi="ar"/>
                      </w:rPr>
                      <w:t>单位</w:t>
                    </w:r>
                  </w:p>
                </w:tc>
              </w:tr>
              <w:tr>
                <w:tblPrEx>
                  <w:tblLayout w:type="fixed"/>
                  <w:tblCellMar>
                    <w:top w:w="0" w:type="dxa"/>
                    <w:left w:w="108" w:type="dxa"/>
                    <w:bottom w:w="0" w:type="dxa"/>
                    <w:right w:w="108" w:type="dxa"/>
                  </w:tblCellMar>
                </w:tblPrEx>
                <w:trPr>
                  <w:trHeight w:val="31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台式计算机（学生）</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lang w:bidi="ar"/>
                      </w:rPr>
                      <w:t>1、CPU主频≥3.1GHz，睿频≥4.4GHz，核心数量≥六核心，三级缓存≥12MB；</w:t>
                    </w:r>
                    <w:r>
                      <w:rPr>
                        <w:lang w:bidi="ar"/>
                      </w:rPr>
                      <w:br w:type="textWrapping"/>
                    </w:r>
                    <w:r>
                      <w:rPr>
                        <w:lang w:bidi="ar"/>
                      </w:rPr>
                      <w:t>★2、内存：≥8G DDR4；</w:t>
                    </w:r>
                    <w:r>
                      <w:rPr>
                        <w:lang w:bidi="ar"/>
                      </w:rPr>
                      <w:br w:type="textWrapping"/>
                    </w:r>
                    <w:r>
                      <w:rPr>
                        <w:lang w:bidi="ar"/>
                      </w:rPr>
                      <w:t>3、硬盘：≥1T机械硬盘；</w:t>
                    </w:r>
                    <w:r>
                      <w:rPr>
                        <w:lang w:bidi="ar"/>
                      </w:rPr>
                      <w:br w:type="textWrapping"/>
                    </w:r>
                    <w:r>
                      <w:rPr>
                        <w:lang w:bidi="ar"/>
                      </w:rPr>
                      <w:t>4、声卡：音频接口≥3个音频接口；</w:t>
                    </w:r>
                    <w:r>
                      <w:rPr>
                        <w:lang w:bidi="ar"/>
                      </w:rPr>
                      <w:br w:type="textWrapping"/>
                    </w:r>
                    <w:r>
                      <w:rPr>
                        <w:lang w:bidi="ar"/>
                      </w:rPr>
                      <w:t>5、扩展插槽：≥1个M.2插槽，≥1个PCI-E*16、1个PCI-E*1；</w:t>
                    </w:r>
                    <w:r>
                      <w:rPr>
                        <w:lang w:bidi="ar"/>
                      </w:rPr>
                      <w:br w:type="textWrapping"/>
                    </w:r>
                    <w:r>
                      <w:rPr>
                        <w:lang w:bidi="ar"/>
                      </w:rPr>
                      <w:t>6、显卡：集成；</w:t>
                    </w:r>
                    <w:r>
                      <w:rPr>
                        <w:lang w:bidi="ar"/>
                      </w:rPr>
                      <w:br w:type="textWrapping"/>
                    </w:r>
                    <w:r>
                      <w:rPr>
                        <w:lang w:bidi="ar"/>
                      </w:rPr>
                      <w:t>7、网卡：≥集成千兆以太网卡；</w:t>
                    </w:r>
                    <w:r>
                      <w:rPr>
                        <w:lang w:bidi="ar"/>
                      </w:rPr>
                      <w:br w:type="textWrapping"/>
                    </w:r>
                    <w:r>
                      <w:rPr>
                        <w:lang w:bidi="ar"/>
                      </w:rPr>
                      <w:t>8、接口：≥8个USB接口（其中≥4个USB3.0）、≥1个HDMI接口、1个RJ-45接口；</w:t>
                    </w:r>
                    <w:r>
                      <w:rPr>
                        <w:lang w:bidi="ar"/>
                      </w:rPr>
                      <w:br w:type="textWrapping"/>
                    </w:r>
                    <w:r>
                      <w:rPr>
                        <w:lang w:bidi="ar"/>
                      </w:rPr>
                      <w:t>9、键鼠键盘：USB有线键盘鼠标；</w:t>
                    </w:r>
                    <w:r>
                      <w:rPr>
                        <w:lang w:bidi="ar"/>
                      </w:rPr>
                      <w:br w:type="textWrapping"/>
                    </w:r>
                    <w:r>
                      <w:rPr>
                        <w:lang w:bidi="ar"/>
                      </w:rPr>
                      <w:t>10、电源≥180W电源；</w:t>
                    </w:r>
                    <w:r>
                      <w:rPr>
                        <w:lang w:bidi="ar"/>
                      </w:rPr>
                      <w:br w:type="textWrapping"/>
                    </w:r>
                    <w:r>
                      <w:rPr>
                        <w:lang w:bidi="ar"/>
                      </w:rPr>
                      <w:t>★11、显示器：≥21.5寸宽屏液晶显示器，分辨率不低于1920x1080；</w:t>
                    </w:r>
                    <w:r>
                      <w:rPr>
                        <w:lang w:bidi="ar"/>
                      </w:rPr>
                      <w:br w:type="textWrapping"/>
                    </w:r>
                    <w:r>
                      <w:rPr>
                        <w:lang w:bidi="ar"/>
                      </w:rPr>
                      <w:t>12、操作系统：出厂预装正版Windows正版操作系统。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1200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Layout w:type="fixed"/>
                  <w:tblCellMar>
                    <w:top w:w="0" w:type="dxa"/>
                    <w:left w:w="108" w:type="dxa"/>
                    <w:bottom w:w="0" w:type="dxa"/>
                    <w:right w:w="108" w:type="dxa"/>
                  </w:tblCellMar>
                </w:tblPrEx>
                <w:trPr>
                  <w:trHeight w:val="45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2</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台式计算机（教师）</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lang w:bidi="ar"/>
                      </w:rPr>
                      <w:t>1、CPU主频≥3.1GHz，睿频≥4.4GHz，核心数量≥六核心，三级缓存≥12MB；</w:t>
                    </w:r>
                    <w:r>
                      <w:rPr>
                        <w:lang w:bidi="ar"/>
                      </w:rPr>
                      <w:br w:type="textWrapping"/>
                    </w:r>
                    <w:r>
                      <w:rPr>
                        <w:lang w:bidi="ar"/>
                      </w:rPr>
                      <w:t>★2、内存：≥8G DDR4；</w:t>
                    </w:r>
                    <w:r>
                      <w:rPr>
                        <w:lang w:bidi="ar"/>
                      </w:rPr>
                      <w:br w:type="textWrapping"/>
                    </w:r>
                    <w:r>
                      <w:rPr>
                        <w:lang w:bidi="ar"/>
                      </w:rPr>
                      <w:t>3、硬盘：≥1T机械硬盘；</w:t>
                    </w:r>
                    <w:r>
                      <w:rPr>
                        <w:lang w:bidi="ar"/>
                      </w:rPr>
                      <w:br w:type="textWrapping"/>
                    </w:r>
                    <w:r>
                      <w:rPr>
                        <w:lang w:bidi="ar"/>
                      </w:rPr>
                      <w:t>4、声卡：音频接口≥3个音频接口；</w:t>
                    </w:r>
                    <w:r>
                      <w:rPr>
                        <w:lang w:bidi="ar"/>
                      </w:rPr>
                      <w:br w:type="textWrapping"/>
                    </w:r>
                    <w:r>
                      <w:rPr>
                        <w:lang w:bidi="ar"/>
                      </w:rPr>
                      <w:t>5、扩展插槽：≥1个M.2插槽，≥1个PCI-E*16、1个PCI-E*1；</w:t>
                    </w:r>
                    <w:r>
                      <w:rPr>
                        <w:lang w:bidi="ar"/>
                      </w:rPr>
                      <w:br w:type="textWrapping"/>
                    </w:r>
                    <w:r>
                      <w:rPr>
                        <w:lang w:bidi="ar"/>
                      </w:rPr>
                      <w:t>★6、显卡：≥2G独立显卡；</w:t>
                    </w:r>
                    <w:r>
                      <w:rPr>
                        <w:lang w:bidi="ar"/>
                      </w:rPr>
                      <w:br w:type="textWrapping"/>
                    </w:r>
                    <w:r>
                      <w:rPr>
                        <w:lang w:bidi="ar"/>
                      </w:rPr>
                      <w:t>7、网卡：≥集成千兆以太网卡；</w:t>
                    </w:r>
                    <w:r>
                      <w:rPr>
                        <w:lang w:bidi="ar"/>
                      </w:rPr>
                      <w:br w:type="textWrapping"/>
                    </w:r>
                    <w:r>
                      <w:rPr>
                        <w:lang w:bidi="ar"/>
                      </w:rPr>
                      <w:t>8、接口：≥8个USB接口（其中≥4个USB3.0）、≥1个HDMI接口、1个RJ-45接口；</w:t>
                    </w:r>
                    <w:r>
                      <w:rPr>
                        <w:lang w:bidi="ar"/>
                      </w:rPr>
                      <w:br w:type="textWrapping"/>
                    </w:r>
                    <w:r>
                      <w:rPr>
                        <w:lang w:bidi="ar"/>
                      </w:rPr>
                      <w:t>9、键鼠键盘：USB有线键盘鼠标；</w:t>
                    </w:r>
                    <w:r>
                      <w:rPr>
                        <w:lang w:bidi="ar"/>
                      </w:rPr>
                      <w:br w:type="textWrapping"/>
                    </w:r>
                    <w:r>
                      <w:rPr>
                        <w:lang w:bidi="ar"/>
                      </w:rPr>
                      <w:t>10、电源≥180W电源；</w:t>
                    </w:r>
                    <w:r>
                      <w:rPr>
                        <w:lang w:bidi="ar"/>
                      </w:rPr>
                      <w:br w:type="textWrapping"/>
                    </w:r>
                    <w:r>
                      <w:rPr>
                        <w:lang w:bidi="ar"/>
                      </w:rPr>
                      <w:t>★11、显示器：≥23寸宽屏液晶显示器，分辨率不低于1920x1080；</w:t>
                    </w:r>
                    <w:r>
                      <w:rPr>
                        <w:lang w:bidi="ar"/>
                      </w:rPr>
                      <w:br w:type="textWrapping"/>
                    </w:r>
                    <w:r>
                      <w:rPr>
                        <w:lang w:bidi="ar"/>
                      </w:rPr>
                      <w:t>12、操作系统：出厂预装正版Windows正版操作系统。</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600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套</w:t>
                    </w:r>
                  </w:p>
                </w:tc>
              </w:tr>
              <w:tr>
                <w:tblPrEx>
                  <w:tblLayout w:type="fixed"/>
                  <w:tblCellMar>
                    <w:top w:w="0" w:type="dxa"/>
                    <w:left w:w="108" w:type="dxa"/>
                    <w:bottom w:w="0" w:type="dxa"/>
                    <w:right w:w="108" w:type="dxa"/>
                  </w:tblCellMar>
                </w:tblPrEx>
                <w:trPr>
                  <w:trHeight w:val="192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3</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sz w:val="20"/>
                        <w:szCs w:val="20"/>
                      </w:rPr>
                      <w:t>笔记本电脑</w:t>
                    </w:r>
                  </w:p>
                </w:tc>
                <w:tc>
                  <w:tcPr>
                    <w:tcW w:w="5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1、</w:t>
                    </w:r>
                    <w:r>
                      <w:rPr>
                        <w:lang w:bidi="ar"/>
                      </w:rPr>
                      <w:t>CPU主频≥1.8GHz，核心数量≥四核心；</w:t>
                    </w:r>
                    <w:r>
                      <w:rPr>
                        <w:rFonts w:hint="eastAsia" w:ascii="宋体" w:hAnsi="宋体" w:cs="宋体"/>
                        <w:kern w:val="0"/>
                        <w:sz w:val="20"/>
                        <w:szCs w:val="20"/>
                        <w:lang w:bidi="ar"/>
                      </w:rPr>
                      <w:br w:type="textWrapping"/>
                    </w:r>
                    <w:r>
                      <w:rPr>
                        <w:rFonts w:hint="eastAsia" w:ascii="宋体" w:hAnsi="宋体" w:cs="宋体"/>
                        <w:kern w:val="0"/>
                        <w:sz w:val="20"/>
                        <w:szCs w:val="20"/>
                        <w:lang w:bidi="ar"/>
                      </w:rPr>
                      <w:t>2、屏幕：≥15'HD防眩光屏；</w:t>
                    </w:r>
                    <w:r>
                      <w:rPr>
                        <w:rFonts w:hint="eastAsia" w:ascii="宋体" w:hAnsi="宋体" w:cs="宋体"/>
                        <w:kern w:val="0"/>
                        <w:sz w:val="20"/>
                        <w:szCs w:val="20"/>
                        <w:lang w:bidi="ar"/>
                      </w:rPr>
                      <w:br w:type="textWrapping"/>
                    </w:r>
                    <w:r>
                      <w:rPr>
                        <w:rFonts w:hint="eastAsia" w:ascii="宋体" w:hAnsi="宋体" w:cs="宋体"/>
                        <w:kern w:val="0"/>
                        <w:sz w:val="20"/>
                        <w:szCs w:val="20"/>
                        <w:lang w:bidi="ar"/>
                      </w:rPr>
                      <w:t>3、内存：≥8G</w:t>
                    </w:r>
                    <w:r>
                      <w:rPr>
                        <w:rFonts w:ascii="宋体" w:hAnsi="宋体" w:cs="宋体"/>
                        <w:kern w:val="0"/>
                        <w:sz w:val="20"/>
                        <w:szCs w:val="20"/>
                        <w:lang w:bidi="ar"/>
                      </w:rPr>
                      <w:t xml:space="preserve"> </w:t>
                    </w:r>
                    <w:r>
                      <w:rPr>
                        <w:rFonts w:hint="eastAsia" w:ascii="宋体" w:hAnsi="宋体" w:cs="宋体"/>
                        <w:kern w:val="0"/>
                        <w:sz w:val="20"/>
                        <w:szCs w:val="20"/>
                        <w:lang w:bidi="ar"/>
                      </w:rPr>
                      <w:t>DDR4；</w:t>
                    </w:r>
                    <w:r>
                      <w:rPr>
                        <w:rFonts w:hint="eastAsia" w:ascii="宋体" w:hAnsi="宋体" w:cs="宋体"/>
                        <w:kern w:val="0"/>
                        <w:sz w:val="20"/>
                        <w:szCs w:val="20"/>
                        <w:lang w:bidi="ar"/>
                      </w:rPr>
                      <w:br w:type="textWrapping"/>
                    </w:r>
                    <w:r>
                      <w:rPr>
                        <w:rFonts w:hint="eastAsia" w:ascii="宋体" w:hAnsi="宋体" w:cs="宋体"/>
                        <w:kern w:val="0"/>
                        <w:sz w:val="20"/>
                        <w:szCs w:val="20"/>
                        <w:lang w:bidi="ar"/>
                      </w:rPr>
                      <w:t>4、硬盘：≥256G固态硬盘；</w:t>
                    </w:r>
                    <w:r>
                      <w:rPr>
                        <w:rFonts w:hint="eastAsia" w:ascii="宋体" w:hAnsi="宋体" w:cs="宋体"/>
                        <w:kern w:val="0"/>
                        <w:sz w:val="20"/>
                        <w:szCs w:val="20"/>
                        <w:lang w:bidi="ar"/>
                      </w:rPr>
                      <w:br w:type="textWrapping"/>
                    </w:r>
                    <w:r>
                      <w:rPr>
                        <w:rFonts w:hint="eastAsia" w:ascii="宋体" w:hAnsi="宋体" w:cs="宋体"/>
                        <w:kern w:val="0"/>
                        <w:sz w:val="20"/>
                        <w:szCs w:val="20"/>
                        <w:lang w:bidi="ar"/>
                      </w:rPr>
                      <w:t>5、显卡：≥2G独立显卡；</w:t>
                    </w:r>
                    <w:r>
                      <w:rPr>
                        <w:rFonts w:hint="eastAsia" w:ascii="宋体" w:hAnsi="宋体" w:cs="宋体"/>
                        <w:kern w:val="0"/>
                        <w:sz w:val="20"/>
                        <w:szCs w:val="20"/>
                        <w:lang w:bidi="ar"/>
                      </w:rPr>
                      <w:br w:type="textWrapping"/>
                    </w:r>
                    <w:r>
                      <w:rPr>
                        <w:rFonts w:hint="eastAsia" w:ascii="宋体" w:hAnsi="宋体" w:cs="宋体"/>
                        <w:kern w:val="0"/>
                        <w:sz w:val="20"/>
                        <w:szCs w:val="20"/>
                        <w:lang w:bidi="ar"/>
                      </w:rPr>
                      <w:t>6、接口：≥4个USB接口（其中≥2个USB3.</w:t>
                    </w:r>
                    <w:r>
                      <w:rPr>
                        <w:rFonts w:ascii="宋体" w:hAnsi="宋体" w:cs="宋体"/>
                        <w:kern w:val="0"/>
                        <w:sz w:val="20"/>
                        <w:szCs w:val="20"/>
                        <w:lang w:bidi="ar"/>
                      </w:rPr>
                      <w:t>0</w:t>
                    </w:r>
                    <w:r>
                      <w:rPr>
                        <w:rFonts w:hint="eastAsia" w:ascii="宋体" w:hAnsi="宋体" w:cs="宋体"/>
                        <w:kern w:val="0"/>
                        <w:sz w:val="20"/>
                        <w:szCs w:val="20"/>
                        <w:lang w:bidi="ar"/>
                      </w:rPr>
                      <w:t>）、≥1个HDMI接口、1个RJ-45接口；</w:t>
                    </w:r>
                    <w:r>
                      <w:rPr>
                        <w:rFonts w:hint="eastAsia" w:ascii="宋体" w:hAnsi="宋体" w:cs="宋体"/>
                        <w:kern w:val="0"/>
                        <w:sz w:val="20"/>
                        <w:szCs w:val="20"/>
                        <w:lang w:bidi="ar"/>
                      </w:rPr>
                      <w:br w:type="textWrapping"/>
                    </w:r>
                    <w:r>
                      <w:rPr>
                        <w:rFonts w:hint="eastAsia" w:ascii="宋体" w:hAnsi="宋体" w:cs="宋体"/>
                        <w:kern w:val="0"/>
                        <w:sz w:val="20"/>
                        <w:szCs w:val="20"/>
                        <w:lang w:bidi="ar"/>
                      </w:rPr>
                      <w:t>7、操作系统：出厂预装正版Windows正版操作系统；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8、高清摄像头。</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10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20"/>
                        <w:szCs w:val="20"/>
                      </w:rPr>
                    </w:pPr>
                    <w:r>
                      <w:rPr>
                        <w:rFonts w:hint="eastAsia" w:ascii="宋体" w:hAnsi="宋体" w:cs="宋体"/>
                        <w:kern w:val="0"/>
                        <w:sz w:val="20"/>
                        <w:szCs w:val="20"/>
                        <w:lang w:bidi="ar"/>
                      </w:rPr>
                      <w:t>台</w:t>
                    </w:r>
                  </w:p>
                </w:tc>
              </w:tr>
            </w:tbl>
            <w:p>
              <w:pPr>
                <w:rPr>
                  <w:rFonts w:ascii="仿宋" w:hAnsi="仿宋" w:eastAsia="仿宋"/>
                  <w:sz w:val="24"/>
                </w:rPr>
              </w:pPr>
            </w:p>
          </w:sdtContent>
        </w:sdt>
        <w:p>
          <w:pPr>
            <w:rPr>
              <w:rFonts w:ascii="仿宋" w:hAnsi="仿宋"/>
            </w:rPr>
          </w:pPr>
        </w:p>
      </w:sdtContent>
    </w:sdt>
    <w:p>
      <w:pPr>
        <w:ind w:firstLine="420" w:firstLineChars="200"/>
        <w:rPr>
          <w:rFonts w:ascii="仿宋_GB2312" w:hAnsi="仿宋_GB2312" w:eastAsia="仿宋_GB2312" w:cs="仿宋_GB2312"/>
          <w:color w:val="FF0000"/>
        </w:rPr>
      </w:pPr>
      <w:r>
        <w:rPr>
          <w:rFonts w:hint="eastAsia" w:ascii="仿宋_GB2312" w:hAnsi="仿宋_GB2312" w:eastAsia="仿宋_GB2312" w:cs="仿宋_GB2312"/>
          <w:color w:val="FF0000"/>
        </w:rPr>
        <w:br w:type="page"/>
      </w:r>
    </w:p>
    <w:p>
      <w:pPr>
        <w:pStyle w:val="2"/>
        <w:jc w:val="center"/>
      </w:pPr>
      <w:bookmarkStart w:id="133" w:name="_Toc2821_WPSOffice_Level1"/>
      <w:r>
        <w:rPr>
          <w:rFonts w:hint="eastAsia"/>
        </w:rPr>
        <w:t>第四章 评标方法</w:t>
      </w:r>
      <w:bookmarkEnd w:id="133"/>
    </w:p>
    <w:p>
      <w:pPr>
        <w:adjustRightInd w:val="0"/>
        <w:snapToGrid w:val="0"/>
        <w:spacing w:line="360" w:lineRule="auto"/>
        <w:ind w:firstLine="420" w:firstLineChars="200"/>
        <w:rPr>
          <w:rFonts w:ascii="仿宋_GB2312" w:hAnsi="仿宋_GB2312" w:eastAsia="仿宋_GB2312" w:cs="仿宋_GB2312"/>
          <w:b/>
          <w:kern w:val="0"/>
          <w:szCs w:val="21"/>
        </w:rPr>
      </w:pPr>
      <w:r>
        <w:rPr>
          <w:rFonts w:hint="eastAsia" w:ascii="仿宋_GB2312" w:hAnsi="仿宋_GB2312" w:eastAsia="仿宋_GB2312" w:cs="仿宋_GB2312"/>
          <w:bCs/>
          <w:kern w:val="0"/>
          <w:szCs w:val="21"/>
        </w:rPr>
        <w:t>本项目将按照招标文件第一章投标人须知中“六 开标及评标”、“七 确定中标”及本章的规定评标。</w:t>
      </w:r>
    </w:p>
    <w:p>
      <w:pPr>
        <w:adjustRightInd w:val="0"/>
        <w:snapToGrid w:val="0"/>
        <w:spacing w:line="360" w:lineRule="auto"/>
        <w:ind w:firstLine="422" w:firstLineChars="200"/>
        <w:rPr>
          <w:rFonts w:ascii="仿宋_GB2312" w:hAnsi="仿宋_GB2312" w:eastAsia="仿宋_GB2312" w:cs="仿宋_GB2312"/>
          <w:b/>
          <w:kern w:val="0"/>
          <w:szCs w:val="21"/>
        </w:rPr>
      </w:pPr>
      <w:bookmarkStart w:id="134" w:name="_Toc22313_WPSOffice_Level2"/>
      <w:r>
        <w:rPr>
          <w:rFonts w:hint="eastAsia" w:ascii="仿宋_GB2312" w:hAnsi="仿宋_GB2312" w:eastAsia="仿宋_GB2312" w:cs="仿宋_GB2312"/>
          <w:b/>
          <w:kern w:val="0"/>
          <w:szCs w:val="21"/>
        </w:rPr>
        <w:t>一、评标方法</w:t>
      </w:r>
      <w:bookmarkEnd w:id="134"/>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sdt>
        <w:sdtPr>
          <w:rPr>
            <w:rFonts w:hint="eastAsia" w:ascii="仿宋" w:hAnsi="仿宋" w:eastAsia="仿宋"/>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rPr>
            <w:rFonts w:hint="eastAsia" w:ascii="仿宋" w:hAnsi="仿宋" w:eastAsia="仿宋"/>
            <w:b/>
            <w:sz w:val="28"/>
            <w:szCs w:val="28"/>
          </w:rPr>
        </w:sdtEndPr>
        <w:sdtContent>
          <w:r>
            <w:rPr>
              <w:rFonts w:hint="eastAsia" w:ascii="仿宋" w:hAnsi="仿宋" w:eastAsia="仿宋"/>
              <w:b/>
              <w:sz w:val="28"/>
              <w:szCs w:val="28"/>
            </w:rPr>
            <w:t xml:space="preserve"> 综合评分法</w:t>
          </w:r>
        </w:sdtContent>
      </w:sdt>
      <w:r>
        <w:rPr>
          <w:rFonts w:hint="eastAsia" w:ascii="仿宋_GB2312" w:hAnsi="仿宋_GB2312" w:eastAsia="仿宋_GB2312" w:cs="仿宋_GB2312"/>
          <w:kern w:val="0"/>
          <w:szCs w:val="21"/>
        </w:rPr>
        <w:t>进行评标。</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bookmarkStart w:id="135" w:name="_Toc21368_WPSOffice_Level2"/>
      <w:r>
        <w:rPr>
          <w:rFonts w:hint="eastAsia" w:ascii="仿宋_GB2312" w:hAnsi="仿宋_GB2312" w:eastAsia="仿宋_GB2312" w:cs="仿宋_GB2312"/>
          <w:b/>
          <w:kern w:val="0"/>
          <w:szCs w:val="21"/>
        </w:rPr>
        <w:t>二、评标原则及程序</w:t>
      </w:r>
      <w:bookmarkEnd w:id="135"/>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（一）评标原则</w:t>
      </w:r>
    </w:p>
    <w:p>
      <w:pPr>
        <w:adjustRightInd w:val="0"/>
        <w:snapToGrid w:val="0"/>
        <w:spacing w:line="360" w:lineRule="auto"/>
        <w:ind w:firstLine="420"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（二）评标程序</w:t>
      </w:r>
    </w:p>
    <w:p>
      <w:pPr>
        <w:adjustRightInd w:val="0"/>
        <w:snapToGrid w:val="0"/>
        <w:spacing w:line="360" w:lineRule="auto"/>
        <w:ind w:firstLine="422" w:firstLineChars="200"/>
        <w:textAlignment w:val="baseline"/>
        <w:rPr>
          <w:rFonts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ascii="仿宋_GB2312" w:hAnsi="仿宋_GB2312" w:eastAsia="仿宋_GB2312" w:cs="仿宋_GB2312"/>
          <w:kern w:val="0"/>
          <w:szCs w:val="21"/>
        </w:rPr>
      </w:pPr>
      <w:r>
        <w:rPr>
          <w:rFonts w:hint="eastAsia" w:ascii="仿宋_GB2312" w:hAnsi="仿宋_GB2312" w:eastAsia="仿宋_GB2312" w:cs="仿宋_GB2312"/>
          <w:kern w:val="0"/>
          <w:szCs w:val="21"/>
        </w:rPr>
        <w:t>1.1详见投标人须知22条。资格审查表详见本章附件1。</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w:t>
      </w:r>
      <w:r>
        <w:rPr>
          <w:rFonts w:hint="eastAsia" w:ascii="仿宋_GB2312" w:hAnsi="仿宋_GB2312" w:eastAsia="仿宋_GB2312" w:cs="仿宋_GB2312"/>
          <w:b/>
          <w:bCs/>
          <w:kern w:val="0"/>
          <w:szCs w:val="21"/>
        </w:rPr>
        <w:t>2、符合性审查</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2.1详见投标人须知23条。符合性审查表详见本章附件2。</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投标人须知表11.3条</w:t>
      </w:r>
      <w:r>
        <w:rPr>
          <w:rFonts w:hint="eastAsia" w:ascii="仿宋_GB2312" w:hAnsi="仿宋_GB2312" w:eastAsia="仿宋_GB2312" w:cs="仿宋_GB2312"/>
          <w:szCs w:val="21"/>
        </w:rPr>
        <w:t>中要求投标人提供样品或演示的，按照</w:t>
      </w:r>
      <w:r>
        <w:rPr>
          <w:rFonts w:hint="eastAsia" w:ascii="仿宋_GB2312" w:hAnsi="仿宋_GB2312" w:eastAsia="仿宋_GB2312" w:cs="仿宋_GB2312"/>
          <w:kern w:val="0"/>
          <w:szCs w:val="21"/>
        </w:rPr>
        <w:t>投标人须知表25.1条</w:t>
      </w:r>
      <w:r>
        <w:rPr>
          <w:rFonts w:hint="eastAsia" w:ascii="仿宋_GB2312" w:hAnsi="仿宋_GB2312" w:eastAsia="仿宋_GB2312" w:cs="仿宋_GB2312"/>
          <w:szCs w:val="21"/>
        </w:rPr>
        <w:t>中确定的评审方法以及评审标准进行评审。(样品或演示属于符合性审查的，按照</w:t>
      </w:r>
      <w:r>
        <w:rPr>
          <w:rFonts w:hint="eastAsia" w:ascii="仿宋_GB2312" w:hAnsi="仿宋_GB2312" w:eastAsia="仿宋_GB2312" w:cs="仿宋_GB2312"/>
          <w:kern w:val="0"/>
          <w:szCs w:val="21"/>
        </w:rPr>
        <w:t>投标人须知23条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★4</w:t>
      </w:r>
      <w:r>
        <w:rPr>
          <w:rFonts w:hint="eastAsia" w:ascii="仿宋_GB2312" w:hAnsi="仿宋_GB2312" w:eastAsia="仿宋_GB2312" w:cs="仿宋_GB2312"/>
          <w:b/>
          <w:bCs/>
          <w:kern w:val="0"/>
          <w:szCs w:val="21"/>
        </w:rPr>
        <w:t>、同一品牌产品</w:t>
      </w:r>
    </w:p>
    <w:p>
      <w:pPr>
        <w:adjustRightInd w:val="0"/>
        <w:snapToGrid w:val="0"/>
        <w:spacing w:line="360" w:lineRule="auto"/>
        <w:ind w:firstLine="420" w:firstLineChars="200"/>
        <w:rPr>
          <w:rFonts w:ascii="仿宋_GB2312" w:hAnsi="仿宋_GB2312" w:eastAsia="仿宋_GB2312" w:cs="仿宋_GB2312"/>
          <w:b/>
          <w:bCs/>
          <w:szCs w:val="21"/>
        </w:rPr>
      </w:pPr>
      <w:r>
        <w:rPr>
          <w:rFonts w:hint="eastAsia" w:ascii="仿宋_GB2312" w:hAnsi="仿宋_GB2312" w:eastAsia="仿宋_GB2312" w:cs="仿宋_GB2312"/>
          <w:szCs w:val="21"/>
        </w:rPr>
        <w:t>4.1通过资格审查、符合性审查的不同品牌投标人不足3家的，按照</w:t>
      </w:r>
      <w:r>
        <w:rPr>
          <w:rFonts w:hint="eastAsia" w:ascii="仿宋_GB2312" w:hAnsi="仿宋_GB2312" w:eastAsia="仿宋_GB2312" w:cs="仿宋_GB2312"/>
          <w:kern w:val="0"/>
          <w:szCs w:val="21"/>
        </w:rPr>
        <w:t>投标人须知28条第（1）款</w:t>
      </w:r>
      <w:r>
        <w:rPr>
          <w:rFonts w:hint="eastAsia" w:ascii="仿宋_GB2312" w:hAnsi="仿宋_GB2312" w:eastAsia="仿宋_GB2312" w:cs="仿宋_GB2312"/>
          <w:szCs w:val="21"/>
        </w:rPr>
        <w:t>执行</w:t>
      </w:r>
      <w:r>
        <w:rPr>
          <w:rFonts w:hint="eastAsia" w:ascii="仿宋_GB2312" w:hAnsi="仿宋_GB2312" w:eastAsia="仿宋_GB2312" w:cs="仿宋_GB2312"/>
          <w:kern w:val="0"/>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4.2提供相同品牌产品且通过资格审查、符合性审查的不同投标人，按一家投标人计算。</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4.3如一个分包内只有一种产品，不同投标人所投产品为同一品牌的，按如下方式处理：</w:t>
      </w:r>
    </w:p>
    <w:p>
      <w:pPr>
        <w:numPr>
          <w:ilvl w:val="0"/>
          <w:numId w:val="5"/>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如本项目使用最低评标价法，提供相同品牌产品的不同投标人以其中通过资格审查、符合性审查且报价最低的参加比较及评价；报价相同的，按</w:t>
      </w:r>
      <w:r>
        <w:rPr>
          <w:rFonts w:hint="eastAsia" w:ascii="仿宋_GB2312" w:hAnsi="仿宋_GB2312" w:eastAsia="仿宋_GB2312" w:cs="仿宋_GB2312"/>
          <w:kern w:val="0"/>
          <w:szCs w:val="21"/>
        </w:rPr>
        <w:t>本章第8条</w:t>
      </w:r>
      <w:r>
        <w:rPr>
          <w:rFonts w:hint="eastAsia" w:ascii="仿宋_GB2312" w:hAnsi="仿宋_GB2312" w:eastAsia="仿宋_GB2312" w:cs="仿宋_GB2312"/>
          <w:szCs w:val="21"/>
        </w:rPr>
        <w:t>“推荐中标候选人的原则”规定执行；未规定的采取随机抽取方式确定，其他</w:t>
      </w:r>
      <w:r>
        <w:rPr>
          <w:rFonts w:hint="eastAsia" w:ascii="仿宋_GB2312" w:hAnsi="仿宋_GB2312" w:eastAsia="仿宋_GB2312" w:cs="仿宋_GB2312"/>
          <w:b/>
          <w:bCs/>
          <w:szCs w:val="21"/>
        </w:rPr>
        <w:t>投标无效</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szCs w:val="21"/>
        </w:rPr>
        <w:t>4.4如一个分包内包含多种产品的，采购人或采购代理机构将在招标文件中载明核心产品，多家投标人提供的核心产品品牌相同的，</w:t>
      </w:r>
      <w:r>
        <w:rPr>
          <w:rFonts w:hint="eastAsia" w:ascii="仿宋_GB2312" w:hAnsi="仿宋_GB2312" w:eastAsia="仿宋_GB2312" w:cs="仿宋_GB2312"/>
          <w:kern w:val="0"/>
          <w:szCs w:val="21"/>
        </w:rPr>
        <w:t>按本章第4.3条规定处理。</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★5</w:t>
      </w:r>
      <w:r>
        <w:rPr>
          <w:rFonts w:hint="eastAsia" w:ascii="仿宋_GB2312" w:hAnsi="仿宋_GB2312" w:eastAsia="仿宋_GB2312" w:cs="仿宋_GB2312"/>
          <w:b/>
          <w:bCs/>
          <w:kern w:val="0"/>
          <w:szCs w:val="21"/>
        </w:rPr>
        <w:t>、比较及评价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5.1评标委员会对通过符合性审查的投标文件进行比较和评价。</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5.2在评标期间，对投标文件的澄清按投标人须知24条内容执行。</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_GB2312" w:eastAsia="仿宋_GB2312" w:cs="仿宋_GB2312"/>
          <w:kern w:val="0"/>
          <w:szCs w:val="21"/>
        </w:rPr>
        <w:t>接到通知后</w:t>
      </w: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投标人不能证明其报价合理性的，评标委员会应当将</w:t>
      </w:r>
      <w:r>
        <w:rPr>
          <w:rFonts w:hint="eastAsia" w:ascii="仿宋_GB2312" w:hAnsi="仿宋_GB2312" w:eastAsia="仿宋_GB2312" w:cs="仿宋_GB2312"/>
          <w:szCs w:val="21"/>
        </w:rPr>
        <w:t>其投标作为</w:t>
      </w:r>
      <w:r>
        <w:rPr>
          <w:rFonts w:hint="eastAsia" w:ascii="仿宋_GB2312" w:hAnsi="仿宋_GB2312" w:eastAsia="仿宋_GB2312" w:cs="仿宋_GB2312"/>
          <w:b/>
          <w:bCs/>
          <w:szCs w:val="21"/>
        </w:rPr>
        <w:t>无效投标处理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投标人的书面说明材料包含货物本身成本、人工费用、运输、税收等，以及报价不会影响产品质量或诚信履约能力的说明等。</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拒绝或者变相拒绝提供有效书面说明；</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书面说明不能证明其报价合理性的；</w:t>
      </w:r>
    </w:p>
    <w:p>
      <w:pPr>
        <w:numPr>
          <w:ilvl w:val="0"/>
          <w:numId w:val="6"/>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未在规定时间内递交有效书面说明书的。</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★6</w:t>
      </w:r>
      <w:r>
        <w:rPr>
          <w:rFonts w:hint="eastAsia" w:ascii="仿宋_GB2312" w:hAnsi="仿宋_GB2312" w:eastAsia="仿宋_GB2312" w:cs="仿宋_GB2312"/>
          <w:b/>
          <w:bCs/>
          <w:kern w:val="0"/>
          <w:szCs w:val="21"/>
        </w:rPr>
        <w:t>、需落实的政府采购政策性规定：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6.1.1对于非专门面向中小企业的项目，在满足价格扣除条件且在投标文件中按要求提交了《中小企业声明函》</w:t>
      </w:r>
      <w:r>
        <w:rPr>
          <w:rFonts w:hint="eastAsia" w:ascii="仿宋_GB2312" w:hAnsi="仿宋_GB2312" w:eastAsia="仿宋_GB2312" w:cs="仿宋_GB2312"/>
          <w:kern w:val="0"/>
          <w:szCs w:val="21"/>
        </w:rPr>
        <w:t>的，</w:t>
      </w:r>
      <w:r>
        <w:rPr>
          <w:rFonts w:hint="eastAsia" w:ascii="仿宋_GB2312" w:hAnsi="仿宋_GB2312" w:eastAsia="仿宋_GB2312" w:cs="仿宋_GB2312"/>
          <w:szCs w:val="21"/>
        </w:rPr>
        <w:t>对投标报价给予价格扣除，用扣除后的价格参与评审。投标报价扣除比例如下：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小型和微型企业相应产品、服务投标报价的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6.1.2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6.1.3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投标文件中提供了《残疾人福利性单位声明函》的，</w:t>
      </w:r>
      <w:r>
        <w:rPr>
          <w:rFonts w:hint="eastAsia" w:ascii="仿宋_GB2312" w:hAnsi="仿宋_GB2312" w:eastAsia="仿宋_GB2312" w:cs="仿宋_GB2312"/>
          <w:szCs w:val="21"/>
        </w:rPr>
        <w:t>对其投标报价按本章5.1.1条款的比例予以扣除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6.1.4残疾人福利性单位属于小型、微型企业的，不重复享受政策。</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6.2对于节能产品、环境标志产品的相关规定</w:t>
      </w:r>
    </w:p>
    <w:p>
      <w:pPr>
        <w:numPr>
          <w:ilvl w:val="0"/>
          <w:numId w:val="7"/>
        </w:num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节能产品或环境标志产品，依据品目清单和认证证书实施政府优先采购。</w:t>
      </w:r>
      <w:r>
        <w:rPr>
          <w:rFonts w:hint="eastAsia" w:ascii="仿宋_GB2312" w:hAnsi="仿宋_GB2312" w:eastAsia="仿宋_GB2312" w:cs="仿宋_GB2312"/>
        </w:rPr>
        <w:t>供应商</w:t>
      </w:r>
      <w:r>
        <w:rPr>
          <w:rFonts w:hint="eastAsia" w:ascii="仿宋_GB2312" w:hAnsi="仿宋_GB2312" w:eastAsia="仿宋_GB2312" w:cs="仿宋_GB2312"/>
          <w:szCs w:val="21"/>
        </w:rPr>
        <w:t>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采用最低评标价法的，</w:t>
      </w:r>
      <w:r>
        <w:rPr>
          <w:rFonts w:hint="eastAsia" w:ascii="仿宋_GB2312" w:hAnsi="仿宋_GB2312" w:eastAsia="仿宋_GB2312" w:cs="仿宋_GB2312"/>
          <w:szCs w:val="21"/>
        </w:rPr>
        <w:t>对</w:t>
      </w:r>
      <w:r>
        <w:rPr>
          <w:rFonts w:hint="eastAsia" w:ascii="仿宋_GB2312" w:hAnsi="仿宋_GB2312" w:eastAsia="仿宋_GB2312" w:cs="仿宋_GB2312"/>
          <w:kern w:val="0"/>
          <w:szCs w:val="21"/>
        </w:rPr>
        <w:t>清单中投标产品的报价</w:t>
      </w:r>
      <w:r>
        <w:rPr>
          <w:rFonts w:hint="eastAsia" w:ascii="仿宋_GB2312" w:hAnsi="仿宋_GB2312" w:eastAsia="仿宋_GB2312" w:cs="仿宋_GB2312"/>
          <w:szCs w:val="21"/>
        </w:rPr>
        <w:t>给予价格扣除，用扣除后的价格参与评审。报价扣除比例为</w:t>
      </w:r>
      <w:r>
        <w:rPr>
          <w:rFonts w:hint="eastAsia" w:ascii="仿宋_GB2312" w:hAnsi="仿宋_GB2312" w:eastAsia="仿宋_GB2312" w:cs="仿宋_GB2312"/>
          <w:kern w:val="0"/>
          <w:szCs w:val="21"/>
        </w:rPr>
        <w:t>清单中产品报价的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napToGrid w:val="0"/>
        <w:spacing w:line="360" w:lineRule="auto"/>
        <w:ind w:firstLine="630" w:firstLineChars="300"/>
        <w:jc w:val="left"/>
        <w:rPr>
          <w:rFonts w:ascii="仿宋_GB2312" w:hAnsi="仿宋_GB2312" w:eastAsia="仿宋_GB2312" w:cs="仿宋_GB2312"/>
          <w:szCs w:val="21"/>
        </w:rPr>
      </w:pPr>
      <w:r>
        <w:rPr>
          <w:rFonts w:hint="eastAsia" w:ascii="仿宋_GB2312" w:hAnsi="仿宋_GB2312" w:eastAsia="仿宋_GB2312" w:cs="仿宋_GB2312"/>
          <w:kern w:val="0"/>
          <w:szCs w:val="21"/>
        </w:rPr>
        <w:t>采用综合评分法评标的项目，对清单中产品给予相应的加分。（详见评分细则）</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ascii="仿宋_GB2312" w:hAnsi="仿宋_GB2312" w:eastAsia="仿宋_GB2312" w:cs="仿宋_GB2312"/>
          <w:b/>
          <w:bCs/>
          <w:szCs w:val="21"/>
        </w:rPr>
      </w:pPr>
      <w:r>
        <w:rPr>
          <w:rFonts w:hint="eastAsia" w:ascii="仿宋_GB2312" w:hAnsi="仿宋_GB2312" w:eastAsia="仿宋_GB2312" w:cs="仿宋_GB2312"/>
          <w:b/>
          <w:bCs/>
          <w:szCs w:val="21"/>
        </w:rPr>
        <w:t>6.3对于列入《辽宁省创新产品和服务目录》内的产品、服务的相关规定</w:t>
      </w:r>
    </w:p>
    <w:p>
      <w:pPr>
        <w:adjustRightIn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采用最低评标价法的：对列入《辽宁省创新产品和服务目录》内的投标产品、服务给予其投标报价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pacing w:line="360" w:lineRule="auto"/>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szCs w:val="21"/>
        </w:rPr>
        <w:t>采用综合评分法评标的：对列入《辽宁省创新产品和服务目录》内的投标产品、服务给予</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（6-8%）的加分（详见评分细则）。</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★7</w:t>
      </w:r>
      <w:r>
        <w:rPr>
          <w:rFonts w:hint="eastAsia" w:ascii="仿宋_GB2312" w:hAnsi="仿宋_GB2312" w:eastAsia="仿宋_GB2312" w:cs="仿宋_GB2312"/>
          <w:b/>
          <w:bCs/>
          <w:kern w:val="0"/>
          <w:szCs w:val="21"/>
        </w:rPr>
        <w:t>、投标无效情况详见投标人须知。</w:t>
      </w:r>
    </w:p>
    <w:p>
      <w:pPr>
        <w:adjustRightInd w:val="0"/>
        <w:snapToGrid w:val="0"/>
        <w:spacing w:line="360" w:lineRule="auto"/>
        <w:ind w:firstLine="422" w:firstLineChars="200"/>
        <w:rPr>
          <w:rFonts w:ascii="仿宋_GB2312" w:hAnsi="仿宋_GB2312" w:eastAsia="仿宋_GB2312" w:cs="仿宋_GB2312"/>
          <w:b/>
          <w:bCs/>
          <w:kern w:val="0"/>
          <w:szCs w:val="21"/>
        </w:rPr>
      </w:pPr>
      <w:r>
        <w:rPr>
          <w:rFonts w:hint="eastAsia" w:ascii="仿宋_GB2312" w:hAnsi="仿宋_GB2312" w:eastAsia="仿宋_GB2312" w:cs="仿宋_GB2312"/>
          <w:b/>
          <w:kern w:val="0"/>
          <w:szCs w:val="21"/>
        </w:rPr>
        <w:t>★8</w:t>
      </w:r>
      <w:r>
        <w:rPr>
          <w:rFonts w:hint="eastAsia" w:ascii="仿宋_GB2312" w:hAnsi="仿宋_GB2312" w:eastAsia="仿宋_GB2312" w:cs="仿宋_GB2312"/>
          <w:b/>
          <w:bCs/>
          <w:kern w:val="0"/>
          <w:szCs w:val="21"/>
        </w:rPr>
        <w:t>、推荐中标候选人的原则</w:t>
      </w:r>
    </w:p>
    <w:p>
      <w:pPr>
        <w:adjustRightInd w:val="0"/>
        <w:snapToGrid w:val="0"/>
        <w:spacing w:line="360" w:lineRule="auto"/>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详见第一章投标人须知第29条，具体处理办法如下：</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采用最低评标价法的：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扣除后的投标报价相同时，按投标报价由低至高排序；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按前款不能区分的，优先采购节能产品、环境标志产品；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numPr>
          <w:ilvl w:val="0"/>
          <w:numId w:val="8"/>
        </w:num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采用综合评分法的：</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得分相同的，按扣除后的投标报价由低到高顺序排序；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按前款不能区分的，按投标报价由低至高顺序排序；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按前款不能区分的，优先采购节能产品、环保产品；</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按前款不能区分的，按技术指标优劣排序；</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其他情况，由评标委员会投票处理。</w:t>
      </w:r>
    </w:p>
    <w:p>
      <w:pPr>
        <w:adjustRightInd w:val="0"/>
        <w:snapToGrid w:val="0"/>
        <w:spacing w:line="360" w:lineRule="auto"/>
        <w:ind w:firstLine="422" w:firstLineChars="200"/>
        <w:rPr>
          <w:rFonts w:ascii="仿宋_GB2312" w:hAnsi="仿宋_GB2312" w:eastAsia="仿宋_GB2312" w:cs="仿宋_GB2312"/>
          <w:b/>
          <w:kern w:val="0"/>
          <w:szCs w:val="21"/>
        </w:rPr>
      </w:pPr>
      <w:bookmarkStart w:id="136" w:name="_Toc30297_WPSOffice_Level2"/>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确定中标人</w:t>
      </w:r>
      <w:bookmarkEnd w:id="136"/>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评标委员会根据全体评标委员会成员签字的原始评标记录和评标结果编写评标报告，并向采购人提交书面评标报告。</w:t>
      </w:r>
    </w:p>
    <w:p>
      <w:pPr>
        <w:adjustRightInd w:val="0"/>
        <w:snapToGrid w:val="0"/>
        <w:spacing w:line="360" w:lineRule="auto"/>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采购人按照评标报告确定的中标候选人名单按顺序确定中标人，或由采购人委托评标委员会按照第一章投标人须知第31条规定的方式确定中标人。</w:t>
      </w:r>
    </w:p>
    <w:p>
      <w:pPr>
        <w:widowControl/>
        <w:jc w:val="left"/>
        <w:rPr>
          <w:rFonts w:ascii="宋体" w:hAnsi="宋体"/>
        </w:rPr>
      </w:pPr>
      <w:r>
        <w:rPr>
          <w:rFonts w:ascii="宋体" w:hAnsi="宋体"/>
        </w:rPr>
        <w:br w:type="page"/>
      </w:r>
    </w:p>
    <w:p>
      <w:pPr>
        <w:pStyle w:val="3"/>
        <w:adjustRightInd w:val="0"/>
        <w:snapToGrid w:val="0"/>
        <w:spacing w:before="0" w:after="0" w:line="240" w:lineRule="auto"/>
        <w:jc w:val="left"/>
        <w:rPr>
          <w:rFonts w:ascii="仿宋_GB2312" w:hAnsi="仿宋_GB2312" w:eastAsia="仿宋_GB2312" w:cs="仿宋_GB2312"/>
          <w:szCs w:val="28"/>
        </w:rPr>
      </w:pPr>
      <w:bookmarkStart w:id="137" w:name="_Toc32318_WPSOffice_Level2"/>
      <w:r>
        <w:rPr>
          <w:rFonts w:hint="eastAsia" w:ascii="仿宋_GB2312" w:hAnsi="仿宋_GB2312" w:eastAsia="仿宋_GB2312" w:cs="仿宋_GB2312"/>
          <w:szCs w:val="28"/>
        </w:rPr>
        <w:t xml:space="preserve">附件1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137"/>
    </w:p>
    <w:tbl>
      <w:tblPr>
        <w:tblStyle w:val="19"/>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3837"/>
        <w:gridCol w:w="1982"/>
        <w:gridCol w:w="986"/>
        <w:gridCol w:w="9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68" w:type="dxa"/>
            <w:vMerge w:val="restart"/>
            <w:vAlign w:val="center"/>
          </w:tcPr>
          <w:p>
            <w:pPr>
              <w:ind w:left="-97" w:leftChars="-46" w:right="-86" w:rightChars="-41"/>
              <w:jc w:val="center"/>
              <w:rPr>
                <w:rFonts w:ascii="仿宋_GB2312" w:hAnsi="仿宋_GB2312" w:eastAsia="仿宋_GB2312" w:cs="仿宋_GB2312"/>
              </w:rPr>
            </w:pPr>
            <w:r>
              <w:rPr>
                <w:rFonts w:hint="eastAsia" w:ascii="仿宋_GB2312" w:hAnsi="仿宋_GB2312" w:eastAsia="仿宋_GB2312" w:cs="仿宋_GB2312"/>
              </w:rPr>
              <w:t>序号</w:t>
            </w:r>
          </w:p>
        </w:tc>
        <w:tc>
          <w:tcPr>
            <w:tcW w:w="3837"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p>
        </w:tc>
        <w:tc>
          <w:tcPr>
            <w:tcW w:w="1982" w:type="dxa"/>
            <w:vMerge w:val="restart"/>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审查标准</w:t>
            </w:r>
          </w:p>
        </w:tc>
        <w:tc>
          <w:tcPr>
            <w:tcW w:w="2836" w:type="dxa"/>
            <w:gridSpan w:val="3"/>
            <w:vAlign w:val="center"/>
          </w:tcPr>
          <w:p>
            <w:pPr>
              <w:pStyle w:val="3"/>
              <w:adjustRightInd w:val="0"/>
              <w:snapToGrid w:val="0"/>
              <w:spacing w:before="0" w:after="0" w:line="240" w:lineRule="auto"/>
              <w:ind w:left="-97" w:leftChars="-46" w:right="-86" w:rightChars="-41"/>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66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3837"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982"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2</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组织机构代码证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税务登记证</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szCs w:val="21"/>
              </w:rPr>
              <w:t>4</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法定代表人（或非法人组织负责人）身份证明书（授权委托人参加投标的无需提供）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（授权委托人参加投标的须提供）</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668" w:type="dxa"/>
            <w:vAlign w:val="center"/>
          </w:tcPr>
          <w:p>
            <w:pPr>
              <w:widowControl/>
              <w:snapToGrid w:val="0"/>
              <w:jc w:val="center"/>
              <w:rPr>
                <w:rFonts w:ascii="仿宋_GB2312" w:hAnsi="仿宋_GB2312" w:eastAsia="仿宋_GB2312" w:cs="仿宋_GB2312"/>
              </w:rPr>
            </w:pPr>
            <w:r>
              <w:rPr>
                <w:rFonts w:hint="eastAsia" w:ascii="仿宋_GB2312" w:hAnsi="仿宋_GB2312" w:eastAsia="仿宋_GB2312" w:cs="仿宋_GB2312"/>
              </w:rPr>
              <w:t>6</w:t>
            </w:r>
          </w:p>
        </w:tc>
        <w:tc>
          <w:tcPr>
            <w:tcW w:w="3837" w:type="dxa"/>
            <w:vAlign w:val="center"/>
          </w:tcPr>
          <w:p>
            <w:pPr>
              <w:widowControl/>
              <w:snapToGrid w:val="0"/>
              <w:jc w:val="left"/>
              <w:rPr>
                <w:rFonts w:ascii="仿宋_GB2312" w:hAnsi="仿宋_GB2312" w:eastAsia="仿宋_GB2312" w:cs="仿宋_GB2312"/>
                <w:b/>
                <w:szCs w:val="21"/>
              </w:rPr>
            </w:pPr>
            <w:r>
              <w:rPr>
                <w:rFonts w:hint="eastAsia" w:ascii="仿宋_GB2312" w:hAnsi="仿宋_GB2312" w:eastAsia="仿宋_GB2312" w:cs="仿宋_GB2312"/>
              </w:rPr>
              <w:t>具有良好的商业信誉和健全的财务会计制度的承诺函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7</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开标时间前六个月内任一个月的依法缴纳税收的缴款凭据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8</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开标时间前六个月内任一个月的依法缴纳社会保障资金的缴款凭据</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9</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rPr>
              <w:t>联合体协议书（如适用）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12</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其它资格证明文件（如适用，按投标人须知表1.3.4要求描述）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13</w:t>
            </w:r>
          </w:p>
        </w:tc>
        <w:tc>
          <w:tcPr>
            <w:tcW w:w="3837" w:type="dxa"/>
            <w:vAlign w:val="center"/>
          </w:tcPr>
          <w:p>
            <w:pPr>
              <w:snapToGrid w:val="0"/>
              <w:jc w:val="left"/>
              <w:rPr>
                <w:rFonts w:ascii="仿宋_GB2312" w:hAnsi="仿宋_GB2312" w:eastAsia="仿宋_GB2312" w:cs="仿宋_GB2312"/>
                <w:b/>
                <w:szCs w:val="21"/>
              </w:rPr>
            </w:pPr>
            <w:r>
              <w:rPr>
                <w:rFonts w:hint="eastAsia" w:ascii="仿宋_GB2312" w:hAnsi="仿宋_GB2312" w:eastAsia="仿宋_GB2312" w:cs="仿宋_GB2312"/>
                <w:szCs w:val="21"/>
              </w:rPr>
              <w:t>联合体投标的其它资格证明文件（如适用，按投标人须知表1.4.8要求描述）</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14</w:t>
            </w: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采购人或采购代理机构将按照招标文件规定的审查期间内进行查询</w:t>
            </w:r>
            <w:r>
              <w:rPr>
                <w:rFonts w:hint="eastAsia" w:ascii="仿宋_GB2312" w:hAnsi="仿宋_GB2312" w:eastAsia="仿宋_GB2312" w:cs="仿宋_GB2312"/>
              </w:rPr>
              <w:t>）</w:t>
            </w:r>
          </w:p>
          <w:p>
            <w:pPr>
              <w:snapToGrid w:val="0"/>
              <w:jc w:val="left"/>
              <w:rPr>
                <w:rFonts w:ascii="仿宋_GB2312" w:hAnsi="仿宋_GB2312" w:eastAsia="仿宋_GB2312" w:cs="仿宋_GB2312"/>
              </w:rPr>
            </w:pPr>
            <w:r>
              <w:rPr>
                <w:rFonts w:hint="eastAsia" w:ascii="仿宋_GB2312" w:hAnsi="仿宋_GB2312" w:eastAsia="仿宋_GB2312" w:cs="仿宋_GB2312"/>
              </w:rPr>
              <w:t>联合体各方均需查询（如适用）</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无投标须知22.2.1所述的不良记录</w:t>
            </w: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left"/>
              <w:rPr>
                <w:rFonts w:ascii="仿宋_GB2312" w:hAnsi="仿宋_GB2312" w:eastAsia="仿宋_GB2312" w:cs="仿宋_GB2312"/>
              </w:rPr>
            </w:pPr>
            <w:r>
              <w:rPr>
                <w:rFonts w:hint="eastAsia" w:ascii="仿宋_GB2312" w:hAnsi="仿宋_GB2312" w:eastAsia="仿宋_GB2312" w:cs="仿宋_GB2312"/>
              </w:rPr>
              <w:t>……</w:t>
            </w:r>
          </w:p>
        </w:tc>
        <w:tc>
          <w:tcPr>
            <w:tcW w:w="1982"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jc w:val="center"/>
        </w:trPr>
        <w:tc>
          <w:tcPr>
            <w:tcW w:w="668" w:type="dxa"/>
            <w:vAlign w:val="center"/>
          </w:tcPr>
          <w:p>
            <w:pPr>
              <w:snapToGrid w:val="0"/>
              <w:jc w:val="center"/>
              <w:rPr>
                <w:rFonts w:ascii="仿宋_GB2312" w:hAnsi="仿宋_GB2312" w:eastAsia="仿宋_GB2312" w:cs="仿宋_GB2312"/>
              </w:rPr>
            </w:pPr>
          </w:p>
        </w:tc>
        <w:tc>
          <w:tcPr>
            <w:tcW w:w="3837"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rPr>
              <w:t>结论</w:t>
            </w:r>
          </w:p>
        </w:tc>
        <w:tc>
          <w:tcPr>
            <w:tcW w:w="1982"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6" w:type="dxa"/>
          </w:tcPr>
          <w:p>
            <w:pPr>
              <w:pStyle w:val="3"/>
              <w:adjustRightInd w:val="0"/>
              <w:snapToGrid w:val="0"/>
              <w:spacing w:before="0" w:after="0" w:line="240" w:lineRule="auto"/>
              <w:rPr>
                <w:rFonts w:ascii="仿宋_GB2312" w:hAnsi="仿宋_GB2312" w:eastAsia="仿宋_GB2312" w:cs="仿宋_GB2312"/>
                <w:sz w:val="21"/>
                <w:szCs w:val="21"/>
              </w:rPr>
            </w:pPr>
          </w:p>
        </w:tc>
        <w:tc>
          <w:tcPr>
            <w:tcW w:w="962" w:type="dxa"/>
          </w:tcPr>
          <w:p>
            <w:pPr>
              <w:pStyle w:val="3"/>
              <w:adjustRightInd w:val="0"/>
              <w:snapToGrid w:val="0"/>
              <w:spacing w:before="0" w:after="0" w:line="240" w:lineRule="auto"/>
              <w:rPr>
                <w:rFonts w:ascii="仿宋_GB2312" w:hAnsi="仿宋_GB2312" w:eastAsia="仿宋_GB2312" w:cs="仿宋_GB2312"/>
                <w:sz w:val="21"/>
                <w:szCs w:val="21"/>
              </w:rPr>
            </w:pPr>
          </w:p>
        </w:tc>
        <w:tc>
          <w:tcPr>
            <w:tcW w:w="888" w:type="dxa"/>
          </w:tcPr>
          <w:p>
            <w:pPr>
              <w:pStyle w:val="3"/>
              <w:adjustRightInd w:val="0"/>
              <w:snapToGrid w:val="0"/>
              <w:spacing w:before="0" w:after="0" w:line="240" w:lineRule="auto"/>
              <w:rPr>
                <w:rFonts w:ascii="仿宋_GB2312" w:hAnsi="仿宋_GB2312" w:eastAsia="仿宋_GB2312" w:cs="仿宋_GB2312"/>
                <w:sz w:val="21"/>
                <w:szCs w:val="21"/>
              </w:rPr>
            </w:pPr>
          </w:p>
        </w:tc>
      </w:tr>
    </w:tbl>
    <w:p>
      <w:pPr>
        <w:snapToGrid w:val="0"/>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numPr>
          <w:ilvl w:val="0"/>
          <w:numId w:val="9"/>
        </w:numPr>
        <w:snapToGrid w:val="0"/>
        <w:rPr>
          <w:rFonts w:ascii="仿宋_GB2312" w:hAnsi="仿宋_GB2312" w:eastAsia="仿宋_GB2312" w:cs="仿宋_GB2312"/>
        </w:rPr>
      </w:pPr>
      <w:r>
        <w:rPr>
          <w:rFonts w:hint="eastAsia" w:ascii="仿宋_GB2312" w:hAnsi="仿宋_GB2312" w:eastAsia="仿宋_GB2312" w:cs="仿宋_GB2312"/>
        </w:rPr>
        <w:t>审查结论填写“通过”或“不通过”</w:t>
      </w:r>
    </w:p>
    <w:p>
      <w:pPr>
        <w:snapToGrid w:val="0"/>
        <w:ind w:left="1050"/>
        <w:rPr>
          <w:rFonts w:ascii="仿宋_GB2312" w:hAnsi="仿宋_GB2312" w:eastAsia="仿宋_GB2312" w:cs="仿宋_GB2312"/>
        </w:rPr>
      </w:pPr>
    </w:p>
    <w:p>
      <w:pPr>
        <w:pStyle w:val="17"/>
        <w:widowControl w:val="0"/>
        <w:snapToGrid w:val="0"/>
        <w:spacing w:before="0" w:beforeAutospacing="0" w:after="0" w:afterAutospacing="0" w:line="480" w:lineRule="auto"/>
        <w:jc w:val="both"/>
        <w:rPr>
          <w:rFonts w:ascii="仿宋_GB2312" w:hAnsi="仿宋_GB2312" w:eastAsia="仿宋_GB2312" w:cs="仿宋_GB2312"/>
          <w:b/>
          <w:sz w:val="21"/>
          <w:szCs w:val="21"/>
        </w:rPr>
      </w:pPr>
      <w:r>
        <w:rPr>
          <w:rFonts w:hint="eastAsia" w:ascii="仿宋_GB2312" w:hAnsi="仿宋_GB2312" w:eastAsia="仿宋_GB2312" w:cs="仿宋_GB2312"/>
          <w:sz w:val="21"/>
          <w:szCs w:val="21"/>
        </w:rPr>
        <w:t xml:space="preserve">审查人签字：                                        </w:t>
      </w:r>
      <w:r>
        <w:rPr>
          <w:rFonts w:hint="eastAsia" w:ascii="仿宋_GB2312" w:hAnsi="仿宋_GB2312" w:eastAsia="仿宋_GB2312" w:cs="仿宋_GB2312"/>
          <w:bCs/>
          <w:sz w:val="21"/>
          <w:szCs w:val="21"/>
        </w:rPr>
        <w:t>日      期：</w:t>
      </w:r>
    </w:p>
    <w:p>
      <w:pPr>
        <w:pStyle w:val="3"/>
        <w:adjustRightInd w:val="0"/>
        <w:snapToGrid w:val="0"/>
        <w:spacing w:before="0" w:after="0" w:line="240" w:lineRule="auto"/>
        <w:jc w:val="left"/>
        <w:rPr>
          <w:rFonts w:ascii="仿宋_GB2312" w:hAnsi="仿宋_GB2312" w:eastAsia="仿宋_GB2312" w:cs="仿宋_GB2312"/>
          <w:szCs w:val="28"/>
        </w:rPr>
      </w:pPr>
      <w:bookmarkStart w:id="138" w:name="_Toc11558_WPSOffice_Level2"/>
      <w:r>
        <w:rPr>
          <w:rFonts w:hint="eastAsia" w:ascii="仿宋_GB2312" w:hAnsi="仿宋_GB2312" w:eastAsia="仿宋_GB2312" w:cs="仿宋_GB2312"/>
          <w:szCs w:val="28"/>
        </w:rPr>
        <w:t xml:space="preserve">附件2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38"/>
    </w:p>
    <w:tbl>
      <w:tblPr>
        <w:tblStyle w:val="19"/>
        <w:tblW w:w="92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606"/>
        <w:gridCol w:w="3004"/>
        <w:gridCol w:w="1095"/>
        <w:gridCol w:w="9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648"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序号</w:t>
            </w:r>
          </w:p>
        </w:tc>
        <w:tc>
          <w:tcPr>
            <w:tcW w:w="2606"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审查项目</w:t>
            </w:r>
          </w:p>
        </w:tc>
        <w:tc>
          <w:tcPr>
            <w:tcW w:w="3004" w:type="dxa"/>
            <w:vMerge w:val="restart"/>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审查标准</w:t>
            </w:r>
          </w:p>
        </w:tc>
        <w:tc>
          <w:tcPr>
            <w:tcW w:w="2992" w:type="dxa"/>
            <w:gridSpan w:val="3"/>
            <w:vAlign w:val="center"/>
          </w:tcPr>
          <w:p>
            <w:pPr>
              <w:ind w:left="-84" w:leftChars="-40" w:right="-76" w:rightChars="-36"/>
              <w:jc w:val="center"/>
              <w:rPr>
                <w:rFonts w:ascii="仿宋_GB2312" w:hAnsi="仿宋_GB2312" w:eastAsia="仿宋_GB2312" w:cs="仿宋_GB2312"/>
              </w:rPr>
            </w:pPr>
            <w:r>
              <w:rPr>
                <w:rFonts w:hint="eastAsia" w:ascii="仿宋_GB2312" w:hAnsi="仿宋_GB2312" w:eastAsia="仿宋_GB2312" w:cs="仿宋_GB2312"/>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648" w:type="dxa"/>
            <w:vMerge w:val="continue"/>
            <w:vAlign w:val="center"/>
          </w:tcPr>
          <w:p>
            <w:pPr>
              <w:pStyle w:val="3"/>
              <w:adjustRightInd w:val="0"/>
              <w:snapToGrid w:val="0"/>
              <w:spacing w:before="0" w:after="0" w:line="240" w:lineRule="auto"/>
              <w:rPr>
                <w:rFonts w:ascii="仿宋_GB2312" w:hAnsi="仿宋_GB2312" w:eastAsia="仿宋_GB2312" w:cs="仿宋_GB2312"/>
              </w:rPr>
            </w:pPr>
          </w:p>
        </w:tc>
        <w:tc>
          <w:tcPr>
            <w:tcW w:w="2606"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3004" w:type="dxa"/>
            <w:vMerge w:val="continue"/>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 w:val="20"/>
                <w:szCs w:val="21"/>
              </w:rPr>
              <w:t>1</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投标函</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vAlign w:val="center"/>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64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w:t>
            </w:r>
          </w:p>
        </w:tc>
        <w:tc>
          <w:tcPr>
            <w:tcW w:w="2606" w:type="dxa"/>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递交投标保证金证明</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3</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开标一览表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4</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分项报价表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1.按给定格式填写，信息完整</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5</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技术规格偏离表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6</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商务条款偏离表</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1.按给定格式及填表要求填写</w:t>
            </w:r>
          </w:p>
          <w:p>
            <w:pPr>
              <w:jc w:val="left"/>
              <w:rPr>
                <w:rFonts w:ascii="仿宋_GB2312" w:hAnsi="仿宋_GB2312" w:eastAsia="仿宋_GB2312" w:cs="仿宋_GB2312"/>
                <w:szCs w:val="21"/>
              </w:rPr>
            </w:pPr>
            <w:r>
              <w:rPr>
                <w:rFonts w:hint="eastAsia" w:ascii="仿宋_GB2312" w:hAnsi="仿宋_GB2312" w:eastAsia="仿宋_GB2312" w:cs="仿宋_GB2312"/>
                <w:szCs w:val="21"/>
              </w:rPr>
              <w:t>2.响应招标文件实质性要求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3.按规定签章</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7</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投标人关联单位说明</w:t>
            </w:r>
          </w:p>
        </w:tc>
        <w:tc>
          <w:tcPr>
            <w:tcW w:w="3004" w:type="dxa"/>
            <w:vAlign w:val="center"/>
          </w:tcPr>
          <w:p>
            <w:pPr>
              <w:pStyle w:val="3"/>
              <w:adjustRightInd w:val="0"/>
              <w:snapToGrid w:val="0"/>
              <w:spacing w:before="0" w:after="0" w:line="240" w:lineRule="auto"/>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无投标须知1.5所述情形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8</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《品目清单》.《节能产品认证证书》（政府强制采购的节能产品须提供）</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648" w:type="dxa"/>
            <w:vAlign w:val="center"/>
          </w:tcPr>
          <w:p>
            <w:pPr>
              <w:jc w:val="center"/>
              <w:rPr>
                <w:rFonts w:ascii="仿宋_GB2312" w:hAnsi="仿宋_GB2312" w:eastAsia="仿宋_GB2312" w:cs="仿宋_GB2312"/>
              </w:rPr>
            </w:pPr>
            <w:r>
              <w:rPr>
                <w:rFonts w:hint="eastAsia" w:ascii="仿宋_GB2312" w:hAnsi="仿宋_GB2312" w:eastAsia="仿宋_GB2312" w:cs="仿宋_GB2312"/>
                <w:kern w:val="0"/>
                <w:szCs w:val="21"/>
              </w:rPr>
              <w:t>9</w:t>
            </w:r>
          </w:p>
        </w:tc>
        <w:tc>
          <w:tcPr>
            <w:tcW w:w="2606" w:type="dxa"/>
            <w:vAlign w:val="center"/>
          </w:tcPr>
          <w:p>
            <w:pPr>
              <w:rPr>
                <w:rFonts w:ascii="仿宋_GB2312" w:hAnsi="仿宋_GB2312" w:eastAsia="仿宋_GB2312" w:cs="仿宋_GB2312"/>
                <w:b/>
                <w:szCs w:val="21"/>
              </w:rPr>
            </w:pPr>
            <w:r>
              <w:rPr>
                <w:rFonts w:hint="eastAsia" w:ascii="仿宋_GB2312" w:hAnsi="仿宋_GB2312" w:eastAsia="仿宋_GB2312" w:cs="仿宋_GB2312"/>
                <w:kern w:val="0"/>
                <w:szCs w:val="21"/>
              </w:rPr>
              <w:t>其他符合性证明材料</w:t>
            </w:r>
          </w:p>
        </w:tc>
        <w:tc>
          <w:tcPr>
            <w:tcW w:w="300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响应招标文件实质性要求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10</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投标报价</w:t>
            </w:r>
          </w:p>
        </w:tc>
        <w:tc>
          <w:tcPr>
            <w:tcW w:w="3004" w:type="dxa"/>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1.响应招标文件实质性要求</w:t>
            </w:r>
          </w:p>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2.无投标须知26.2所述情形</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48" w:type="dxa"/>
            <w:vAlign w:val="center"/>
          </w:tcPr>
          <w:p>
            <w:pPr>
              <w:snapToGrid w:val="0"/>
              <w:jc w:val="center"/>
              <w:rPr>
                <w:rFonts w:ascii="仿宋_GB2312" w:hAnsi="仿宋_GB2312" w:eastAsia="仿宋_GB2312" w:cs="仿宋_GB2312"/>
              </w:rPr>
            </w:pPr>
            <w:r>
              <w:rPr>
                <w:rFonts w:hint="eastAsia" w:ascii="仿宋_GB2312" w:hAnsi="仿宋_GB2312" w:eastAsia="仿宋_GB2312" w:cs="仿宋_GB2312"/>
                <w:szCs w:val="21"/>
              </w:rPr>
              <w:t>11</w:t>
            </w:r>
          </w:p>
        </w:tc>
        <w:tc>
          <w:tcPr>
            <w:tcW w:w="2606"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3004" w:type="dxa"/>
            <w:vAlign w:val="center"/>
          </w:tcPr>
          <w:p>
            <w:pPr>
              <w:pStyle w:val="3"/>
              <w:adjustRightInd w:val="0"/>
              <w:snapToGrid w:val="0"/>
              <w:spacing w:before="0" w:after="0" w:line="240" w:lineRule="auto"/>
              <w:jc w:val="left"/>
              <w:rPr>
                <w:rFonts w:ascii="仿宋_GB2312" w:hAnsi="仿宋_GB2312" w:eastAsia="仿宋_GB2312" w:cs="仿宋_GB2312"/>
                <w:b w:val="0"/>
                <w:sz w:val="21"/>
                <w:szCs w:val="21"/>
              </w:rPr>
            </w:pPr>
            <w:r>
              <w:rPr>
                <w:rFonts w:hint="eastAsia" w:ascii="仿宋_GB2312" w:hAnsi="仿宋_GB2312" w:eastAsia="仿宋_GB2312" w:cs="仿宋_GB2312"/>
                <w:b w:val="0"/>
                <w:sz w:val="21"/>
                <w:szCs w:val="21"/>
              </w:rPr>
              <w:t>符合投标须知表11.3及25.1所述全部要求</w:t>
            </w: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48" w:type="dxa"/>
            <w:vAlign w:val="center"/>
          </w:tcPr>
          <w:p>
            <w:pPr>
              <w:snapToGrid w:val="0"/>
              <w:jc w:val="center"/>
              <w:rPr>
                <w:rFonts w:ascii="仿宋_GB2312" w:hAnsi="仿宋_GB2312" w:eastAsia="仿宋_GB2312" w:cs="仿宋_GB2312"/>
              </w:rPr>
            </w:pPr>
          </w:p>
        </w:tc>
        <w:tc>
          <w:tcPr>
            <w:tcW w:w="2606" w:type="dxa"/>
            <w:vAlign w:val="center"/>
          </w:tcPr>
          <w:p>
            <w:pPr>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结论</w:t>
            </w:r>
          </w:p>
        </w:tc>
        <w:tc>
          <w:tcPr>
            <w:tcW w:w="3004" w:type="dxa"/>
          </w:tcPr>
          <w:p>
            <w:pPr>
              <w:pStyle w:val="3"/>
              <w:adjustRightInd w:val="0"/>
              <w:snapToGrid w:val="0"/>
              <w:spacing w:before="0" w:after="0" w:line="240" w:lineRule="auto"/>
              <w:rPr>
                <w:rFonts w:ascii="仿宋_GB2312" w:hAnsi="仿宋_GB2312" w:eastAsia="仿宋_GB2312" w:cs="仿宋_GB2312"/>
                <w:sz w:val="21"/>
                <w:szCs w:val="21"/>
              </w:rPr>
            </w:pPr>
          </w:p>
        </w:tc>
        <w:tc>
          <w:tcPr>
            <w:tcW w:w="109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85" w:type="dxa"/>
          </w:tcPr>
          <w:p>
            <w:pPr>
              <w:pStyle w:val="3"/>
              <w:adjustRightInd w:val="0"/>
              <w:snapToGrid w:val="0"/>
              <w:spacing w:before="0" w:after="0" w:line="240" w:lineRule="auto"/>
              <w:rPr>
                <w:rFonts w:ascii="仿宋_GB2312" w:hAnsi="仿宋_GB2312" w:eastAsia="仿宋_GB2312" w:cs="仿宋_GB2312"/>
                <w:sz w:val="21"/>
                <w:szCs w:val="21"/>
              </w:rPr>
            </w:pPr>
          </w:p>
        </w:tc>
        <w:tc>
          <w:tcPr>
            <w:tcW w:w="912" w:type="dxa"/>
          </w:tcPr>
          <w:p>
            <w:pPr>
              <w:pStyle w:val="3"/>
              <w:adjustRightInd w:val="0"/>
              <w:snapToGrid w:val="0"/>
              <w:spacing w:before="0" w:after="0" w:line="240" w:lineRule="auto"/>
              <w:rPr>
                <w:rFonts w:ascii="仿宋_GB2312" w:hAnsi="仿宋_GB2312" w:eastAsia="仿宋_GB2312" w:cs="仿宋_GB2312"/>
                <w:sz w:val="21"/>
                <w:szCs w:val="21"/>
              </w:rPr>
            </w:pPr>
          </w:p>
        </w:tc>
      </w:tr>
    </w:tbl>
    <w:p>
      <w:pPr>
        <w:ind w:right="-630" w:rightChars="-300"/>
        <w:rPr>
          <w:rFonts w:ascii="仿宋_GB2312" w:hAnsi="仿宋_GB2312" w:eastAsia="仿宋_GB2312" w:cs="仿宋_GB2312"/>
        </w:rPr>
      </w:pPr>
      <w:r>
        <w:rPr>
          <w:rFonts w:hint="eastAsia" w:ascii="仿宋_GB2312" w:hAnsi="仿宋_GB2312" w:eastAsia="仿宋_GB2312" w:cs="仿宋_GB2312"/>
        </w:rPr>
        <w:t>注：1、进口产品的制造厂家的授权书（可视具体情况调整至符合性证明材料及符合性审查表中）</w:t>
      </w:r>
    </w:p>
    <w:p>
      <w:pPr>
        <w:ind w:firstLine="420" w:firstLineChars="200"/>
        <w:rPr>
          <w:rFonts w:ascii="仿宋_GB2312" w:hAnsi="仿宋_GB2312" w:eastAsia="仿宋_GB2312" w:cs="仿宋_GB2312"/>
        </w:rPr>
      </w:pPr>
      <w:r>
        <w:rPr>
          <w:rFonts w:hint="eastAsia" w:ascii="仿宋_GB2312" w:hAnsi="仿宋_GB2312" w:eastAsia="仿宋_GB2312" w:cs="仿宋_GB2312"/>
        </w:rPr>
        <w:t>2、《辽宁省创新产品和服务目录》内产品、服务证明材料（可视具体情况调整至符合性证明材料及符合性审查表中）</w:t>
      </w:r>
    </w:p>
    <w:p>
      <w:pPr>
        <w:rPr>
          <w:rFonts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审查人签字： </w:t>
      </w:r>
    </w:p>
    <w:p>
      <w:pPr>
        <w:pStyle w:val="17"/>
        <w:widowControl w:val="0"/>
        <w:snapToGrid w:val="0"/>
        <w:spacing w:before="0" w:beforeAutospacing="0" w:after="0" w:afterAutospacing="0" w:line="480" w:lineRule="auto"/>
        <w:ind w:left="5880" w:hanging="5880" w:hangingChars="2800"/>
        <w:rPr>
          <w:rFonts w:ascii="仿宋_GB2312" w:hAnsi="仿宋_GB2312" w:eastAsia="仿宋_GB2312" w:cs="仿宋_GB2312"/>
          <w:b/>
          <w:sz w:val="21"/>
          <w:szCs w:val="21"/>
        </w:rPr>
      </w:pPr>
      <w:r>
        <w:rPr>
          <w:rFonts w:hint="eastAsia" w:ascii="仿宋_GB2312" w:hAnsi="仿宋_GB2312" w:eastAsia="仿宋_GB2312" w:cs="仿宋_GB2312"/>
          <w:bCs/>
          <w:sz w:val="21"/>
          <w:szCs w:val="21"/>
        </w:rPr>
        <w:t>日      期：</w:t>
      </w:r>
      <w:r>
        <w:rPr>
          <w:rFonts w:hint="eastAsia" w:ascii="仿宋_GB2312" w:hAnsi="仿宋_GB2312" w:eastAsia="仿宋_GB2312" w:cs="仿宋_GB2312"/>
          <w:b/>
          <w:sz w:val="21"/>
          <w:szCs w:val="21"/>
        </w:rPr>
        <w:t xml:space="preserve"> </w:t>
      </w:r>
    </w:p>
    <w:p>
      <w:pPr>
        <w:pStyle w:val="3"/>
        <w:adjustRightInd w:val="0"/>
        <w:snapToGrid w:val="0"/>
        <w:spacing w:before="0" w:after="0" w:line="240" w:lineRule="auto"/>
        <w:jc w:val="left"/>
        <w:rPr>
          <w:rFonts w:ascii="仿宋_GB2312" w:hAnsi="仿宋_GB2312" w:eastAsia="仿宋_GB2312" w:cs="仿宋_GB2312"/>
        </w:rPr>
      </w:pPr>
      <w:r>
        <w:rPr>
          <w:rFonts w:hint="eastAsia" w:ascii="仿宋_GB2312" w:hAnsi="仿宋_GB2312" w:eastAsia="仿宋_GB2312" w:cs="仿宋_GB2312"/>
          <w:szCs w:val="28"/>
        </w:rPr>
        <w:t xml:space="preserve">附件3                   </w:t>
      </w:r>
      <w:r>
        <w:rPr>
          <w:rFonts w:hint="eastAsia" w:ascii="仿宋_GB2312" w:hAnsi="仿宋_GB2312" w:eastAsia="仿宋_GB2312" w:cs="仿宋_GB2312"/>
        </w:rPr>
        <w:t xml:space="preserve"> </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p>
    <w:p>
      <w:pPr>
        <w:adjustRightInd w:val="0"/>
        <w:snapToGrid w:val="0"/>
        <w:spacing w:line="360" w:lineRule="auto"/>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（综合评分法适用）</w:t>
      </w:r>
    </w:p>
    <w:p>
      <w:pPr>
        <w:jc w:val="left"/>
        <w:rPr>
          <w:rFonts w:ascii="仿宋_GB2312" w:hAnsi="仿宋_GB2312" w:eastAsia="仿宋_GB2312" w:cs="仿宋_GB2312"/>
          <w:b/>
          <w:sz w:val="28"/>
          <w:szCs w:val="28"/>
        </w:rPr>
      </w:pPr>
      <w:r>
        <w:rPr>
          <w:rFonts w:hint="eastAsia" w:ascii="仿宋_GB2312" w:hAnsi="仿宋_GB2312" w:eastAsia="仿宋_GB2312" w:cs="仿宋_GB2312"/>
          <w:b/>
          <w:szCs w:val="21"/>
        </w:rPr>
        <w:t>　　（一）基本评分标准</w:t>
      </w:r>
    </w:p>
    <w:sdt>
      <w:sdtPr>
        <w:alias w:val="评分标准和评分细则"/>
        <w:tag w:val="评分标准和评分细则"/>
        <w:id w:val="1216706615"/>
        <w:lock w:val="sdtLocked"/>
      </w:sdtPr>
      <w:sdtEndPr>
        <w:rPr>
          <w:rFonts w:ascii="仿宋" w:hAnsi="仿宋" w:eastAsia="仿宋"/>
          <w:szCs w:val="21"/>
        </w:rPr>
      </w:sdtEndPr>
      <w:sdtContent>
        <w:p>
          <w:pPr>
            <w:spacing w:line="360" w:lineRule="auto"/>
            <w:ind w:firstLine="359" w:firstLineChars="171"/>
            <w:rPr>
              <w:rFonts w:ascii="仿宋" w:hAnsi="仿宋" w:eastAsia="仿宋"/>
              <w:sz w:val="24"/>
            </w:rPr>
          </w:pPr>
          <w:r>
            <w:rPr>
              <w:rFonts w:hint="eastAsia" w:ascii="仿宋" w:hAnsi="仿宋" w:eastAsia="仿宋"/>
              <w:sz w:val="24"/>
            </w:rPr>
            <w:t>附：评分标准及评分细则</w:t>
          </w:r>
        </w:p>
        <w:tbl>
          <w:tblPr>
            <w:tblStyle w:val="19"/>
            <w:tblpPr w:leftFromText="180" w:rightFromText="180" w:vertAnchor="text" w:horzAnchor="margin" w:tblpX="108" w:tblpY="10"/>
            <w:tblW w:w="8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130"/>
            <w:gridCol w:w="4713"/>
            <w:gridCol w:w="704"/>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Lucida Sans Unicode"/>
                    <w:szCs w:val="21"/>
                  </w:rPr>
                </w:pPr>
                <w:r>
                  <w:rPr>
                    <w:rFonts w:hint="eastAsia" w:ascii="仿宋" w:hAnsi="仿宋" w:eastAsia="仿宋" w:cs="Arial"/>
                    <w:szCs w:val="21"/>
                  </w:rPr>
                  <w:fldChar w:fldCharType="begin"/>
                </w:r>
                <w:r>
                  <w:rPr>
                    <w:rFonts w:hint="eastAsia" w:ascii="仿宋" w:hAnsi="仿宋" w:eastAsia="仿宋" w:cs="Arial"/>
                    <w:szCs w:val="21"/>
                  </w:rPr>
                  <w:instrText xml:space="preserve"> DOCPROPERTY  评分标准  \* MERGEFORMAT </w:instrText>
                </w:r>
                <w:r>
                  <w:rPr>
                    <w:rFonts w:hint="eastAsia" w:ascii="仿宋" w:hAnsi="仿宋" w:eastAsia="仿宋" w:cs="Arial"/>
                    <w:szCs w:val="21"/>
                  </w:rPr>
                  <w:fldChar w:fldCharType="separate"/>
                </w:r>
                <w:r>
                  <w:rPr>
                    <w:rFonts w:hint="eastAsia" w:ascii="仿宋" w:hAnsi="仿宋" w:eastAsia="仿宋" w:cs="Arial"/>
                    <w:szCs w:val="21"/>
                  </w:rPr>
                  <w:t>包号</w:t>
                </w:r>
                <w:r>
                  <w:rPr>
                    <w:rFonts w:hint="eastAsia" w:ascii="仿宋" w:hAnsi="仿宋" w:eastAsia="仿宋" w:cs="Arial"/>
                    <w:szCs w:val="21"/>
                  </w:rPr>
                  <w:fldChar w:fldCharType="end"/>
                </w:r>
              </w:p>
            </w:tc>
            <w:sdt>
              <w:sdtPr>
                <w:rPr>
                  <w:rFonts w:hint="eastAsia" w:ascii="仿宋" w:hAnsi="仿宋" w:eastAsia="仿宋"/>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Cs w:val="21"/>
                </w:rPr>
              </w:sdtEndPr>
              <w:sdtContent>
                <w:tc>
                  <w:tcPr>
                    <w:tcW w:w="7655"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Cs w:val="21"/>
                      </w:rPr>
                    </w:pPr>
                    <w:r>
                      <w:rPr>
                        <w:rFonts w:hint="eastAsia" w:ascii="仿宋" w:hAnsi="仿宋" w:eastAsia="仿宋"/>
                        <w:szCs w:val="21"/>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项目</w:t>
                </w:r>
              </w:p>
            </w:tc>
            <w:tc>
              <w:tcPr>
                <w:tcW w:w="113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分项名称</w:t>
                </w:r>
              </w:p>
            </w:tc>
            <w:tc>
              <w:tcPr>
                <w:tcW w:w="471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评分标准</w:t>
                </w:r>
              </w:p>
            </w:tc>
            <w:tc>
              <w:tcPr>
                <w:tcW w:w="70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满分</w:t>
                </w:r>
              </w:p>
            </w:tc>
            <w:tc>
              <w:tcPr>
                <w:tcW w:w="11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价格部分</w:t>
                </w:r>
              </w:p>
            </w:tc>
            <w:tc>
              <w:tcPr>
                <w:tcW w:w="113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价格</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r>
                  <w:rPr>
                    <w:rFonts w:hint="eastAsia" w:ascii="仿宋" w:hAnsi="仿宋" w:eastAsia="仿宋"/>
                    <w:szCs w:val="21"/>
                  </w:rPr>
                  <w:t>⑴ 合理最低报价满分。</w:t>
                </w:r>
              </w:p>
              <w:p>
                <w:pPr>
                  <w:rPr>
                    <w:rFonts w:ascii="仿宋" w:hAnsi="仿宋" w:eastAsia="仿宋"/>
                    <w:szCs w:val="21"/>
                  </w:rPr>
                </w:pPr>
                <w:r>
                  <w:rPr>
                    <w:rFonts w:hint="eastAsia" w:ascii="仿宋" w:hAnsi="仿宋" w:eastAsia="仿宋"/>
                    <w:szCs w:val="21"/>
                  </w:rPr>
                  <w:t>⑵ 供应商报价得分为：</w:t>
                </w:r>
              </w:p>
              <w:p>
                <w:pPr>
                  <w:rPr>
                    <w:rFonts w:ascii="仿宋" w:hAnsi="仿宋" w:eastAsia="仿宋"/>
                    <w:szCs w:val="21"/>
                  </w:rPr>
                </w:pPr>
                <w:r>
                  <w:rPr>
                    <w:rFonts w:hint="eastAsia" w:ascii="仿宋" w:hAnsi="仿宋" w:eastAsia="仿宋"/>
                    <w:szCs w:val="21"/>
                  </w:rPr>
                  <w:t>T=Cmin/C×30</w:t>
                </w:r>
              </w:p>
              <w:p>
                <w:pPr>
                  <w:rPr>
                    <w:rFonts w:ascii="仿宋" w:hAnsi="仿宋" w:eastAsia="仿宋"/>
                    <w:szCs w:val="21"/>
                  </w:rPr>
                </w:pPr>
                <w:r>
                  <w:rPr>
                    <w:rFonts w:hint="eastAsia" w:ascii="仿宋" w:hAnsi="仿宋" w:eastAsia="仿宋"/>
                    <w:szCs w:val="21"/>
                  </w:rPr>
                  <w:t>T为供应商价格部分得分；</w:t>
                </w:r>
              </w:p>
              <w:p>
                <w:pPr>
                  <w:rPr>
                    <w:rFonts w:ascii="仿宋" w:hAnsi="仿宋" w:eastAsia="仿宋"/>
                    <w:szCs w:val="21"/>
                  </w:rPr>
                </w:pPr>
                <w:r>
                  <w:rPr>
                    <w:rFonts w:hint="eastAsia" w:ascii="仿宋" w:hAnsi="仿宋" w:eastAsia="仿宋"/>
                    <w:szCs w:val="21"/>
                  </w:rPr>
                  <w:t>C为供应商报价；</w:t>
                </w:r>
              </w:p>
              <w:p>
                <w:pPr>
                  <w:rPr>
                    <w:rFonts w:ascii="仿宋" w:hAnsi="仿宋" w:eastAsia="仿宋"/>
                    <w:szCs w:val="21"/>
                  </w:rPr>
                </w:pPr>
                <w:r>
                  <w:rPr>
                    <w:rFonts w:hint="eastAsia" w:ascii="仿宋" w:hAnsi="仿宋" w:eastAsia="仿宋"/>
                    <w:szCs w:val="21"/>
                  </w:rPr>
                  <w:t>Cmin为合理最低报价。</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30</w:t>
                </w:r>
              </w:p>
            </w:tc>
            <w:sdt>
              <w:sdtPr>
                <w:rPr>
                  <w:rFonts w:hint="eastAsia" w:ascii="仿宋" w:hAnsi="仿宋" w:eastAsia="仿宋"/>
                  <w:szCs w:val="21"/>
                </w:rPr>
                <w:alias w:val="主观"/>
                <w:tag w:val="主观"/>
                <w:id w:val="-1992159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技术部分</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技术响应程度</w:t>
                </w:r>
              </w:p>
            </w:tc>
            <w:tc>
              <w:tcPr>
                <w:tcW w:w="4713"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根据投标人所投产品的投标响应表，除标★的必须满足项外，其他的技术规格响应情况，每有一项负偏离的扣1分，满分4分，扣完为止。</w:t>
                </w: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4</w:t>
                </w:r>
              </w:p>
            </w:tc>
            <w:sdt>
              <w:sdtPr>
                <w:rPr>
                  <w:rFonts w:hint="eastAsia" w:ascii="仿宋" w:hAnsi="仿宋" w:eastAsia="仿宋"/>
                  <w:szCs w:val="21"/>
                </w:rPr>
                <w:alias w:val="主观"/>
                <w:tag w:val="主观"/>
                <w:id w:val="-69877414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产品的先进性</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控制噪音对教学及办公环境的影响，所投台式计算机（学生）和台式计算机（教师）产品通过噪声试验，噪声声压级≤12dB（A）的，每一个产品提供得2分，最高得4分；（须提供具有相应检测资质的检测机构颁发的检测或检验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sdt>
              <w:sdtPr>
                <w:rPr>
                  <w:rFonts w:hint="eastAsia" w:ascii="仿宋" w:hAnsi="仿宋" w:eastAsia="仿宋"/>
                  <w:szCs w:val="21"/>
                </w:rPr>
                <w:alias w:val="主观"/>
                <w:tag w:val="主观"/>
                <w:id w:val="-1514609672"/>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保证计算机运行的可靠性，所投台式计算机（学生）和台式计算机（教师）产品通过可靠性试验，平均无故障运行时间＞100万小时的，每一个产品提供得2分，最高得4分；（须提供具有相应检测资质的检测机构颁发的检测或检验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sdt>
              <w:sdtPr>
                <w:rPr>
                  <w:rFonts w:hint="eastAsia" w:ascii="仿宋" w:hAnsi="仿宋" w:eastAsia="仿宋"/>
                  <w:szCs w:val="21"/>
                </w:rPr>
                <w:alias w:val="主观"/>
                <w:tag w:val="主观"/>
                <w:id w:val="32817771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保证计算机运行的稳定性，所投台式计算机（学生）和台式计算机（教师）产品通过箱体封闭试验，满足40℃保持2h正常工作的，每一个产品提供得2分，最高得4分；（须提供具有相应检测资质的检测机构颁发的检测或检验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sdt>
              <w:sdtPr>
                <w:rPr>
                  <w:rFonts w:hint="eastAsia" w:ascii="仿宋" w:hAnsi="仿宋" w:eastAsia="仿宋"/>
                  <w:szCs w:val="21"/>
                </w:rPr>
                <w:alias w:val="主观"/>
                <w:tag w:val="主观"/>
                <w:id w:val="132454715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适应营口地区夏季湿热的使用环境，所投台式计算机（学生）和台式计算机（教师）产品通过恒定湿热试验，满足在40℃、93%RH正常运行2小时的，每一个产品提供得2分，最高得4分；（须提供具有相应检测资质的检测机构颁发的检测或检验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sdt>
              <w:sdtPr>
                <w:rPr>
                  <w:rFonts w:hint="eastAsia" w:ascii="仿宋" w:hAnsi="仿宋" w:eastAsia="仿宋"/>
                  <w:szCs w:val="21"/>
                </w:rPr>
                <w:alias w:val="主观"/>
                <w:tag w:val="主观"/>
                <w:id w:val="51202744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保证电压浮动对计算机运行的影响，所投台式计算机（学生）和台式计算机（教师）产品通过恶劣供电试验，支持在90V-265V电压范围内正常工作的，每一个产品提供得2分，最高得4分；（须提供具有相应检测资质的检测机构颁发的检测或检验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sdt>
              <w:sdtPr>
                <w:rPr>
                  <w:rFonts w:hint="eastAsia" w:ascii="仿宋" w:hAnsi="仿宋" w:eastAsia="仿宋"/>
                  <w:szCs w:val="21"/>
                </w:rPr>
                <w:alias w:val="主观"/>
                <w:tag w:val="主观"/>
                <w:id w:val="-1474827246"/>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restart"/>
                <w:tcBorders>
                  <w:top w:val="single" w:color="auto" w:sz="4" w:space="0"/>
                  <w:left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商务部分</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资质认证及业绩</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所投台式计算机（学生）产品制造厂商的客户联络中心运营绩效标准达到钻石五星级的，得2分；（须提供客户联络中心标准委员会颁发的证书复印件并加盖公章）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sdt>
              <w:sdtPr>
                <w:rPr>
                  <w:rFonts w:hint="eastAsia" w:ascii="仿宋" w:hAnsi="仿宋" w:eastAsia="仿宋"/>
                  <w:szCs w:val="21"/>
                </w:rPr>
                <w:alias w:val="主观"/>
                <w:tag w:val="主观"/>
                <w:id w:val="1892773224"/>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所投台式计算机（学生）产品制造厂商通过了4PS联络中心国际标准管理体系认证的，得2分；（须提供4PS联络中心国际标准组织颁发的证书复印件并加盖公章）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sdt>
              <w:sdtPr>
                <w:rPr>
                  <w:rFonts w:hint="eastAsia" w:ascii="仿宋" w:hAnsi="仿宋" w:eastAsia="仿宋"/>
                  <w:szCs w:val="21"/>
                </w:rPr>
                <w:alias w:val="主观"/>
                <w:tag w:val="主观"/>
                <w:id w:val="1340502773"/>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投标人企业通过了ISO9001质量管理体系认证（体系认证适合计算机类系统及运行维护）的，得2分；（</w:t>
                </w:r>
                <w:r>
                  <w:rPr>
                    <w:rFonts w:hint="eastAsia" w:ascii="仿宋" w:hAnsi="仿宋" w:eastAsia="仿宋" w:cs="仿宋"/>
                    <w:szCs w:val="21"/>
                  </w:rPr>
                  <w:t>可在http：//www.cnca.gov.cn国家认证认可监督管理委员会官方网站查询并提供复印件加盖投标人公章。</w:t>
                </w:r>
                <w:r>
                  <w:rPr>
                    <w:rFonts w:hint="eastAsia" w:ascii="仿宋" w:hAnsi="仿宋" w:eastAsia="仿宋" w:cs="仿宋"/>
                    <w:kern w:val="0"/>
                    <w:szCs w:val="21"/>
                    <w:lang w:bidi="ar"/>
                  </w:rPr>
                  <w:t>）</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sdt>
              <w:sdtPr>
                <w:rPr>
                  <w:rFonts w:hint="eastAsia" w:ascii="仿宋" w:hAnsi="仿宋" w:eastAsia="仿宋"/>
                  <w:szCs w:val="21"/>
                </w:rPr>
                <w:alias w:val="主观"/>
                <w:tag w:val="主观"/>
                <w:id w:val="1167441689"/>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投标人企业通过了ISO14001环境管理体系认证（体系认证适合计算机类系统及运行维护）的，得2分；（</w:t>
                </w:r>
                <w:r>
                  <w:rPr>
                    <w:rFonts w:hint="eastAsia" w:ascii="仿宋" w:hAnsi="仿宋" w:eastAsia="仿宋" w:cs="仿宋"/>
                    <w:szCs w:val="21"/>
                  </w:rPr>
                  <w:t>可在http：//www.cnca.gov.cn国家认证认可监督管理委员会官方网站查询并提供复印件加盖投标人公章。</w:t>
                </w:r>
                <w:r>
                  <w:rPr>
                    <w:rFonts w:hint="eastAsia" w:ascii="仿宋" w:hAnsi="仿宋" w:eastAsia="仿宋" w:cs="仿宋"/>
                    <w:kern w:val="0"/>
                    <w:szCs w:val="21"/>
                    <w:lang w:bidi="ar"/>
                  </w:rPr>
                  <w:t>）</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sdt>
              <w:sdtPr>
                <w:rPr>
                  <w:rFonts w:hint="eastAsia" w:ascii="仿宋" w:hAnsi="仿宋" w:eastAsia="仿宋"/>
                  <w:szCs w:val="21"/>
                </w:rPr>
                <w:alias w:val="主观"/>
                <w:tag w:val="主观"/>
                <w:id w:val="61958374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投标人企业通过了ISO45001职业健康安全管理体系认证（体系认证适合计算机类系统及运行维护）的，得2分；（</w:t>
                </w:r>
                <w:r>
                  <w:rPr>
                    <w:rFonts w:hint="eastAsia" w:ascii="仿宋" w:hAnsi="仿宋" w:eastAsia="仿宋" w:cs="仿宋"/>
                    <w:szCs w:val="21"/>
                  </w:rPr>
                  <w:t>可在http：//www.cnca.gov.cn国家认证认可监督管理委员会官方网站查询并提供复印件加盖投标人公章。</w:t>
                </w:r>
                <w:r>
                  <w:rPr>
                    <w:rFonts w:hint="eastAsia" w:ascii="仿宋" w:hAnsi="仿宋" w:eastAsia="仿宋" w:cs="仿宋"/>
                    <w:kern w:val="0"/>
                    <w:szCs w:val="21"/>
                    <w:lang w:bidi="ar"/>
                  </w:rPr>
                  <w:t>）</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sdt>
              <w:sdtPr>
                <w:rPr>
                  <w:rFonts w:hint="eastAsia" w:ascii="仿宋" w:hAnsi="仿宋" w:eastAsia="仿宋"/>
                  <w:szCs w:val="21"/>
                </w:rPr>
                <w:alias w:val="主观"/>
                <w:tag w:val="主观"/>
                <w:id w:val="157733150"/>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投标人企业具有ITSS信息技术服务运行维护资质的，得2分；（须提供证书复印件并加盖公章）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494104661"/>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widowControl/>
                  <w:jc w:val="left"/>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投标人企业在开标之日起2年内具有电脑采购项目类似合同业绩的（合同主体采购内容要求为台式计算机），每提供一份得1分，最高得4分；（须提供采购合同复印件并加盖公章）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63249855"/>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ascii="仿宋" w:hAnsi="仿宋" w:eastAsia="仿宋" w:cs="Arial"/>
                    <w:szCs w:val="21"/>
                  </w:rPr>
                </w:pP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项目实施方案</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为保证项目施工综合管理能力和施工进度，投标人需提供项目组织管理体系及实施进度计划方案。包括明确的管理分工及责任人，主要管理人员需具有项目经理证书，有清晰的落地实施进度计划等内容。</w:t>
                </w:r>
              </w:p>
              <w:p>
                <w:pPr>
                  <w:widowControl/>
                  <w:numPr>
                    <w:ilvl w:val="0"/>
                    <w:numId w:val="2"/>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以上资料全部具备并完整，且实施进度计划在5日以内的，得3分；</w:t>
                </w:r>
              </w:p>
              <w:p>
                <w:pPr>
                  <w:widowControl/>
                  <w:numPr>
                    <w:ilvl w:val="0"/>
                    <w:numId w:val="2"/>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缺失一项资料的，或实施进度计划在10日以内的，得2分；</w:t>
                </w:r>
              </w:p>
              <w:p>
                <w:pPr>
                  <w:widowControl/>
                  <w:numPr>
                    <w:ilvl w:val="0"/>
                    <w:numId w:val="2"/>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缺失二项资料的，或实施进度计划在20日以内的，得1分；</w:t>
                </w:r>
              </w:p>
              <w:p>
                <w:pPr>
                  <w:widowControl/>
                  <w:numPr>
                    <w:ilvl w:val="0"/>
                    <w:numId w:val="2"/>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sdt>
              <w:sdtPr>
                <w:rPr>
                  <w:rFonts w:hint="eastAsia" w:ascii="仿宋" w:hAnsi="仿宋" w:eastAsia="仿宋"/>
                  <w:szCs w:val="21"/>
                </w:rPr>
                <w:alias w:val="主观"/>
                <w:tag w:val="主观"/>
                <w:id w:val="658739061"/>
                <w14:checkbox>
                  <w14:checked w14:val="0"/>
                  <w14:checkedState w14:val="2612" w14:font="MS Gothic"/>
                  <w14:uncheckedState w14:val="2610" w14:font="MS Gothic"/>
                </w14:checkbox>
              </w:sdtPr>
              <w:sdtEndPr>
                <w:rPr>
                  <w:rFonts w:hint="eastAsia" w:ascii="仿宋" w:hAnsi="仿宋" w:eastAsia="仿宋"/>
                  <w:szCs w:val="21"/>
                </w:rPr>
              </w:sdtEndPr>
              <w:sdtContent>
                <w:tc>
                  <w:tcPr>
                    <w:tcW w:w="11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MS Gothic" w:hAnsi="MS Gothic" w:eastAsia="MS Gothic"/>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为保证设备在安装过程中施工人员的数量和专业性，投标人需提供人力资源配置规划方案。包括配置人员岗位、姓名、电话、身份证号码、专业职称证书（不可单人兼证），人员使用规划方案等内容。（须提供专业人员职称证书和对应的专业人员在投标人企业至少工作满一个月的社保证明复印件并加盖公章）</w:t>
                </w:r>
              </w:p>
              <w:p>
                <w:pPr>
                  <w:widowControl/>
                  <w:numPr>
                    <w:ilvl w:val="0"/>
                    <w:numId w:val="3"/>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以上资料全部具备并完整，且持证专业人员投入数量不低于15人的，得3分；</w:t>
                </w:r>
              </w:p>
              <w:p>
                <w:pPr>
                  <w:widowControl/>
                  <w:numPr>
                    <w:ilvl w:val="0"/>
                    <w:numId w:val="3"/>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缺失一项资料的，或持证专业人员投入数量为8-14人的，得2分；</w:t>
                </w:r>
              </w:p>
              <w:p>
                <w:pPr>
                  <w:widowControl/>
                  <w:numPr>
                    <w:ilvl w:val="0"/>
                    <w:numId w:val="3"/>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缺失二项资料的，或持证专业人员投入数量为1-7人的，得1分；</w:t>
                </w:r>
              </w:p>
              <w:p>
                <w:pPr>
                  <w:widowControl/>
                  <w:numPr>
                    <w:ilvl w:val="0"/>
                    <w:numId w:val="3"/>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szCs w:val="21"/>
                  </w:rPr>
                  <w:t>3</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739439695"/>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为保证项目实施安装过程中的整洁度，投标人需提供文明施工组织计划。包含成品保护管理措施、文明施工现场管理方案、文明施工保护措施等内容。</w:t>
                </w:r>
              </w:p>
              <w:p>
                <w:pPr>
                  <w:widowControl/>
                  <w:numPr>
                    <w:ilvl w:val="0"/>
                    <w:numId w:val="10"/>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以上资料全部具备并完整，且具有实操性的，得3分；</w:t>
                </w:r>
              </w:p>
              <w:p>
                <w:pPr>
                  <w:widowControl/>
                  <w:numPr>
                    <w:ilvl w:val="0"/>
                    <w:numId w:val="10"/>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缺失一项资料的，或内容描述不够完整的，得2分；</w:t>
                </w:r>
              </w:p>
              <w:p>
                <w:pPr>
                  <w:widowControl/>
                  <w:numPr>
                    <w:ilvl w:val="0"/>
                    <w:numId w:val="10"/>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缺失二项资料的，或内容描述难以实施的，得1分；</w:t>
                </w:r>
              </w:p>
              <w:p>
                <w:pPr>
                  <w:widowControl/>
                  <w:numPr>
                    <w:ilvl w:val="0"/>
                    <w:numId w:val="10"/>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318493293"/>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right w:val="single" w:color="auto" w:sz="4" w:space="0"/>
                </w:tcBorders>
                <w:vAlign w:val="center"/>
              </w:tcPr>
              <w:p>
                <w:pPr>
                  <w:snapToGrid w:val="0"/>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为保证项目实施过程中对突发事件的掌控能力，投标人需提供应急服务方案。包含应急预案、应急预案处理措施、应急人员组织安排、应急服务方案等内容。</w:t>
                </w:r>
              </w:p>
              <w:p>
                <w:pPr>
                  <w:widowControl/>
                  <w:numPr>
                    <w:ilvl w:val="0"/>
                    <w:numId w:val="5"/>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以上资料全部具备并完整，且具有实操性的，得3分；</w:t>
                </w:r>
              </w:p>
              <w:p>
                <w:pPr>
                  <w:widowControl/>
                  <w:numPr>
                    <w:ilvl w:val="0"/>
                    <w:numId w:val="5"/>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缺失一项资料的，或内容描述不够完整的，得2分；</w:t>
                </w:r>
              </w:p>
              <w:p>
                <w:pPr>
                  <w:widowControl/>
                  <w:numPr>
                    <w:ilvl w:val="0"/>
                    <w:numId w:val="5"/>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缺失二项资料的，或内容描述难以实施的，得1分；</w:t>
                </w:r>
              </w:p>
              <w:p>
                <w:pPr>
                  <w:widowControl/>
                  <w:numPr>
                    <w:ilvl w:val="0"/>
                    <w:numId w:val="5"/>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51043900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left w:val="single" w:color="auto" w:sz="4" w:space="0"/>
                  <w:bottom w:val="single" w:color="auto" w:sz="4" w:space="0"/>
                  <w:right w:val="single" w:color="auto" w:sz="4" w:space="0"/>
                </w:tcBorders>
                <w:vAlign w:val="center"/>
              </w:tcPr>
              <w:p>
                <w:pPr>
                  <w:snapToGrid w:val="0"/>
                  <w:rPr>
                    <w:rFonts w:ascii="仿宋" w:hAnsi="仿宋" w:eastAsia="仿宋" w:cs="Arial"/>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为保证设备安装的质量水平，投标人需提供质量保证体系。包含施工过程管理措施、施工工序、材料和配件质量等内容。</w:t>
                </w:r>
              </w:p>
              <w:p>
                <w:pPr>
                  <w:widowControl/>
                  <w:numPr>
                    <w:ilvl w:val="0"/>
                    <w:numId w:val="6"/>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以上资料全部具备并完整，且具有实操性的，得3分；</w:t>
                </w:r>
              </w:p>
              <w:p>
                <w:pPr>
                  <w:widowControl/>
                  <w:numPr>
                    <w:ilvl w:val="0"/>
                    <w:numId w:val="6"/>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缺失一项资料的，或内容描述不够完整的，得2分；</w:t>
                </w:r>
              </w:p>
              <w:p>
                <w:pPr>
                  <w:widowControl/>
                  <w:numPr>
                    <w:ilvl w:val="0"/>
                    <w:numId w:val="6"/>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缺失二项资料的，或内容描述难以实施的，得1分；</w:t>
                </w:r>
              </w:p>
              <w:p>
                <w:pPr>
                  <w:widowControl/>
                  <w:numPr>
                    <w:ilvl w:val="0"/>
                    <w:numId w:val="6"/>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331280226"/>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服务人员能力</w:t>
                </w:r>
              </w:p>
            </w:tc>
            <w:tc>
              <w:tcPr>
                <w:tcW w:w="11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服务人员能力</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投标人企业的售后技术服务人员具有计算机类工程师证书的，每人每证（不可单人兼证）得1分，满分得5分；（须提供技术人员职称证书和对应的技术人员在投标人企业至少工作满一个月的社保证明复印件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957833831"/>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Cs w:val="21"/>
                  </w:rPr>
                </w:pPr>
                <w:r>
                  <w:rPr>
                    <w:rFonts w:hint="eastAsia" w:ascii="仿宋" w:hAnsi="仿宋" w:eastAsia="仿宋"/>
                    <w:szCs w:val="21"/>
                  </w:rPr>
                  <w:t>售后服务方案</w:t>
                </w:r>
              </w:p>
            </w:tc>
            <w:tc>
              <w:tcPr>
                <w:tcW w:w="11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售后服务方案</w:t>
                </w: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szCs w:val="21"/>
                  </w:rPr>
                </w:pPr>
                <w:r>
                  <w:rPr>
                    <w:rFonts w:hint="eastAsia" w:ascii="仿宋" w:hAnsi="仿宋" w:eastAsia="仿宋" w:cs="仿宋"/>
                    <w:kern w:val="0"/>
                    <w:szCs w:val="21"/>
                    <w:lang w:bidi="ar"/>
                  </w:rPr>
                  <w:t>为响应国家环保要求，所投台式计算机（学生）产品制造厂商具备IT老旧资产环保回收处置服务能力的，得2分；（须提供官网截图证明材料并加盖公章）</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1060934525"/>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投标人需提供售后服务体系方案。包括售后服务组织机构、售后服务流程、人员培训计划、设备定期巡检制度、设备质量保证期等内容。</w:t>
                </w:r>
              </w:p>
              <w:p>
                <w:pPr>
                  <w:widowControl/>
                  <w:numPr>
                    <w:ilvl w:val="0"/>
                    <w:numId w:val="7"/>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以上资料全部具备并完整，且质量保证期不低于3年的，得2分；</w:t>
                </w:r>
              </w:p>
              <w:p>
                <w:pPr>
                  <w:widowControl/>
                  <w:numPr>
                    <w:ilvl w:val="0"/>
                    <w:numId w:val="7"/>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缺失一项资料的，或质量保证期不低于2年的，得1分；</w:t>
                </w:r>
              </w:p>
              <w:p>
                <w:pPr>
                  <w:widowControl/>
                  <w:numPr>
                    <w:ilvl w:val="0"/>
                    <w:numId w:val="7"/>
                  </w:numPr>
                  <w:jc w:val="left"/>
                  <w:textAlignment w:val="center"/>
                  <w:rPr>
                    <w:rFonts w:ascii="仿宋" w:hAnsi="仿宋" w:eastAsia="仿宋" w:cs="仿宋"/>
                    <w:szCs w:val="21"/>
                  </w:rPr>
                </w:pPr>
                <w:r>
                  <w:rPr>
                    <w:rFonts w:hint="eastAsia" w:ascii="仿宋" w:hAnsi="仿宋" w:eastAsia="仿宋" w:cs="仿宋"/>
                    <w:kern w:val="0"/>
                    <w:szCs w:val="21"/>
                    <w:lang w:bidi="ar"/>
                  </w:rPr>
                  <w:t>缺失二项资料的，不得分。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938568129"/>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投标人需提供售后响应及维护体系方案。包括响应时间、到达现场时间、解决问题时间和维护体系方案等内容。</w:t>
                </w:r>
              </w:p>
              <w:p>
                <w:pPr>
                  <w:widowControl/>
                  <w:numPr>
                    <w:ilvl w:val="0"/>
                    <w:numId w:val="8"/>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以上资料全部具备并完整，且到达现场时间在1小时以内的，得2分；</w:t>
                </w:r>
              </w:p>
              <w:p>
                <w:pPr>
                  <w:widowControl/>
                  <w:numPr>
                    <w:ilvl w:val="0"/>
                    <w:numId w:val="8"/>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缺失一项资料的，或到达现场时间在1小时以上的，得1分；</w:t>
                </w:r>
              </w:p>
              <w:p>
                <w:pPr>
                  <w:widowControl/>
                  <w:numPr>
                    <w:ilvl w:val="0"/>
                    <w:numId w:val="8"/>
                  </w:numPr>
                  <w:jc w:val="left"/>
                  <w:textAlignment w:val="center"/>
                  <w:rPr>
                    <w:rFonts w:ascii="仿宋" w:hAnsi="仿宋" w:eastAsia="仿宋" w:cs="仿宋"/>
                    <w:szCs w:val="21"/>
                  </w:rPr>
                </w:pPr>
                <w:r>
                  <w:rPr>
                    <w:rFonts w:hint="eastAsia" w:ascii="仿宋" w:hAnsi="仿宋" w:eastAsia="仿宋" w:cs="仿宋"/>
                    <w:kern w:val="0"/>
                    <w:szCs w:val="21"/>
                    <w:lang w:bidi="ar"/>
                  </w:rPr>
                  <w:t>缺失二项资料的，不得分。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2012016288"/>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投标人需提供售后应急处理方案。包括备用设备种类、数量、售后应急技术人员能力、处理程序、处理方案等内容。</w:t>
                </w:r>
              </w:p>
              <w:p>
                <w:pPr>
                  <w:widowControl/>
                  <w:numPr>
                    <w:ilvl w:val="0"/>
                    <w:numId w:val="11"/>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以上资料全部具备并完整，且备用数量达到20台以上的，得2分；</w:t>
                </w:r>
              </w:p>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2. 缺失一项资料的，或备用数量在20台以内的，得1分；</w:t>
                </w:r>
              </w:p>
              <w:p>
                <w:pPr>
                  <w:widowControl/>
                  <w:jc w:val="left"/>
                  <w:textAlignment w:val="center"/>
                  <w:rPr>
                    <w:rFonts w:ascii="仿宋" w:hAnsi="仿宋" w:eastAsia="仿宋" w:cs="仿宋"/>
                    <w:szCs w:val="21"/>
                  </w:rPr>
                </w:pPr>
                <w:r>
                  <w:rPr>
                    <w:rFonts w:hint="eastAsia" w:ascii="仿宋" w:hAnsi="仿宋" w:eastAsia="仿宋" w:cs="仿宋"/>
                    <w:kern w:val="0"/>
                    <w:szCs w:val="21"/>
                    <w:lang w:bidi="ar"/>
                  </w:rPr>
                  <w:t>3. 缺失二项资料的，或不提供备用机的，不得分。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631020641"/>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11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47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投标人可以对所供设备在统一监测管理方面提供良好的措施和解决方案。</w:t>
                </w:r>
              </w:p>
              <w:p>
                <w:pPr>
                  <w:widowControl/>
                  <w:numPr>
                    <w:ilvl w:val="0"/>
                    <w:numId w:val="4"/>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可提供正版监测管理软件（具备软著）及方案，且提供实时现场工作人员的，得2分；</w:t>
                </w:r>
              </w:p>
              <w:p>
                <w:pPr>
                  <w:widowControl/>
                  <w:numPr>
                    <w:ilvl w:val="0"/>
                    <w:numId w:val="4"/>
                  </w:numPr>
                  <w:jc w:val="left"/>
                  <w:textAlignment w:val="center"/>
                  <w:rPr>
                    <w:rFonts w:ascii="仿宋" w:hAnsi="仿宋" w:eastAsia="仿宋" w:cs="仿宋"/>
                    <w:kern w:val="0"/>
                    <w:szCs w:val="21"/>
                    <w:lang w:bidi="ar"/>
                  </w:rPr>
                </w:pPr>
                <w:r>
                  <w:rPr>
                    <w:rFonts w:hint="eastAsia" w:ascii="仿宋" w:hAnsi="仿宋" w:eastAsia="仿宋" w:cs="仿宋"/>
                    <w:kern w:val="0"/>
                    <w:szCs w:val="21"/>
                    <w:lang w:bidi="ar"/>
                  </w:rPr>
                  <w:t>可提供正版监测管理软件（具备软著）及方案的，得1分；</w:t>
                </w:r>
              </w:p>
              <w:p>
                <w:pPr>
                  <w:widowControl/>
                  <w:numPr>
                    <w:ilvl w:val="0"/>
                    <w:numId w:val="4"/>
                  </w:numPr>
                  <w:jc w:val="left"/>
                  <w:textAlignment w:val="center"/>
                  <w:rPr>
                    <w:rFonts w:ascii="仿宋" w:hAnsi="仿宋" w:eastAsia="仿宋" w:cs="仿宋"/>
                    <w:szCs w:val="21"/>
                  </w:rPr>
                </w:pPr>
                <w:r>
                  <w:rPr>
                    <w:rFonts w:hint="eastAsia" w:ascii="仿宋" w:hAnsi="仿宋" w:eastAsia="仿宋" w:cs="仿宋"/>
                    <w:kern w:val="0"/>
                    <w:szCs w:val="21"/>
                    <w:lang w:bidi="ar"/>
                  </w:rPr>
                  <w:t>不提供不得分。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108" w:type="dxa"/>
                <w:tcBorders>
                  <w:top w:val="single" w:color="auto" w:sz="4" w:space="0"/>
                  <w:left w:val="single" w:color="auto" w:sz="4" w:space="0"/>
                  <w:bottom w:val="single" w:color="auto" w:sz="4" w:space="0"/>
                  <w:right w:val="single" w:color="auto" w:sz="4" w:space="0"/>
                </w:tcBorders>
                <w:vAlign w:val="center"/>
              </w:tcPr>
              <w:sdt>
                <w:sdtPr>
                  <w:rPr>
                    <w:rFonts w:hint="eastAsia" w:ascii="仿宋" w:hAnsi="仿宋" w:eastAsia="仿宋"/>
                    <w:szCs w:val="21"/>
                  </w:rPr>
                  <w:alias w:val="主观"/>
                  <w:tag w:val="主观"/>
                  <w:id w:val="543022213"/>
                  <w14:checkbox>
                    <w14:checked w14:val="0"/>
                    <w14:checkedState w14:val="2612" w14:font="MS Gothic"/>
                    <w14:uncheckedState w14:val="2610" w14:font="MS Gothic"/>
                  </w14:checkbox>
                </w:sdtPr>
                <w:sdtEndPr>
                  <w:rPr>
                    <w:rFonts w:hint="eastAsia" w:ascii="仿宋" w:hAnsi="仿宋" w:eastAsia="仿宋"/>
                    <w:szCs w:val="21"/>
                  </w:rPr>
                </w:sdtEndPr>
                <w:sdtContent>
                  <w:p>
                    <w:pPr>
                      <w:jc w:val="center"/>
                      <w:rPr>
                        <w:rFonts w:ascii="仿宋" w:hAnsi="仿宋" w:eastAsia="仿宋"/>
                        <w:szCs w:val="21"/>
                      </w:rPr>
                    </w:pPr>
                    <w:r>
                      <w:rPr>
                        <w:rFonts w:hint="eastAsia" w:ascii="MS Gothic" w:hAnsi="MS Gothic" w:eastAsia="MS Gothic"/>
                        <w:szCs w:val="21"/>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240"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cs="Arial"/>
                    <w:szCs w:val="21"/>
                  </w:rPr>
                </w:pPr>
                <w:r>
                  <w:rPr>
                    <w:rFonts w:hint="eastAsia" w:ascii="仿宋" w:hAnsi="仿宋" w:eastAsia="仿宋" w:cs="Arial"/>
                    <w:szCs w:val="21"/>
                  </w:rPr>
                  <w:t>合  计</w:t>
                </w: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w:t>
                </w:r>
              </w:p>
            </w:tc>
            <w:tc>
              <w:tcPr>
                <w:tcW w:w="471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c>
              <w:tcPr>
                <w:tcW w:w="70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Cs w:val="21"/>
                  </w:rPr>
                </w:pPr>
                <w:r>
                  <w:rPr>
                    <w:rFonts w:hint="eastAsia" w:ascii="仿宋" w:hAnsi="仿宋" w:eastAsia="仿宋"/>
                    <w:szCs w:val="21"/>
                  </w:rPr>
                  <w:t>100</w:t>
                </w:r>
              </w:p>
            </w:tc>
            <w:tc>
              <w:tcPr>
                <w:tcW w:w="110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rPr>
                </w:pPr>
              </w:p>
            </w:tc>
          </w:tr>
        </w:tbl>
        <w:p>
          <w:pPr>
            <w:spacing w:line="360" w:lineRule="auto"/>
            <w:ind w:firstLine="420" w:firstLineChars="200"/>
            <w:rPr>
              <w:rFonts w:ascii="仿宋" w:hAnsi="仿宋" w:eastAsia="仿宋"/>
              <w:szCs w:val="21"/>
            </w:rPr>
          </w:pPr>
        </w:p>
      </w:sdtContent>
    </w:sdt>
    <w:p>
      <w:pPr>
        <w:widowControl/>
        <w:shd w:val="clear" w:color="auto" w:fill="FFFFFF"/>
        <w:spacing w:line="240" w:lineRule="exact"/>
        <w:jc w:val="left"/>
        <w:rPr>
          <w:rFonts w:ascii="仿宋_GB2312" w:hAnsi="仿宋_GB2312" w:eastAsia="仿宋_GB2312" w:cs="仿宋_GB2312"/>
          <w:color w:val="383838"/>
          <w:kern w:val="0"/>
          <w:szCs w:val="21"/>
        </w:rPr>
      </w:pPr>
    </w:p>
    <w:p>
      <w:pPr>
        <w:widowControl/>
        <w:shd w:val="clear" w:color="auto" w:fill="FFFFFF"/>
        <w:spacing w:line="240" w:lineRule="exact"/>
        <w:jc w:val="left"/>
        <w:rPr>
          <w:rFonts w:ascii="仿宋_GB2312" w:hAnsi="仿宋_GB2312" w:eastAsia="仿宋_GB2312" w:cs="仿宋_GB2312"/>
          <w:kern w:val="0"/>
          <w:szCs w:val="21"/>
        </w:rPr>
      </w:pPr>
    </w:p>
    <w:p>
      <w:pPr>
        <w:numPr>
          <w:ilvl w:val="0"/>
          <w:numId w:val="11"/>
        </w:numPr>
        <w:ind w:left="842" w:hanging="422"/>
        <w:rPr>
          <w:rFonts w:ascii="仿宋_GB2312" w:hAnsi="仿宋_GB2312" w:eastAsia="仿宋_GB2312" w:cs="仿宋_GB2312"/>
          <w:b/>
          <w:szCs w:val="21"/>
        </w:rPr>
      </w:pPr>
      <w:r>
        <w:rPr>
          <w:rFonts w:hint="eastAsia" w:ascii="仿宋_GB2312" w:hAnsi="仿宋_GB2312" w:eastAsia="仿宋_GB2312" w:cs="仿宋_GB2312"/>
          <w:b/>
          <w:szCs w:val="21"/>
        </w:rPr>
        <w:t>加分项评分标准</w:t>
      </w:r>
    </w:p>
    <w:tbl>
      <w:tblPr>
        <w:tblStyle w:val="19"/>
        <w:tblW w:w="8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因素</w:t>
            </w:r>
          </w:p>
        </w:tc>
        <w:tc>
          <w:tcPr>
            <w:tcW w:w="75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节能</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kern w:val="0"/>
                <w:szCs w:val="21"/>
                <w:u w:val="single"/>
              </w:rPr>
              <w:t>5</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节能产品加分＝（节能产品投标报价之和/投标总价）×价格部分总分值×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产品</w:t>
            </w:r>
          </w:p>
        </w:tc>
        <w:tc>
          <w:tcPr>
            <w:tcW w:w="7591"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对于清单中的投标产品价格给予价格部分总分值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%的加分，计算公式如下：</w:t>
            </w:r>
          </w:p>
          <w:p>
            <w:pPr>
              <w:rPr>
                <w:rFonts w:ascii="仿宋_GB2312" w:hAnsi="仿宋_GB2312" w:eastAsia="仿宋_GB2312" w:cs="仿宋_GB2312"/>
                <w:szCs w:val="21"/>
              </w:rPr>
            </w:pPr>
            <w:r>
              <w:rPr>
                <w:rFonts w:hint="eastAsia" w:ascii="仿宋_GB2312" w:hAnsi="仿宋_GB2312" w:eastAsia="仿宋_GB2312" w:cs="仿宋_GB2312"/>
                <w:szCs w:val="21"/>
              </w:rPr>
              <w:t>环保产品加分＝（环保产品投标报价之和/投标总价）×价格部分总分值×</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w:t>
            </w:r>
          </w:p>
        </w:tc>
      </w:tr>
    </w:tbl>
    <w:p>
      <w:pPr>
        <w:widowControl/>
        <w:jc w:val="left"/>
      </w:pPr>
    </w:p>
    <w:p>
      <w:pPr>
        <w:widowControl/>
        <w:jc w:val="left"/>
      </w:pPr>
      <w:r>
        <w:br w:type="page"/>
      </w:r>
    </w:p>
    <w:p>
      <w:pPr>
        <w:pStyle w:val="2"/>
        <w:adjustRightInd w:val="0"/>
        <w:snapToGrid w:val="0"/>
        <w:spacing w:before="312" w:beforeLines="100" w:after="312" w:afterLines="100"/>
        <w:jc w:val="center"/>
        <w:rPr>
          <w:rFonts w:ascii="仿宋_GB2312" w:hAnsi="仿宋_GB2312" w:eastAsia="仿宋_GB2312" w:cs="仿宋_GB2312"/>
        </w:rPr>
      </w:pPr>
      <w:bookmarkStart w:id="139" w:name="_Toc19588"/>
      <w:r>
        <w:rPr>
          <w:rFonts w:hint="eastAsia" w:ascii="仿宋_GB2312" w:hAnsi="仿宋_GB2312" w:eastAsia="仿宋_GB2312" w:cs="仿宋_GB2312"/>
        </w:rPr>
        <w:t>第五章 政府采购合同条款及格式</w:t>
      </w:r>
      <w:bookmarkEnd w:id="139"/>
    </w:p>
    <w:p>
      <w:pPr>
        <w:pStyle w:val="3"/>
        <w:adjustRightInd w:val="0"/>
        <w:snapToGrid w:val="0"/>
        <w:spacing w:before="0" w:after="0" w:line="240" w:lineRule="auto"/>
        <w:jc w:val="left"/>
        <w:rPr>
          <w:rFonts w:ascii="仿宋_GB2312" w:hAnsi="仿宋_GB2312" w:eastAsia="仿宋_GB2312" w:cs="仿宋_GB2312"/>
          <w:szCs w:val="28"/>
        </w:rPr>
      </w:pPr>
      <w:r>
        <w:rPr>
          <w:rFonts w:hint="eastAsia" w:ascii="仿宋_GB2312" w:hAnsi="仿宋_GB2312" w:eastAsia="仿宋_GB2312" w:cs="仿宋_GB2312"/>
          <w:szCs w:val="28"/>
        </w:rPr>
        <w:t>合同条款</w:t>
      </w:r>
    </w:p>
    <w:p>
      <w:pPr>
        <w:spacing w:before="312" w:beforeLines="100" w:after="312" w:afterLines="100" w:line="480" w:lineRule="exact"/>
        <w:jc w:val="center"/>
        <w:rPr>
          <w:rFonts w:ascii="仿宋_GB2312" w:hAnsi="仿宋_GB2312" w:eastAsia="仿宋_GB2312" w:cs="仿宋_GB2312"/>
          <w:b/>
          <w:sz w:val="44"/>
          <w:szCs w:val="44"/>
        </w:rPr>
      </w:pPr>
      <w:bookmarkStart w:id="140" w:name="_Toc30224_WPSOffice_Level1"/>
      <w:r>
        <w:rPr>
          <w:rFonts w:hint="eastAsia" w:ascii="仿宋_GB2312" w:hAnsi="仿宋_GB2312" w:eastAsia="仿宋_GB2312" w:cs="仿宋_GB2312"/>
          <w:b/>
          <w:sz w:val="44"/>
          <w:szCs w:val="44"/>
        </w:rPr>
        <w:t>政府采购合同条款</w:t>
      </w:r>
      <w:bookmarkEnd w:id="140"/>
    </w:p>
    <w:p>
      <w:pPr>
        <w:wordWrap w:val="0"/>
        <w:adjustRightInd w:val="0"/>
        <w:snapToGrid w:val="0"/>
        <w:spacing w:line="360" w:lineRule="auto"/>
        <w:jc w:val="right"/>
        <w:rPr>
          <w:rFonts w:ascii="仿宋_GB2312" w:hAnsi="仿宋_GB2312" w:eastAsia="仿宋_GB2312" w:cs="仿宋_GB2312"/>
          <w:szCs w:val="21"/>
        </w:rPr>
      </w:pPr>
    </w:p>
    <w:p>
      <w:pPr>
        <w:adjustRightInd w:val="0"/>
        <w:snapToGrid w:val="0"/>
        <w:spacing w:line="360" w:lineRule="auto"/>
        <w:ind w:firstLine="413" w:firstLineChars="196"/>
        <w:rPr>
          <w:rFonts w:ascii="仿宋_GB2312" w:hAnsi="宋体" w:eastAsia="仿宋_GB2312"/>
          <w:b/>
          <w:bCs/>
          <w:szCs w:val="21"/>
        </w:rPr>
      </w:pPr>
      <w:bookmarkStart w:id="141" w:name="_Toc25596_WPSOffice_Level1"/>
      <w:bookmarkStart w:id="142" w:name="_Toc10117_WPSOffice_Level1"/>
      <w:bookmarkStart w:id="143" w:name="_Toc398_WPSOffice_Level1"/>
      <w:r>
        <w:rPr>
          <w:rFonts w:hint="eastAsia" w:ascii="仿宋_GB2312" w:hAnsi="宋体" w:eastAsia="仿宋_GB2312"/>
          <w:b/>
          <w:bCs/>
          <w:szCs w:val="21"/>
        </w:rPr>
        <w:t>1.术语定义</w:t>
      </w:r>
      <w:bookmarkEnd w:id="141"/>
      <w:bookmarkEnd w:id="142"/>
      <w:bookmarkEnd w:id="14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本政府采购合同下列术语应解释为：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1.1“政府采购合同”指供需双方依照政府采购程序、按照招标文件、投标文件确定的事项所达成的协议，包括附件、附录和上述文件所提到的构成政府采购合同的所有文件。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1.2“政府采购合同价”指根据合同约定供方在正确地完全履行政府采购合同义务后，需方应支付给供方的价格。</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1.5“需方”指项目基本内容及要求中所述取得货物和服务的采购人。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1.6“供方”指项目基本内容及要求中所述提供产品和服务的中标人。</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1.7“检验”指需方或者需方的最终用户收货后，按照本政府采购合同约定的标准对政府采购合同货物进行的检测与查验。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1.8“验收书”指需方对供方履行政府采购合同情况及结果进行现场检验和评估意见的文件。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1.9“技术资料”指安装、调试、使用、维修政府采购合同货物所应具备的产品使用说明书和、或使用指南、操作手册、维修指南、服务手册、电路图、产品演示等文件及音像资料。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1.10“保修期”指自验收书签署之日起，供方以自担费用方式保证政府采购合同货物正常运行的时期。</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1.11“第三人”是指本政府采购合同双方以外的任何中国境内外的自然人、法人或其它经济组织。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1.12“法律、法规”是指由中国各级政府及有关部门制定的法律、行政法规、地方性法规、规章及其它规范性文件的有关规定。</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1.13“招标文件”指采购人或者采购代理机构发布的招标文件。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1.14“投标文件”指供方按照采购代理机构招标文件的要求编制和递交，并最终被评标委员会接受的投标文件。</w:t>
      </w:r>
    </w:p>
    <w:p>
      <w:bookmarkStart w:id="144" w:name="_Toc29737_WPSOffice_Level1"/>
      <w:bookmarkStart w:id="145" w:name="_Toc750_WPSOffice_Level1"/>
      <w:bookmarkStart w:id="146" w:name="_Toc22454_WPSOffice_Level1"/>
      <w:r>
        <w:rPr>
          <w:rFonts w:hint="eastAsia"/>
        </w:rPr>
        <w:t>2.技术指标</w:t>
      </w:r>
      <w:bookmarkEnd w:id="144"/>
      <w:bookmarkEnd w:id="145"/>
      <w:bookmarkEnd w:id="14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2.1交付产品的技术指标应与招标文件规定的技术指标要求及投标文件中的“技术规格偏离表及商务条款偏离表”的承诺内容相一致。</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2.2 除技术指标另有规定外，计量单位应该使用公制。</w:t>
      </w:r>
    </w:p>
    <w:p>
      <w:pPr>
        <w:adjustRightInd w:val="0"/>
        <w:snapToGrid w:val="0"/>
        <w:spacing w:line="360" w:lineRule="auto"/>
        <w:ind w:firstLine="413" w:firstLineChars="196"/>
        <w:rPr>
          <w:rFonts w:ascii="仿宋_GB2312" w:hAnsi="宋体" w:eastAsia="仿宋_GB2312"/>
          <w:b/>
          <w:szCs w:val="21"/>
        </w:rPr>
      </w:pPr>
      <w:bookmarkStart w:id="147" w:name="_Toc19640_WPSOffice_Level1"/>
      <w:bookmarkStart w:id="148" w:name="_Toc17648_WPSOffice_Level1"/>
      <w:bookmarkStart w:id="149" w:name="_Toc1538_WPSOffice_Level1"/>
      <w:r>
        <w:rPr>
          <w:rFonts w:hint="eastAsia" w:ascii="仿宋_GB2312" w:hAnsi="宋体" w:eastAsia="仿宋_GB2312"/>
          <w:b/>
          <w:szCs w:val="21"/>
        </w:rPr>
        <w:t>3.交货</w:t>
      </w:r>
      <w:bookmarkEnd w:id="147"/>
      <w:bookmarkEnd w:id="148"/>
      <w:bookmarkEnd w:id="14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3.1供方按照合同约定的时间、地点交货</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3.2供方交货的同时应提交下列文件：销售发票，制造厂商出具的质量检验证书、产品合格证以及招标文件、投标文件确定供方应随货物同时提供的其他资料。</w:t>
      </w:r>
    </w:p>
    <w:p>
      <w:pPr>
        <w:adjustRightInd w:val="0"/>
        <w:snapToGrid w:val="0"/>
        <w:spacing w:line="360" w:lineRule="auto"/>
        <w:ind w:firstLine="413" w:firstLineChars="196"/>
        <w:rPr>
          <w:rFonts w:ascii="仿宋_GB2312" w:hAnsi="宋体" w:eastAsia="仿宋_GB2312"/>
          <w:b/>
          <w:szCs w:val="21"/>
        </w:rPr>
      </w:pPr>
      <w:bookmarkStart w:id="150" w:name="_Toc11745_WPSOffice_Level1"/>
      <w:bookmarkStart w:id="151" w:name="_Toc15048_WPSOffice_Level1"/>
      <w:bookmarkStart w:id="152" w:name="_Toc1266_WPSOffice_Level1"/>
      <w:r>
        <w:rPr>
          <w:rFonts w:hint="eastAsia" w:ascii="仿宋_GB2312" w:hAnsi="宋体" w:eastAsia="仿宋_GB2312"/>
          <w:b/>
          <w:szCs w:val="21"/>
        </w:rPr>
        <w:t>4.合同金额</w:t>
      </w:r>
      <w:bookmarkEnd w:id="150"/>
      <w:bookmarkEnd w:id="151"/>
      <w:bookmarkEnd w:id="152"/>
    </w:p>
    <w:p>
      <w:pPr>
        <w:adjustRightInd w:val="0"/>
        <w:snapToGrid w:val="0"/>
        <w:spacing w:line="360" w:lineRule="auto"/>
        <w:ind w:firstLine="411" w:firstLineChars="196"/>
        <w:rPr>
          <w:rFonts w:ascii="仿宋_GB2312" w:hAnsi="宋体" w:eastAsia="仿宋_GB2312"/>
          <w:b/>
          <w:szCs w:val="21"/>
        </w:rPr>
      </w:pPr>
      <w:r>
        <w:rPr>
          <w:rFonts w:hint="eastAsia" w:ascii="仿宋_GB2312" w:hAnsi="宋体" w:eastAsia="仿宋_GB2312"/>
          <w:szCs w:val="21"/>
        </w:rPr>
        <w:t>根据政府采购合同文件要求，确定政府采购合同的总金额。</w:t>
      </w:r>
    </w:p>
    <w:p>
      <w:pPr>
        <w:adjustRightInd w:val="0"/>
        <w:snapToGrid w:val="0"/>
        <w:spacing w:line="360" w:lineRule="auto"/>
        <w:ind w:firstLine="413" w:firstLineChars="196"/>
        <w:rPr>
          <w:rFonts w:ascii="仿宋_GB2312" w:hAnsi="宋体" w:eastAsia="仿宋_GB2312"/>
          <w:b/>
          <w:szCs w:val="21"/>
        </w:rPr>
      </w:pPr>
      <w:bookmarkStart w:id="153" w:name="_Toc941_WPSOffice_Level1"/>
      <w:bookmarkStart w:id="154" w:name="_Toc11969_WPSOffice_Level1"/>
      <w:bookmarkStart w:id="155" w:name="_Toc22359_WPSOffice_Level1"/>
      <w:r>
        <w:rPr>
          <w:rFonts w:hint="eastAsia" w:ascii="仿宋_GB2312" w:hAnsi="宋体" w:eastAsia="仿宋_GB2312"/>
          <w:b/>
          <w:szCs w:val="21"/>
        </w:rPr>
        <w:t>5.付款</w:t>
      </w:r>
      <w:bookmarkEnd w:id="153"/>
      <w:bookmarkEnd w:id="154"/>
      <w:bookmarkEnd w:id="155"/>
    </w:p>
    <w:p>
      <w:pPr>
        <w:adjustRightInd w:val="0"/>
        <w:snapToGrid w:val="0"/>
        <w:spacing w:line="360" w:lineRule="auto"/>
        <w:ind w:firstLine="411" w:firstLineChars="196"/>
        <w:rPr>
          <w:rFonts w:ascii="仿宋_GB2312" w:hAnsi="宋体" w:eastAsia="仿宋_GB2312"/>
          <w:szCs w:val="21"/>
          <w:u w:val="single"/>
        </w:rPr>
      </w:pPr>
      <w:bookmarkStart w:id="156" w:name="_Toc22351_WPSOffice_Level2"/>
      <w:r>
        <w:rPr>
          <w:rFonts w:hint="eastAsia" w:ascii="仿宋_GB2312" w:hAnsi="宋体" w:eastAsia="仿宋_GB2312"/>
          <w:szCs w:val="21"/>
        </w:rPr>
        <w:t>5.1付款方式、条件：需方按照合同约定的方式和条件付款。</w:t>
      </w:r>
      <w:bookmarkEnd w:id="156"/>
    </w:p>
    <w:p>
      <w:pPr>
        <w:adjustRightInd w:val="0"/>
        <w:snapToGrid w:val="0"/>
        <w:spacing w:line="360" w:lineRule="auto"/>
        <w:ind w:firstLine="413" w:firstLineChars="196"/>
        <w:rPr>
          <w:rFonts w:ascii="仿宋_GB2312" w:hAnsi="宋体" w:eastAsia="仿宋_GB2312"/>
          <w:b/>
          <w:szCs w:val="21"/>
        </w:rPr>
      </w:pPr>
      <w:bookmarkStart w:id="157" w:name="_Toc27769_WPSOffice_Level1"/>
      <w:bookmarkStart w:id="158" w:name="_Toc30478_WPSOffice_Level1"/>
      <w:bookmarkStart w:id="159" w:name="_Toc10526_WPSOffice_Level1"/>
      <w:r>
        <w:rPr>
          <w:rFonts w:hint="eastAsia" w:ascii="仿宋_GB2312" w:hAnsi="宋体" w:eastAsia="仿宋_GB2312"/>
          <w:b/>
          <w:szCs w:val="21"/>
        </w:rPr>
        <w:t>6.验收</w:t>
      </w:r>
      <w:bookmarkEnd w:id="157"/>
      <w:bookmarkEnd w:id="158"/>
      <w:bookmarkEnd w:id="15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6.1供方提交的货物由需方或者需方的最终用户负责验收。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6.2需方或者需方的最终用户应当按照采购合同规定的技术、服务等要求组织对供应商履约的验收，并出具验收书。验收书应当包括每一项技术、服务等要求的履约情况。</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6.3大型或者复杂的项目，应当邀请国家认可的质量检测机构参加验收。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6.4政府向社会公众提供的公共服务项目，验收时应当邀请服务对象参与并出具意见，验收结果应当向社会公告。</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6.6货物保修期自验收书签署之日起计算。</w:t>
      </w:r>
    </w:p>
    <w:p>
      <w:pPr>
        <w:adjustRightInd w:val="0"/>
        <w:snapToGrid w:val="0"/>
        <w:spacing w:line="360" w:lineRule="auto"/>
        <w:ind w:firstLine="413" w:firstLineChars="196"/>
        <w:rPr>
          <w:rFonts w:ascii="仿宋_GB2312" w:hAnsi="宋体" w:eastAsia="仿宋_GB2312"/>
          <w:b/>
          <w:szCs w:val="21"/>
        </w:rPr>
      </w:pPr>
      <w:bookmarkStart w:id="160" w:name="_Toc23127_WPSOffice_Level1"/>
      <w:bookmarkStart w:id="161" w:name="_Toc31292_WPSOffice_Level1"/>
      <w:bookmarkStart w:id="162" w:name="_Toc21868_WPSOffice_Level1"/>
      <w:r>
        <w:rPr>
          <w:rFonts w:hint="eastAsia" w:ascii="仿宋_GB2312" w:hAnsi="宋体" w:eastAsia="仿宋_GB2312"/>
          <w:b/>
          <w:szCs w:val="21"/>
        </w:rPr>
        <w:t>7.知识产权及有关规定</w:t>
      </w:r>
      <w:bookmarkEnd w:id="160"/>
      <w:bookmarkEnd w:id="161"/>
      <w:bookmarkEnd w:id="16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7.2一方对另一方提供的技术资料、样件、图纸及其他与质量、技术、经营相关信息（包括但不限于价格、数量）有保密义务。双方应确保其人员及相关协作方承担保密义务。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7.4本合同中涉及保密和知识产权任何条款，在合同期限内及合同终止后持续有效。</w:t>
      </w:r>
    </w:p>
    <w:p>
      <w:pPr>
        <w:adjustRightInd w:val="0"/>
        <w:snapToGrid w:val="0"/>
        <w:spacing w:line="360" w:lineRule="auto"/>
        <w:ind w:firstLine="413" w:firstLineChars="196"/>
        <w:rPr>
          <w:rFonts w:ascii="仿宋_GB2312" w:hAnsi="宋体" w:eastAsia="仿宋_GB2312"/>
          <w:b/>
          <w:szCs w:val="21"/>
        </w:rPr>
      </w:pPr>
      <w:bookmarkStart w:id="163" w:name="_Toc24765_WPSOffice_Level1"/>
      <w:bookmarkStart w:id="164" w:name="_Toc26796_WPSOffice_Level1"/>
      <w:bookmarkStart w:id="165" w:name="_Toc21090_WPSOffice_Level1"/>
      <w:r>
        <w:rPr>
          <w:rFonts w:hint="eastAsia" w:ascii="仿宋_GB2312" w:hAnsi="宋体" w:eastAsia="仿宋_GB2312"/>
          <w:b/>
          <w:szCs w:val="21"/>
        </w:rPr>
        <w:t>8.包装要求</w:t>
      </w:r>
      <w:bookmarkEnd w:id="163"/>
      <w:bookmarkEnd w:id="164"/>
      <w:bookmarkEnd w:id="16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8.2每一个包装箱内应附一份详细的装箱单和质量合格证书。</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8.3包装费由供方承担，包装物不回收。</w:t>
      </w:r>
    </w:p>
    <w:p>
      <w:pPr>
        <w:adjustRightInd w:val="0"/>
        <w:snapToGrid w:val="0"/>
        <w:spacing w:line="360" w:lineRule="auto"/>
        <w:ind w:firstLine="413" w:firstLineChars="196"/>
        <w:rPr>
          <w:rFonts w:ascii="仿宋_GB2312" w:hAnsi="宋体" w:eastAsia="仿宋_GB2312"/>
          <w:b/>
          <w:szCs w:val="21"/>
        </w:rPr>
      </w:pPr>
      <w:bookmarkStart w:id="166" w:name="_Toc26447_WPSOffice_Level1"/>
      <w:bookmarkStart w:id="167" w:name="_Toc1308_WPSOffice_Level1"/>
      <w:bookmarkStart w:id="168" w:name="_Toc2304_WPSOffice_Level1"/>
      <w:r>
        <w:rPr>
          <w:rFonts w:hint="eastAsia" w:ascii="仿宋_GB2312" w:hAnsi="宋体" w:eastAsia="仿宋_GB2312"/>
          <w:b/>
          <w:szCs w:val="21"/>
        </w:rPr>
        <w:t>9.伴随服务</w:t>
      </w:r>
      <w:bookmarkEnd w:id="166"/>
      <w:bookmarkEnd w:id="167"/>
      <w:bookmarkEnd w:id="16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9.1供方应提供所交付货物的全套技术文件资料，包括产品目录、图纸、操作手册、使用说明、维护手册和服务指南等。</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9.2供方还应提供下列服务：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9.2.1货物的现场安装、启动和试运行；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9.2.2提供货物组装和维修所需的工具；</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9.2.3在质量保证期内对所交付货物提供运行监督、维修、保养等,如果招标文件没有特别要求，以供方在投标文件中提交的售后服务承诺书为准。如果上述文件规定有不一致之处，以对需方有利的为准。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9.2.4在制造厂家或在项目现场就货物的安装、启动、运行、维护等对需方人员进行培训，直至需方人员掌握全部上述技能为止。</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9.3伴随服务的费用应含在合同价中，不单独进行支付。</w:t>
      </w:r>
    </w:p>
    <w:p>
      <w:pPr>
        <w:adjustRightInd w:val="0"/>
        <w:snapToGrid w:val="0"/>
        <w:spacing w:line="360" w:lineRule="auto"/>
        <w:ind w:firstLine="413" w:firstLineChars="196"/>
        <w:rPr>
          <w:rFonts w:ascii="仿宋_GB2312" w:hAnsi="宋体" w:eastAsia="仿宋_GB2312"/>
          <w:b/>
          <w:szCs w:val="21"/>
        </w:rPr>
      </w:pPr>
      <w:bookmarkStart w:id="169" w:name="_Toc14320_WPSOffice_Level1"/>
      <w:bookmarkStart w:id="170" w:name="_Toc7636_WPSOffice_Level1"/>
      <w:bookmarkStart w:id="171" w:name="_Toc8205_WPSOffice_Level1"/>
      <w:r>
        <w:rPr>
          <w:rFonts w:hint="eastAsia" w:ascii="仿宋_GB2312" w:hAnsi="宋体" w:eastAsia="仿宋_GB2312"/>
          <w:b/>
          <w:szCs w:val="21"/>
        </w:rPr>
        <w:t>10.质量保证期</w:t>
      </w:r>
      <w:bookmarkEnd w:id="169"/>
      <w:bookmarkEnd w:id="170"/>
      <w:bookmarkEnd w:id="17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10.1以招标文件中的规定为准，如果投标文件中的承诺优于招标文件规定，则以投标文件为准。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10.2如果招标文件没有特别要求，以供方在投标文件中提交的制造厂商的有关文件为准。如果上述文件规定有不一致之处，以对需方有利的为准。</w:t>
      </w:r>
    </w:p>
    <w:p>
      <w:pPr>
        <w:adjustRightInd w:val="0"/>
        <w:snapToGrid w:val="0"/>
        <w:spacing w:line="360" w:lineRule="auto"/>
        <w:ind w:firstLine="413" w:firstLineChars="196"/>
        <w:rPr>
          <w:rFonts w:ascii="仿宋_GB2312" w:hAnsi="宋体" w:eastAsia="仿宋_GB2312"/>
          <w:b/>
          <w:szCs w:val="21"/>
        </w:rPr>
      </w:pPr>
      <w:bookmarkStart w:id="172" w:name="_Toc16220_WPSOffice_Level1"/>
      <w:bookmarkStart w:id="173" w:name="_Toc13950_WPSOffice_Level1"/>
      <w:bookmarkStart w:id="174" w:name="_Toc18427_WPSOffice_Level1"/>
      <w:r>
        <w:rPr>
          <w:rFonts w:hint="eastAsia" w:ascii="仿宋_GB2312" w:hAnsi="宋体" w:eastAsia="仿宋_GB2312"/>
          <w:b/>
          <w:szCs w:val="21"/>
        </w:rPr>
        <w:t>11.质量保证</w:t>
      </w:r>
      <w:bookmarkEnd w:id="172"/>
      <w:bookmarkEnd w:id="173"/>
      <w:bookmarkEnd w:id="174"/>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pPr>
        <w:adjustRightInd w:val="0"/>
        <w:snapToGrid w:val="0"/>
        <w:spacing w:line="360" w:lineRule="auto"/>
        <w:ind w:firstLine="413" w:firstLineChars="196"/>
        <w:rPr>
          <w:rFonts w:ascii="仿宋_GB2312" w:hAnsi="宋体" w:eastAsia="仿宋_GB2312"/>
          <w:b/>
          <w:szCs w:val="21"/>
        </w:rPr>
      </w:pPr>
      <w:bookmarkStart w:id="175" w:name="_Toc9090_WPSOffice_Level1"/>
      <w:bookmarkStart w:id="176" w:name="_Toc29469_WPSOffice_Level1"/>
      <w:bookmarkStart w:id="177" w:name="_Toc24667_WPSOffice_Level1"/>
      <w:r>
        <w:rPr>
          <w:rFonts w:hint="eastAsia" w:ascii="仿宋_GB2312" w:hAnsi="宋体" w:eastAsia="仿宋_GB2312"/>
          <w:b/>
          <w:szCs w:val="21"/>
        </w:rPr>
        <w:t>12.技术服务和保修责任</w:t>
      </w:r>
      <w:bookmarkEnd w:id="175"/>
      <w:bookmarkEnd w:id="176"/>
      <w:bookmarkEnd w:id="177"/>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12.1供方对政府采购合同货物的保修期，以招标文件中的规定为准，如果投标文件中的承诺优于招标文件规定，则以投标文件为准。</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12.2供方应按如下内容提供售后服务：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12.2.1产品经过试运行期，所有性能指标达到技术规范书的要求时，可按招标文件、投标文件内容进行初验。在试运行期间，由于产品质量等造成某些指标达不到要求，供方须更换或进行修复，试运行期重新计算。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12.2.4保修期内，供方提供电话、电子邮件、Web、现场服务等方式的技术支持，对用户的现场服务要求，供方必须按投标文件做出的承诺进行响应。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12.2.5保修期内，供方应对出现故障无法修复的产品或无法正常运行的系统，提供替代产品以保证系统的正常工作。</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12.2.6保修期内，供方应投标时的承诺提供相关服务。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13" w:firstLineChars="196"/>
        <w:rPr>
          <w:rFonts w:ascii="仿宋_GB2312" w:hAnsi="宋体" w:eastAsia="仿宋_GB2312"/>
          <w:b/>
          <w:szCs w:val="21"/>
        </w:rPr>
      </w:pPr>
      <w:bookmarkStart w:id="178" w:name="_Toc11781_WPSOffice_Level1"/>
      <w:bookmarkStart w:id="179" w:name="_Toc16924_WPSOffice_Level1"/>
      <w:bookmarkStart w:id="180" w:name="_Toc8548_WPSOffice_Level1"/>
      <w:r>
        <w:rPr>
          <w:rFonts w:hint="eastAsia" w:ascii="仿宋_GB2312" w:hAnsi="宋体" w:eastAsia="仿宋_GB2312"/>
          <w:b/>
          <w:szCs w:val="21"/>
        </w:rPr>
        <w:t>13.违约责任</w:t>
      </w:r>
      <w:bookmarkEnd w:id="178"/>
      <w:bookmarkEnd w:id="179"/>
      <w:bookmarkEnd w:id="180"/>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13.1.1在需方同意延长的期限内交付全部货物、提供服务并承担由此给需方造成的一切损失；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13.1.3根据货物低劣程度、损坏程度以及使需方所遭受的损失，经双方商定降低货物的价格或赔偿需方所遭受的损失；</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13.1.5需方有权部分或全部解除政府采购合同并要求供方赔偿由此造成的损失。此时需方可采取必要的补救措施，相关费用由供方承担。</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13.3延期交货的违约责任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13.3.2如供方在政府采购合同规定的交货日期后10天内仍未能交货，则视为供方不能交货，需方有权解除政府采购合同，供方除退还已收取的货款外，还应向需方偿付政府采购合同总金额10%的违约金。</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13.4以上各项交付的违约金并不影响违约方履行政府采购合同的各项义务。</w:t>
      </w:r>
    </w:p>
    <w:p>
      <w:pPr>
        <w:adjustRightInd w:val="0"/>
        <w:snapToGrid w:val="0"/>
        <w:spacing w:line="360" w:lineRule="auto"/>
        <w:ind w:firstLine="413" w:firstLineChars="196"/>
        <w:rPr>
          <w:rFonts w:ascii="仿宋_GB2312" w:hAnsi="宋体" w:eastAsia="仿宋_GB2312"/>
          <w:b/>
          <w:szCs w:val="21"/>
        </w:rPr>
      </w:pPr>
      <w:bookmarkStart w:id="181" w:name="_Toc32310_WPSOffice_Level1"/>
      <w:bookmarkStart w:id="182" w:name="_Toc21833_WPSOffice_Level1"/>
      <w:bookmarkStart w:id="183" w:name="_Toc28610_WPSOffice_Level1"/>
      <w:r>
        <w:rPr>
          <w:rFonts w:hint="eastAsia" w:ascii="仿宋_GB2312" w:hAnsi="宋体" w:eastAsia="仿宋_GB2312"/>
          <w:b/>
          <w:szCs w:val="21"/>
        </w:rPr>
        <w:t>14.不可抗力</w:t>
      </w:r>
      <w:bookmarkEnd w:id="181"/>
      <w:bookmarkEnd w:id="182"/>
      <w:bookmarkEnd w:id="183"/>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ascii="仿宋_GB2312" w:hAnsi="宋体" w:eastAsia="仿宋_GB2312"/>
          <w:b/>
          <w:szCs w:val="21"/>
        </w:rPr>
      </w:pPr>
      <w:bookmarkStart w:id="184" w:name="_Toc3262_WPSOffice_Level1"/>
      <w:bookmarkStart w:id="185" w:name="_Toc13390_WPSOffice_Level1"/>
      <w:bookmarkStart w:id="186" w:name="_Toc12037_WPSOffice_Level1"/>
      <w:r>
        <w:rPr>
          <w:rFonts w:hint="eastAsia" w:ascii="仿宋_GB2312" w:hAnsi="宋体" w:eastAsia="仿宋_GB2312"/>
          <w:b/>
          <w:szCs w:val="21"/>
        </w:rPr>
        <w:t>15.争端的解决</w:t>
      </w:r>
      <w:bookmarkEnd w:id="184"/>
      <w:bookmarkEnd w:id="185"/>
      <w:bookmarkEnd w:id="186"/>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15.1政府采购合同的履行、违约责任和解决争议的方法等适用《中华人民共和国合同法》。</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.2</w:t>
      </w:r>
      <w:r>
        <w:rPr>
          <w:rFonts w:hint="eastAsia" w:ascii="仿宋_GB2312" w:hAnsi="宋体" w:eastAsia="仿宋_GB2312"/>
          <w:szCs w:val="21"/>
        </w:rPr>
        <w:t>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.3</w:t>
      </w:r>
      <w:r>
        <w:rPr>
          <w:rFonts w:hint="eastAsia" w:ascii="仿宋_GB2312" w:hAnsi="宋体" w:eastAsia="仿宋_GB2312"/>
          <w:szCs w:val="21"/>
        </w:rPr>
        <w:t>如果协商不成，双方中的任何一方可向需方所在地的人民法院提起诉讼。</w:t>
      </w:r>
    </w:p>
    <w:p>
      <w:pPr>
        <w:adjustRightInd w:val="0"/>
        <w:snapToGrid w:val="0"/>
        <w:spacing w:line="360" w:lineRule="auto"/>
        <w:ind w:firstLine="411" w:firstLineChars="196"/>
        <w:rPr>
          <w:rFonts w:ascii="仿宋_GB2312" w:hAnsi="宋体" w:eastAsia="仿宋_GB2312"/>
          <w:szCs w:val="21"/>
        </w:rPr>
      </w:pPr>
      <w:r>
        <w:rPr>
          <w:rFonts w:ascii="仿宋_GB2312" w:hAnsi="宋体" w:eastAsia="仿宋_GB2312"/>
          <w:szCs w:val="21"/>
        </w:rPr>
        <w:t>1</w:t>
      </w:r>
      <w:r>
        <w:rPr>
          <w:rFonts w:hint="eastAsia" w:ascii="仿宋_GB2312" w:hAnsi="宋体" w:eastAsia="仿宋_GB2312"/>
          <w:szCs w:val="21"/>
        </w:rPr>
        <w:t>5</w:t>
      </w:r>
      <w:r>
        <w:rPr>
          <w:rFonts w:ascii="仿宋_GB2312" w:hAnsi="宋体" w:eastAsia="仿宋_GB2312"/>
          <w:szCs w:val="21"/>
        </w:rPr>
        <w:t>.4</w:t>
      </w:r>
      <w:r>
        <w:rPr>
          <w:rFonts w:hint="eastAsia" w:ascii="仿宋_GB2312" w:hAnsi="宋体" w:eastAsia="仿宋_GB2312"/>
          <w:szCs w:val="21"/>
        </w:rPr>
        <w:t>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ascii="仿宋_GB2312" w:hAnsi="宋体" w:eastAsia="仿宋_GB2312"/>
          <w:b/>
          <w:szCs w:val="21"/>
        </w:rPr>
      </w:pPr>
      <w:bookmarkStart w:id="187" w:name="_Toc27539_WPSOffice_Level1"/>
      <w:bookmarkStart w:id="188" w:name="_Toc7773_WPSOffice_Level1"/>
      <w:bookmarkStart w:id="189" w:name="_Toc1917_WPSOffice_Level1"/>
      <w:r>
        <w:rPr>
          <w:rFonts w:hint="eastAsia" w:ascii="仿宋_GB2312" w:hAnsi="宋体" w:eastAsia="仿宋_GB2312"/>
          <w:b/>
          <w:szCs w:val="21"/>
        </w:rPr>
        <w:t>16.违约终止政府采购合同</w:t>
      </w:r>
      <w:bookmarkEnd w:id="187"/>
      <w:bookmarkEnd w:id="188"/>
      <w:bookmarkEnd w:id="189"/>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16.1在需方因供方违约而按政府采购合同约定采取的任何补救措施均无效的情况下，需方可在下列情况下向供方发出书面通知，提出终止部分或全部政府采购合同。</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16.1.1如果供方未能在政府采购合同规定的限期或需方同意延长的限期内提供部分或全部货物和服务；</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16.1.2未经需方事先书面同意，供方部分转让和分包或全部转让和分包其应履行的政府采购合同义务。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0" w:name="_Toc11967_WPSOffice_Level1"/>
      <w:bookmarkStart w:id="191" w:name="_Toc4220_WPSOffice_Level1"/>
      <w:bookmarkStart w:id="192" w:name="_Toc27976_WPSOffice_Level1"/>
      <w:r>
        <w:rPr>
          <w:rFonts w:hint="eastAsia" w:ascii="仿宋_GB2312" w:hAnsi="宋体" w:eastAsia="仿宋_GB2312"/>
          <w:b/>
          <w:szCs w:val="21"/>
        </w:rPr>
        <w:t>17.政府采购合同转让和分包</w:t>
      </w:r>
      <w:bookmarkEnd w:id="190"/>
      <w:bookmarkEnd w:id="191"/>
      <w:bookmarkEnd w:id="192"/>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除招标文件规定,并经需方事先书面同意外，供方不得部分转让和分包或全部转让和分包其应履行的政府采购合同义务。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ascii="仿宋_GB2312" w:hAnsi="宋体" w:eastAsia="仿宋_GB2312"/>
          <w:b/>
          <w:szCs w:val="21"/>
        </w:rPr>
      </w:pPr>
      <w:bookmarkStart w:id="193" w:name="_Toc16873_WPSOffice_Level1"/>
      <w:bookmarkStart w:id="194" w:name="_Toc737_WPSOffice_Level1"/>
      <w:bookmarkStart w:id="195" w:name="_Toc30020_WPSOffice_Level1"/>
      <w:r>
        <w:rPr>
          <w:rFonts w:hint="eastAsia" w:ascii="仿宋_GB2312" w:hAnsi="宋体" w:eastAsia="仿宋_GB2312"/>
          <w:b/>
          <w:szCs w:val="21"/>
        </w:rPr>
        <w:t>18.适用法律：</w:t>
      </w:r>
      <w:bookmarkEnd w:id="193"/>
      <w:bookmarkEnd w:id="194"/>
      <w:bookmarkEnd w:id="195"/>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本政府采购合同按照中华人民共和国的现行法律进行解释。</w:t>
      </w:r>
    </w:p>
    <w:p>
      <w:pPr>
        <w:adjustRightInd w:val="0"/>
        <w:snapToGrid w:val="0"/>
        <w:spacing w:line="360" w:lineRule="auto"/>
        <w:ind w:firstLine="413" w:firstLineChars="196"/>
        <w:rPr>
          <w:rFonts w:ascii="仿宋_GB2312" w:hAnsi="宋体" w:eastAsia="仿宋_GB2312"/>
          <w:b/>
          <w:szCs w:val="21"/>
        </w:rPr>
      </w:pPr>
      <w:bookmarkStart w:id="196" w:name="_Toc23749_WPSOffice_Level1"/>
      <w:bookmarkStart w:id="197" w:name="_Toc20985_WPSOffice_Level1"/>
      <w:bookmarkStart w:id="198" w:name="_Toc29009_WPSOffice_Level1"/>
      <w:r>
        <w:rPr>
          <w:rFonts w:hint="eastAsia" w:ascii="仿宋_GB2312" w:hAnsi="宋体" w:eastAsia="仿宋_GB2312"/>
          <w:b/>
          <w:szCs w:val="21"/>
        </w:rPr>
        <w:t>19.政府采购合同生效</w:t>
      </w:r>
      <w:bookmarkEnd w:id="196"/>
      <w:bookmarkEnd w:id="197"/>
      <w:bookmarkEnd w:id="198"/>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19.1本政府采购合同在供需双方法定代表人或其授权代理人签字和加盖公章后生效。</w:t>
      </w:r>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19.2本政府采购合同一式五份，需方执二份，供方、采购代理机构、财政部门各执一份。</w:t>
      </w:r>
    </w:p>
    <w:p>
      <w:pPr>
        <w:adjustRightInd w:val="0"/>
        <w:snapToGrid w:val="0"/>
        <w:spacing w:line="360" w:lineRule="auto"/>
        <w:ind w:firstLine="413" w:firstLineChars="196"/>
        <w:rPr>
          <w:rFonts w:ascii="仿宋_GB2312" w:hAnsi="宋体" w:eastAsia="仿宋_GB2312"/>
          <w:b/>
          <w:szCs w:val="21"/>
        </w:rPr>
      </w:pPr>
      <w:bookmarkStart w:id="199" w:name="_Toc20274_WPSOffice_Level1"/>
      <w:bookmarkStart w:id="200" w:name="_Toc12339_WPSOffice_Level1"/>
      <w:bookmarkStart w:id="201" w:name="_Toc405_WPSOffice_Level1"/>
      <w:r>
        <w:rPr>
          <w:rFonts w:hint="eastAsia" w:ascii="仿宋_GB2312" w:hAnsi="宋体" w:eastAsia="仿宋_GB2312"/>
          <w:b/>
          <w:szCs w:val="21"/>
        </w:rPr>
        <w:t>20.政府采购合同附件</w:t>
      </w:r>
      <w:bookmarkEnd w:id="199"/>
      <w:bookmarkEnd w:id="200"/>
      <w:bookmarkEnd w:id="201"/>
    </w:p>
    <w:p>
      <w:pPr>
        <w:adjustRightInd w:val="0"/>
        <w:snapToGrid w:val="0"/>
        <w:spacing w:line="360" w:lineRule="auto"/>
        <w:ind w:firstLine="411" w:firstLineChars="196"/>
        <w:rPr>
          <w:rFonts w:ascii="仿宋_GB2312" w:hAnsi="宋体" w:eastAsia="仿宋_GB2312"/>
          <w:szCs w:val="21"/>
        </w:rPr>
      </w:pPr>
      <w:r>
        <w:rPr>
          <w:rFonts w:hint="eastAsia" w:ascii="仿宋_GB2312" w:hAnsi="宋体" w:eastAsia="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ascii="仿宋_GB2312" w:hAnsi="宋体" w:eastAsia="仿宋_GB2312"/>
          <w:szCs w:val="21"/>
        </w:rPr>
      </w:pPr>
      <w:bookmarkStart w:id="202" w:name="_Toc3518_WPSOffice_Level2"/>
      <w:r>
        <w:rPr>
          <w:rFonts w:hint="eastAsia" w:ascii="仿宋_GB2312" w:hAnsi="宋体" w:eastAsia="仿宋_GB2312"/>
          <w:szCs w:val="21"/>
        </w:rPr>
        <w:t>20.1招标文件；</w:t>
      </w:r>
      <w:bookmarkEnd w:id="202"/>
    </w:p>
    <w:p>
      <w:pPr>
        <w:adjustRightInd w:val="0"/>
        <w:snapToGrid w:val="0"/>
        <w:spacing w:line="360" w:lineRule="auto"/>
        <w:ind w:firstLine="411" w:firstLineChars="196"/>
        <w:rPr>
          <w:rFonts w:ascii="仿宋_GB2312" w:hAnsi="宋体" w:eastAsia="仿宋_GB2312"/>
          <w:szCs w:val="21"/>
        </w:rPr>
      </w:pPr>
      <w:bookmarkStart w:id="203" w:name="_Toc7342_WPSOffice_Level2"/>
      <w:r>
        <w:rPr>
          <w:rFonts w:hint="eastAsia" w:ascii="仿宋_GB2312" w:hAnsi="宋体" w:eastAsia="仿宋_GB2312"/>
          <w:szCs w:val="21"/>
        </w:rPr>
        <w:t>20.2招标文件的更正公告、变更公告；</w:t>
      </w:r>
      <w:bookmarkEnd w:id="203"/>
    </w:p>
    <w:p>
      <w:pPr>
        <w:adjustRightInd w:val="0"/>
        <w:snapToGrid w:val="0"/>
        <w:spacing w:line="360" w:lineRule="auto"/>
        <w:ind w:firstLine="411" w:firstLineChars="196"/>
        <w:rPr>
          <w:rFonts w:ascii="仿宋_GB2312" w:hAnsi="宋体" w:eastAsia="仿宋_GB2312"/>
          <w:szCs w:val="21"/>
        </w:rPr>
      </w:pPr>
      <w:bookmarkStart w:id="204" w:name="_Toc576_WPSOffice_Level2"/>
      <w:r>
        <w:rPr>
          <w:rFonts w:hint="eastAsia" w:ascii="仿宋_GB2312" w:hAnsi="宋体" w:eastAsia="仿宋_GB2312"/>
          <w:szCs w:val="21"/>
        </w:rPr>
        <w:t>20.3中标人提交的投标文件；</w:t>
      </w:r>
      <w:bookmarkEnd w:id="204"/>
    </w:p>
    <w:p>
      <w:pPr>
        <w:adjustRightInd w:val="0"/>
        <w:snapToGrid w:val="0"/>
        <w:spacing w:line="360" w:lineRule="auto"/>
        <w:ind w:firstLine="411" w:firstLineChars="196"/>
        <w:rPr>
          <w:rFonts w:ascii="仿宋_GB2312" w:hAnsi="宋体" w:eastAsia="仿宋_GB2312"/>
          <w:szCs w:val="21"/>
        </w:rPr>
      </w:pPr>
      <w:bookmarkStart w:id="205" w:name="_Toc25464_WPSOffice_Level2"/>
      <w:r>
        <w:rPr>
          <w:rFonts w:hint="eastAsia" w:ascii="仿宋_GB2312" w:hAnsi="宋体" w:eastAsia="仿宋_GB2312"/>
          <w:szCs w:val="21"/>
        </w:rPr>
        <w:t>20.4政府采购合同条款；</w:t>
      </w:r>
      <w:bookmarkEnd w:id="205"/>
    </w:p>
    <w:p>
      <w:pPr>
        <w:adjustRightInd w:val="0"/>
        <w:snapToGrid w:val="0"/>
        <w:spacing w:line="360" w:lineRule="auto"/>
        <w:ind w:firstLine="411" w:firstLineChars="196"/>
        <w:rPr>
          <w:rFonts w:ascii="仿宋_GB2312" w:hAnsi="宋体" w:eastAsia="仿宋_GB2312"/>
          <w:szCs w:val="21"/>
        </w:rPr>
      </w:pPr>
      <w:bookmarkStart w:id="206" w:name="_Toc25590_WPSOffice_Level2"/>
      <w:r>
        <w:rPr>
          <w:rFonts w:hint="eastAsia" w:ascii="仿宋_GB2312" w:hAnsi="宋体" w:eastAsia="仿宋_GB2312"/>
          <w:szCs w:val="21"/>
        </w:rPr>
        <w:t>20.5中标通知书；</w:t>
      </w:r>
      <w:bookmarkEnd w:id="206"/>
    </w:p>
    <w:p>
      <w:pPr>
        <w:adjustRightInd w:val="0"/>
        <w:snapToGrid w:val="0"/>
        <w:spacing w:line="360" w:lineRule="auto"/>
        <w:ind w:firstLine="411" w:firstLineChars="196"/>
        <w:rPr>
          <w:rFonts w:ascii="仿宋_GB2312" w:hAnsi="宋体" w:eastAsia="仿宋_GB2312"/>
          <w:szCs w:val="21"/>
        </w:rPr>
      </w:pPr>
      <w:bookmarkStart w:id="207" w:name="_Toc10297_WPSOffice_Level2"/>
      <w:r>
        <w:rPr>
          <w:rFonts w:hint="eastAsia" w:ascii="仿宋_GB2312" w:hAnsi="宋体" w:eastAsia="仿宋_GB2312"/>
          <w:szCs w:val="21"/>
        </w:rPr>
        <w:t>20.6政府采购合同的其它附件。</w:t>
      </w:r>
      <w:bookmarkEnd w:id="207"/>
    </w:p>
    <w:p>
      <w:pPr>
        <w:ind w:firstLine="470" w:firstLineChars="196"/>
        <w:rPr>
          <w:rFonts w:ascii="仿宋_GB2312" w:hAnsi="宋体" w:eastAsia="仿宋_GB2312"/>
          <w:sz w:val="24"/>
        </w:rPr>
      </w:pPr>
    </w:p>
    <w:p>
      <w:pPr>
        <w:ind w:firstLine="470" w:firstLineChars="196"/>
        <w:rPr>
          <w:rFonts w:ascii="仿宋_GB2312" w:hAnsi="宋体" w:eastAsia="仿宋_GB2312"/>
          <w:sz w:val="24"/>
        </w:rPr>
      </w:pPr>
    </w:p>
    <w:p>
      <w:pPr>
        <w:rPr>
          <w:rFonts w:ascii="仿宋_GB2312" w:hAnsi="宋体" w:eastAsia="仿宋_GB2312"/>
          <w:sz w:val="24"/>
        </w:rPr>
      </w:pPr>
      <w:r>
        <w:rPr>
          <w:rFonts w:ascii="仿宋_GB2312" w:hAnsi="宋体" w:eastAsia="仿宋_GB2312"/>
          <w:sz w:val="24"/>
        </w:rPr>
        <w:br w:type="page"/>
      </w:r>
    </w:p>
    <w:p>
      <w:pPr>
        <w:pStyle w:val="3"/>
        <w:adjustRightInd w:val="0"/>
        <w:snapToGrid w:val="0"/>
        <w:spacing w:before="0" w:after="0" w:line="240" w:lineRule="auto"/>
        <w:jc w:val="left"/>
        <w:rPr>
          <w:rFonts w:ascii="仿宋_GB2312" w:hAnsi="宋体" w:eastAsia="仿宋_GB2312"/>
          <w:sz w:val="21"/>
          <w:szCs w:val="21"/>
        </w:rPr>
      </w:pPr>
      <w:bookmarkStart w:id="208" w:name="_Toc372_WPSOffice_Level1"/>
      <w:bookmarkStart w:id="209" w:name="_Toc3044_WPSOffice_Level1"/>
      <w:bookmarkStart w:id="210" w:name="_Toc7342_WPSOffice_Level1"/>
      <w:r>
        <w:rPr>
          <w:rFonts w:hint="eastAsia" w:ascii="仿宋_GB2312" w:hAnsi="仿宋_GB2312" w:eastAsia="仿宋_GB2312" w:cs="仿宋_GB2312"/>
          <w:szCs w:val="28"/>
        </w:rPr>
        <w:t>合同格式</w:t>
      </w:r>
      <w:bookmarkEnd w:id="208"/>
      <w:bookmarkEnd w:id="209"/>
      <w:bookmarkEnd w:id="210"/>
    </w:p>
    <w:p>
      <w:pPr>
        <w:adjustRightInd w:val="0"/>
        <w:snapToGrid w:val="0"/>
        <w:spacing w:line="360" w:lineRule="auto"/>
        <w:jc w:val="center"/>
        <w:rPr>
          <w:rFonts w:ascii="仿宋_GB2312" w:hAnsi="宋体" w:eastAsia="仿宋_GB2312"/>
          <w:b/>
          <w:bCs/>
          <w:sz w:val="44"/>
          <w:szCs w:val="44"/>
        </w:rPr>
      </w:pPr>
      <w:bookmarkStart w:id="211" w:name="_Toc7832_WPSOffice_Level1"/>
      <w:bookmarkStart w:id="212" w:name="_Toc11644_WPSOffice_Level1"/>
      <w:r>
        <w:rPr>
          <w:rFonts w:hint="eastAsia" w:ascii="仿宋_GB2312" w:hAnsi="宋体" w:eastAsia="仿宋_GB2312"/>
          <w:b/>
          <w:bCs/>
          <w:sz w:val="44"/>
          <w:szCs w:val="44"/>
        </w:rPr>
        <w:t>政府采购合同格式</w:t>
      </w:r>
      <w:bookmarkEnd w:id="211"/>
      <w:bookmarkEnd w:id="212"/>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政府采购合同编号：</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签订地点：</w:t>
      </w:r>
    </w:p>
    <w:p>
      <w:pPr>
        <w:adjustRightInd w:val="0"/>
        <w:snapToGrid w:val="0"/>
        <w:spacing w:line="360" w:lineRule="auto"/>
        <w:ind w:firstLine="640"/>
        <w:jc w:val="left"/>
        <w:rPr>
          <w:rFonts w:ascii="仿宋_GB2312" w:hAnsi="宋体" w:eastAsia="仿宋_GB2312"/>
          <w:szCs w:val="21"/>
        </w:rPr>
      </w:pPr>
      <w:r>
        <w:rPr>
          <w:rFonts w:hint="eastAsia" w:ascii="仿宋_GB2312" w:hAnsi="宋体" w:eastAsia="仿宋_GB2312"/>
          <w:szCs w:val="21"/>
          <w:u w:val="single"/>
        </w:rPr>
        <w:t xml:space="preserve">    (需方名称</w:t>
      </w:r>
      <w:r>
        <w:rPr>
          <w:rFonts w:hint="eastAsia" w:ascii="仿宋_GB2312" w:hAnsi="宋体" w:eastAsia="仿宋_GB2312"/>
          <w:szCs w:val="21"/>
        </w:rPr>
        <w:t>) （以下简称需方）和</w:t>
      </w:r>
      <w:r>
        <w:rPr>
          <w:rFonts w:hint="eastAsia" w:ascii="仿宋_GB2312" w:hAnsi="宋体" w:eastAsia="仿宋_GB2312"/>
          <w:szCs w:val="21"/>
          <w:u w:val="single"/>
        </w:rPr>
        <w:t xml:space="preserve">   (供方名称)    </w:t>
      </w:r>
      <w:r>
        <w:rPr>
          <w:rFonts w:hint="eastAsia" w:ascii="仿宋_GB2312" w:hAnsi="宋体" w:eastAsia="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3" w:name="_Toc13230_WPSOffice_Level2"/>
      <w:r>
        <w:rPr>
          <w:rFonts w:hint="eastAsia" w:ascii="黑体" w:hAnsi="宋体" w:eastAsia="黑体"/>
          <w:b/>
          <w:szCs w:val="21"/>
        </w:rPr>
        <w:t>一、政府采购合同文件</w:t>
      </w:r>
      <w:bookmarkEnd w:id="213"/>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1.</w:t>
      </w:r>
      <w:r>
        <w:rPr>
          <w:rFonts w:hint="eastAsia" w:ascii="仿宋_GB2312" w:hAnsi="宋体" w:eastAsia="仿宋_GB2312"/>
          <w:szCs w:val="21"/>
        </w:rPr>
        <w:t>招标文件（招标文件编号）；</w:t>
      </w:r>
    </w:p>
    <w:p>
      <w:pPr>
        <w:adjustRightInd w:val="0"/>
        <w:snapToGrid w:val="0"/>
        <w:spacing w:line="360" w:lineRule="auto"/>
        <w:ind w:firstLine="420" w:firstLineChars="200"/>
        <w:jc w:val="left"/>
        <w:rPr>
          <w:rFonts w:ascii="仿宋_GB2312" w:hAnsi="宋体" w:eastAsia="仿宋_GB2312" w:cs="Arial"/>
          <w:szCs w:val="21"/>
        </w:rPr>
      </w:pPr>
      <w:r>
        <w:rPr>
          <w:rFonts w:hint="eastAsia" w:ascii="黑体" w:hAnsi="宋体" w:eastAsia="黑体"/>
          <w:szCs w:val="21"/>
        </w:rPr>
        <w:t>2.</w:t>
      </w:r>
      <w:r>
        <w:rPr>
          <w:rFonts w:hint="eastAsia" w:ascii="仿宋_GB2312" w:hAnsi="宋体" w:eastAsia="仿宋_GB2312" w:cs="Arial"/>
          <w:szCs w:val="21"/>
        </w:rPr>
        <w:t>招标文件的更正公告、变更公告；</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3.</w:t>
      </w:r>
      <w:r>
        <w:rPr>
          <w:rFonts w:hint="eastAsia" w:ascii="仿宋_GB2312" w:hAnsi="宋体" w:eastAsia="仿宋_GB2312"/>
          <w:szCs w:val="21"/>
        </w:rPr>
        <w:t>中标人提交的投标文件；</w:t>
      </w:r>
    </w:p>
    <w:p>
      <w:pPr>
        <w:adjustRightInd w:val="0"/>
        <w:snapToGrid w:val="0"/>
        <w:spacing w:line="360" w:lineRule="auto"/>
        <w:ind w:firstLine="420" w:firstLineChars="200"/>
        <w:jc w:val="left"/>
        <w:rPr>
          <w:rFonts w:ascii="仿宋_GB2312" w:hAnsi="宋体" w:eastAsia="仿宋_GB2312"/>
          <w:szCs w:val="21"/>
        </w:rPr>
      </w:pPr>
      <w:r>
        <w:rPr>
          <w:rFonts w:hint="eastAsia" w:ascii="黑体" w:hAnsi="宋体" w:eastAsia="黑体"/>
          <w:szCs w:val="21"/>
        </w:rPr>
        <w:t>4.</w:t>
      </w:r>
      <w:r>
        <w:rPr>
          <w:rFonts w:hint="eastAsia" w:ascii="仿宋_GB2312" w:hAnsi="宋体" w:eastAsia="仿宋_GB2312"/>
          <w:szCs w:val="21"/>
        </w:rPr>
        <w:t>政府采购合同条款；</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5</w:t>
      </w:r>
      <w:r>
        <w:rPr>
          <w:rFonts w:hint="eastAsia" w:ascii="黑体" w:hAnsi="宋体" w:eastAsia="黑体"/>
          <w:szCs w:val="21"/>
        </w:rPr>
        <w:t>.</w:t>
      </w:r>
      <w:r>
        <w:rPr>
          <w:rFonts w:hint="eastAsia" w:ascii="仿宋_GB2312" w:hAnsi="宋体" w:eastAsia="仿宋_GB2312"/>
          <w:szCs w:val="21"/>
        </w:rPr>
        <w:t>中标通知书；</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6</w:t>
      </w:r>
      <w:r>
        <w:rPr>
          <w:rFonts w:hint="eastAsia" w:ascii="黑体" w:hAnsi="宋体" w:eastAsia="黑体"/>
          <w:szCs w:val="21"/>
        </w:rPr>
        <w:t>.</w:t>
      </w:r>
      <w:r>
        <w:rPr>
          <w:rFonts w:hint="eastAsia" w:ascii="仿宋_GB2312" w:hAnsi="宋体" w:eastAsia="仿宋_GB2312" w:cs="Arial"/>
          <w:szCs w:val="21"/>
        </w:rPr>
        <w:t>政府采购合同的其它附件。</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4" w:name="_Toc19527_WPSOffice_Level2"/>
      <w:r>
        <w:rPr>
          <w:rFonts w:hint="eastAsia" w:ascii="黑体" w:hAnsi="宋体" w:eastAsia="黑体"/>
          <w:b/>
          <w:szCs w:val="21"/>
        </w:rPr>
        <w:t>二、政府采购合同范围和条件</w:t>
      </w:r>
      <w:bookmarkEnd w:id="214"/>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本政府采购合同的范围和条件与上述政府采购合同文件的规定相一致。</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5" w:name="_Toc18050_WPSOffice_Level2"/>
      <w:r>
        <w:rPr>
          <w:rFonts w:hint="eastAsia" w:ascii="黑体" w:hAnsi="宋体" w:eastAsia="黑体"/>
          <w:b/>
          <w:szCs w:val="21"/>
        </w:rPr>
        <w:t>三、政府采购合同标的</w:t>
      </w:r>
      <w:bookmarkEnd w:id="215"/>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w:t>
      </w:r>
      <w:r>
        <w:rPr>
          <w:rFonts w:hint="eastAsia" w:ascii="仿宋_GB2312" w:hAnsi="仿宋_GB2312" w:eastAsia="仿宋_GB2312" w:cs="仿宋_GB2312"/>
          <w:szCs w:val="21"/>
        </w:rPr>
        <w:t>本政府采购合同的标的为招标文件中所列货物及相关服务。</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6" w:name="_Toc27886_WPSOffice_Level2"/>
      <w:r>
        <w:rPr>
          <w:rFonts w:hint="eastAsia" w:ascii="黑体" w:hAnsi="宋体" w:eastAsia="黑体"/>
          <w:b/>
          <w:szCs w:val="21"/>
        </w:rPr>
        <w:t>四、政府采购合同金额</w:t>
      </w:r>
      <w:bookmarkEnd w:id="216"/>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根据上述政府采购合同文件要求，政府采购合同的总金额为人民币</w:t>
      </w:r>
      <w:r>
        <w:rPr>
          <w:rFonts w:hint="eastAsia" w:ascii="仿宋_GB2312" w:hAnsi="宋体" w:eastAsia="仿宋_GB2312"/>
          <w:szCs w:val="21"/>
          <w:u w:val="single"/>
        </w:rPr>
        <w:t xml:space="preserve">  （大写）                </w:t>
      </w:r>
      <w:r>
        <w:rPr>
          <w:rFonts w:hint="eastAsia" w:ascii="仿宋_GB2312" w:hAnsi="宋体" w:eastAsia="仿宋_GB2312"/>
          <w:szCs w:val="21"/>
        </w:rPr>
        <w:t xml:space="preserve"> 元。</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注：存在分项产品的必须清晰列明分项产品明细，包括名称、数量、分项报价等，并作为合同组成部分。</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7" w:name="_Toc22211_WPSOffice_Level2"/>
      <w:r>
        <w:rPr>
          <w:rFonts w:hint="eastAsia" w:ascii="黑体" w:hAnsi="宋体" w:eastAsia="黑体"/>
          <w:b/>
          <w:szCs w:val="21"/>
        </w:rPr>
        <w:t>五、付款方式及条件</w:t>
      </w:r>
      <w:bookmarkEnd w:id="217"/>
    </w:p>
    <w:p>
      <w:pPr>
        <w:adjustRightInd w:val="0"/>
        <w:snapToGrid w:val="0"/>
        <w:spacing w:line="360" w:lineRule="auto"/>
        <w:jc w:val="left"/>
        <w:rPr>
          <w:rFonts w:ascii="黑体" w:hAnsi="宋体" w:eastAsia="黑体"/>
          <w:b/>
          <w:szCs w:val="21"/>
        </w:rPr>
      </w:pPr>
    </w:p>
    <w:p>
      <w:pPr>
        <w:adjustRightInd w:val="0"/>
        <w:snapToGrid w:val="0"/>
        <w:spacing w:line="360" w:lineRule="auto"/>
        <w:jc w:val="left"/>
        <w:rPr>
          <w:rFonts w:ascii="仿宋_GB2312" w:hAnsi="宋体" w:eastAsia="仿宋_GB2312"/>
          <w:szCs w:val="21"/>
        </w:rPr>
      </w:pPr>
      <w:r>
        <w:rPr>
          <w:rFonts w:hint="eastAsia" w:ascii="黑体" w:hAnsi="宋体" w:eastAsia="黑体"/>
          <w:b/>
          <w:szCs w:val="21"/>
        </w:rPr>
        <w:t>　　</w:t>
      </w:r>
      <w:bookmarkStart w:id="218" w:name="_Toc27813_WPSOffice_Level2"/>
      <w:r>
        <w:rPr>
          <w:rFonts w:hint="eastAsia" w:ascii="黑体" w:hAnsi="宋体" w:eastAsia="黑体"/>
          <w:b/>
          <w:szCs w:val="21"/>
        </w:rPr>
        <w:t>六、交货时间和交货地点</w:t>
      </w:r>
      <w:bookmarkEnd w:id="218"/>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1.交货时间：</w:t>
      </w:r>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 xml:space="preserve">    2.交货地点：</w:t>
      </w:r>
    </w:p>
    <w:p>
      <w:pPr>
        <w:adjustRightInd w:val="0"/>
        <w:snapToGrid w:val="0"/>
        <w:spacing w:line="360" w:lineRule="auto"/>
        <w:jc w:val="left"/>
        <w:rPr>
          <w:rFonts w:ascii="黑体" w:hAnsi="宋体" w:eastAsia="黑体"/>
          <w:b/>
          <w:szCs w:val="21"/>
        </w:rPr>
      </w:pPr>
      <w:r>
        <w:rPr>
          <w:rFonts w:hint="eastAsia" w:ascii="黑体" w:hAnsi="宋体" w:eastAsia="黑体"/>
          <w:b/>
          <w:szCs w:val="21"/>
        </w:rPr>
        <w:t>　　</w:t>
      </w:r>
      <w:bookmarkStart w:id="219" w:name="_Toc12497_WPSOffice_Level2"/>
      <w:r>
        <w:rPr>
          <w:rFonts w:hint="eastAsia" w:ascii="黑体" w:hAnsi="宋体" w:eastAsia="黑体"/>
          <w:b/>
          <w:szCs w:val="21"/>
        </w:rPr>
        <w:t>七、验收要求</w:t>
      </w:r>
      <w:bookmarkEnd w:id="219"/>
    </w:p>
    <w:p>
      <w:pPr>
        <w:adjustRightInd w:val="0"/>
        <w:snapToGrid w:val="0"/>
        <w:spacing w:line="360" w:lineRule="auto"/>
        <w:jc w:val="left"/>
        <w:rPr>
          <w:rFonts w:ascii="仿宋_GB2312" w:hAnsi="宋体" w:eastAsia="仿宋_GB2312"/>
          <w:szCs w:val="21"/>
          <w:u w:val="single"/>
        </w:rPr>
      </w:pPr>
      <w:r>
        <w:rPr>
          <w:rFonts w:hint="eastAsia" w:ascii="仿宋_GB2312" w:hAnsi="宋体" w:eastAsia="仿宋_GB2312"/>
          <w:szCs w:val="21"/>
        </w:rPr>
        <w:t>供方完全履行合同义务后，需方或需方的最终用户按照上述政府采购合同文件列明的标准进行验收，验收不合格的，供方需按照第八条第2款的约定承担相应违约责任。</w:t>
      </w:r>
    </w:p>
    <w:p>
      <w:pPr>
        <w:adjustRightInd w:val="0"/>
        <w:snapToGrid w:val="0"/>
        <w:spacing w:line="360" w:lineRule="auto"/>
        <w:jc w:val="left"/>
        <w:rPr>
          <w:rFonts w:ascii="黑体" w:hAnsi="宋体" w:eastAsia="黑体"/>
          <w:b/>
          <w:szCs w:val="21"/>
        </w:rPr>
      </w:pPr>
      <w:bookmarkStart w:id="220" w:name="_Toc4868_WPSOffice_Level2"/>
      <w:r>
        <w:rPr>
          <w:rFonts w:hint="eastAsia" w:ascii="黑体" w:hAnsi="宋体" w:eastAsia="黑体"/>
          <w:b/>
          <w:szCs w:val="21"/>
        </w:rPr>
        <w:t>八、违约责任</w:t>
      </w:r>
      <w:bookmarkEnd w:id="220"/>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1.供方逾期供货的，每逾期一天向需方支付逾期供货金额%的违约金，逾期日的，需方有权单方面解除本协议。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3.需方逾期付款的，每逾期一天向供方支付逾期金额%的违约金，逾期日的，供方有权单方面解除本协议。</w:t>
      </w:r>
    </w:p>
    <w:p>
      <w:pPr>
        <w:adjustRightInd w:val="0"/>
        <w:snapToGrid w:val="0"/>
        <w:spacing w:line="360" w:lineRule="auto"/>
        <w:jc w:val="left"/>
        <w:rPr>
          <w:rFonts w:ascii="黑体" w:hAnsi="宋体" w:eastAsia="黑体"/>
          <w:b/>
          <w:szCs w:val="21"/>
        </w:rPr>
      </w:pPr>
      <w:bookmarkStart w:id="221" w:name="_Toc24496_WPSOffice_Level2"/>
      <w:r>
        <w:rPr>
          <w:rFonts w:hint="eastAsia" w:ascii="黑体" w:hAnsi="宋体" w:eastAsia="黑体"/>
          <w:b/>
          <w:szCs w:val="21"/>
        </w:rPr>
        <w:t>九、争议解决</w:t>
      </w:r>
      <w:bookmarkEnd w:id="221"/>
    </w:p>
    <w:p>
      <w:pPr>
        <w:adjustRightInd w:val="0"/>
        <w:snapToGrid w:val="0"/>
        <w:spacing w:line="360" w:lineRule="auto"/>
        <w:jc w:val="left"/>
        <w:rPr>
          <w:rFonts w:ascii="黑体" w:hAnsi="宋体" w:eastAsia="黑体"/>
          <w:b/>
          <w:szCs w:val="21"/>
        </w:rPr>
      </w:pPr>
      <w:r>
        <w:rPr>
          <w:rFonts w:hint="eastAsia" w:ascii="仿宋_GB2312" w:hAnsi="宋体" w:eastAsia="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ascii="黑体" w:hAnsi="宋体" w:eastAsia="黑体"/>
          <w:b/>
          <w:szCs w:val="21"/>
        </w:rPr>
      </w:pPr>
      <w:bookmarkStart w:id="222" w:name="_Toc24974_WPSOffice_Level2"/>
      <w:r>
        <w:rPr>
          <w:rFonts w:hint="eastAsia" w:ascii="黑体" w:hAnsi="宋体" w:eastAsia="黑体"/>
          <w:b/>
          <w:szCs w:val="21"/>
        </w:rPr>
        <w:t>十、合同生效</w:t>
      </w:r>
      <w:bookmarkEnd w:id="222"/>
    </w:p>
    <w:p>
      <w:pPr>
        <w:adjustRightInd w:val="0"/>
        <w:snapToGrid w:val="0"/>
        <w:spacing w:line="360" w:lineRule="auto"/>
        <w:jc w:val="left"/>
        <w:rPr>
          <w:rFonts w:ascii="仿宋_GB2312" w:hAnsi="宋体" w:eastAsia="仿宋_GB2312"/>
          <w:szCs w:val="21"/>
        </w:rPr>
      </w:pPr>
      <w:r>
        <w:rPr>
          <w:rFonts w:hint="eastAsia" w:ascii="仿宋_GB2312" w:hAnsi="宋体" w:eastAsia="仿宋_GB2312"/>
          <w:szCs w:val="21"/>
        </w:rPr>
        <w:t xml:space="preserve">    本政府采购合同经双方授权代表签字盖章后生效。</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需方（公章）:                       供方(公章):</w:t>
      </w:r>
    </w:p>
    <w:p>
      <w:pPr>
        <w:adjustRightInd w:val="0"/>
        <w:snapToGrid w:val="0"/>
        <w:spacing w:line="360" w:lineRule="auto"/>
        <w:ind w:firstLine="420" w:firstLineChars="200"/>
        <w:jc w:val="left"/>
        <w:rPr>
          <w:rFonts w:ascii="仿宋_GB2312" w:hAnsi="宋体" w:eastAsia="仿宋_GB2312"/>
          <w:szCs w:val="21"/>
        </w:rPr>
      </w:pPr>
      <w:r>
        <w:rPr>
          <w:rFonts w:hint="eastAsia" w:ascii="仿宋_GB2312" w:hAnsi="宋体" w:eastAsia="仿宋_GB2312"/>
          <w:szCs w:val="21"/>
        </w:rPr>
        <w:t>法定代表人或授权代表人(签字):         法定代表人或授权代表人(签字):</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地址：      地址：</w:t>
      </w:r>
    </w:p>
    <w:p>
      <w:pPr>
        <w:adjustRightInd w:val="0"/>
        <w:snapToGrid w:val="0"/>
        <w:spacing w:line="360" w:lineRule="auto"/>
        <w:ind w:firstLine="420" w:firstLineChars="200"/>
        <w:rPr>
          <w:rFonts w:ascii="仿宋_GB2312" w:hAnsi="Lucida Sans Unicode" w:eastAsia="仿宋_GB2312" w:cs="Lucida Sans Unicode"/>
          <w:szCs w:val="21"/>
        </w:rPr>
      </w:pPr>
      <w:r>
        <w:rPr>
          <w:rFonts w:hint="eastAsia" w:ascii="仿宋_GB2312" w:hAnsi="Lucida Sans Unicode" w:eastAsia="仿宋_GB2312" w:cs="Lucida Sans Unicode"/>
          <w:szCs w:val="21"/>
        </w:rPr>
        <w:t>联系人：      联系人：</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电话：      电话：</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传真：      传真：</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邮编：      邮编：</w:t>
      </w:r>
    </w:p>
    <w:p>
      <w:pPr>
        <w:adjustRightInd w:val="0"/>
        <w:snapToGrid w:val="0"/>
        <w:spacing w:line="360" w:lineRule="auto"/>
        <w:ind w:firstLine="420" w:firstLineChars="200"/>
        <w:rPr>
          <w:rFonts w:ascii="仿宋_GB2312" w:hAnsi="Lucida Sans Unicode" w:eastAsia="仿宋_GB2312" w:cs="Lucida Sans Unicode"/>
          <w:szCs w:val="21"/>
          <w:u w:val="single"/>
        </w:rPr>
      </w:pPr>
      <w:r>
        <w:rPr>
          <w:rFonts w:hint="eastAsia" w:ascii="仿宋_GB2312" w:hAnsi="Lucida Sans Unicode" w:eastAsia="仿宋_GB2312" w:cs="Lucida Sans Unicode"/>
          <w:szCs w:val="21"/>
        </w:rPr>
        <w:t>日期：</w:t>
      </w:r>
      <w:r>
        <w:rPr>
          <w:rFonts w:hint="eastAsia" w:ascii="仿宋_GB2312" w:hAnsi="Lucida Sans Unicode" w:eastAsia="仿宋_GB2312" w:cs="Lucida Sans Unicode"/>
          <w:szCs w:val="21"/>
          <w:u w:val="single"/>
        </w:rPr>
        <w:t xml:space="preserve">      年      月      日</w:t>
      </w:r>
      <w:r>
        <w:rPr>
          <w:rFonts w:hint="eastAsia" w:ascii="仿宋_GB2312" w:hAnsi="Lucida Sans Unicode" w:eastAsia="仿宋_GB2312" w:cs="Lucida Sans Unicode"/>
          <w:szCs w:val="21"/>
        </w:rPr>
        <w:t xml:space="preserve">      日期：</w:t>
      </w:r>
      <w:r>
        <w:rPr>
          <w:rFonts w:hint="eastAsia" w:ascii="仿宋_GB2312" w:hAnsi="Lucida Sans Unicode" w:eastAsia="仿宋_GB2312" w:cs="Lucida Sans Unicode"/>
          <w:szCs w:val="21"/>
          <w:u w:val="single"/>
        </w:rPr>
        <w:t xml:space="preserve">       年      月     日</w:t>
      </w:r>
    </w:p>
    <w:p>
      <w:pPr>
        <w:widowControl/>
        <w:jc w:val="left"/>
        <w:rPr>
          <w:rFonts w:ascii="仿宋_GB2312" w:hAnsi="仿宋_GB2312" w:eastAsia="仿宋_GB2312" w:cs="仿宋_GB2312"/>
          <w:b/>
          <w:sz w:val="28"/>
          <w:szCs w:val="28"/>
        </w:rPr>
      </w:pPr>
    </w:p>
    <w:p>
      <w:pPr>
        <w:wordWrap w:val="0"/>
        <w:adjustRightInd w:val="0"/>
        <w:snapToGrid w:val="0"/>
        <w:spacing w:line="360" w:lineRule="auto"/>
        <w:ind w:right="420"/>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spacing w:line="500" w:lineRule="exact"/>
        <w:rPr>
          <w:rFonts w:ascii="宋体" w:hAnsi="宋体"/>
          <w:b/>
          <w:sz w:val="44"/>
          <w:szCs w:val="44"/>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footerReference r:id="rId3" w:type="default"/>
      <w:pgSz w:w="11906" w:h="16838"/>
      <w:pgMar w:top="1531" w:right="1474"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8984753"/>
    </w:sdtPr>
    <w:sdtContent>
      <w:sdt>
        <w:sdtPr>
          <w:id w:val="1210456982"/>
        </w:sdtPr>
        <w:sdtContent>
          <w:p>
            <w:pPr>
              <w:pStyle w:val="1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69</w:t>
            </w:r>
            <w:r>
              <w:rPr>
                <w:b/>
                <w:bCs/>
                <w:sz w:val="24"/>
                <w:szCs w:val="24"/>
              </w:rPr>
              <w:fldChar w:fldCharType="end"/>
            </w:r>
          </w:p>
        </w:sdtContent>
      </w:sdt>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tentative="0">
      <w:start w:val="1"/>
      <w:numFmt w:val="chineseCounting"/>
      <w:suff w:val="space"/>
      <w:lvlText w:val="第%1章"/>
      <w:lvlJc w:val="left"/>
      <w:rPr>
        <w:rFonts w:hint="eastAsia"/>
      </w:rPr>
    </w:lvl>
  </w:abstractNum>
  <w:abstractNum w:abstractNumId="1">
    <w:nsid w:val="AFE37FAC"/>
    <w:multiLevelType w:val="singleLevel"/>
    <w:tmpl w:val="AFE37FAC"/>
    <w:lvl w:ilvl="0" w:tentative="0">
      <w:start w:val="2"/>
      <w:numFmt w:val="decimal"/>
      <w:suff w:val="nothing"/>
      <w:lvlText w:val="%1、"/>
      <w:lvlJc w:val="left"/>
      <w:pPr>
        <w:ind w:left="1050" w:firstLine="0"/>
      </w:pPr>
    </w:lvl>
  </w:abstractNum>
  <w:abstractNum w:abstractNumId="2">
    <w:nsid w:val="B4FDF470"/>
    <w:multiLevelType w:val="singleLevel"/>
    <w:tmpl w:val="B4FDF470"/>
    <w:lvl w:ilvl="0" w:tentative="0">
      <w:start w:val="1"/>
      <w:numFmt w:val="decimal"/>
      <w:suff w:val="nothing"/>
      <w:lvlText w:val="（%1）"/>
      <w:lvlJc w:val="left"/>
    </w:lvl>
  </w:abstractNum>
  <w:abstractNum w:abstractNumId="3">
    <w:nsid w:val="B9A1E8D1"/>
    <w:multiLevelType w:val="singleLevel"/>
    <w:tmpl w:val="B9A1E8D1"/>
    <w:lvl w:ilvl="0" w:tentative="0">
      <w:start w:val="1"/>
      <w:numFmt w:val="decimal"/>
      <w:suff w:val="nothing"/>
      <w:lvlText w:val="（%1）"/>
      <w:lvlJc w:val="left"/>
    </w:lvl>
  </w:abstractNum>
  <w:abstractNum w:abstractNumId="4">
    <w:nsid w:val="E54EE767"/>
    <w:multiLevelType w:val="singleLevel"/>
    <w:tmpl w:val="E54EE767"/>
    <w:lvl w:ilvl="0" w:tentative="0">
      <w:start w:val="1"/>
      <w:numFmt w:val="decimal"/>
      <w:suff w:val="nothing"/>
      <w:lvlText w:val="（%1）"/>
      <w:lvlJc w:val="left"/>
    </w:lvl>
  </w:abstractNum>
  <w:abstractNum w:abstractNumId="5">
    <w:nsid w:val="EE8E3184"/>
    <w:multiLevelType w:val="singleLevel"/>
    <w:tmpl w:val="EE8E3184"/>
    <w:lvl w:ilvl="0" w:tentative="0">
      <w:start w:val="1"/>
      <w:numFmt w:val="decimal"/>
      <w:suff w:val="nothing"/>
      <w:lvlText w:val="（%1）"/>
      <w:lvlJc w:val="left"/>
    </w:lvl>
  </w:abstractNum>
  <w:abstractNum w:abstractNumId="6">
    <w:nsid w:val="27E8E525"/>
    <w:multiLevelType w:val="singleLevel"/>
    <w:tmpl w:val="27E8E525"/>
    <w:lvl w:ilvl="0" w:tentative="0">
      <w:start w:val="1"/>
      <w:numFmt w:val="decimal"/>
      <w:suff w:val="nothing"/>
      <w:lvlText w:val="（%1）"/>
      <w:lvlJc w:val="left"/>
    </w:lvl>
  </w:abstractNum>
  <w:abstractNum w:abstractNumId="7">
    <w:nsid w:val="420C153B"/>
    <w:multiLevelType w:val="multilevel"/>
    <w:tmpl w:val="420C153B"/>
    <w:lvl w:ilvl="0" w:tentative="0">
      <w:start w:val="1"/>
      <w:numFmt w:val="decimal"/>
      <w:pStyle w:val="47"/>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8">
    <w:nsid w:val="468ACDF8"/>
    <w:multiLevelType w:val="singleLevel"/>
    <w:tmpl w:val="468ACDF8"/>
    <w:lvl w:ilvl="0" w:tentative="0">
      <w:start w:val="2"/>
      <w:numFmt w:val="chineseCounting"/>
      <w:suff w:val="nothing"/>
      <w:lvlText w:val="（%1）"/>
      <w:lvlJc w:val="left"/>
      <w:rPr>
        <w:rFonts w:hint="eastAsia"/>
      </w:rPr>
    </w:lvl>
  </w:abstractNum>
  <w:abstractNum w:abstractNumId="9">
    <w:nsid w:val="6C354B34"/>
    <w:multiLevelType w:val="singleLevel"/>
    <w:tmpl w:val="6C354B34"/>
    <w:lvl w:ilvl="0" w:tentative="0">
      <w:start w:val="1"/>
      <w:numFmt w:val="decimal"/>
      <w:suff w:val="nothing"/>
      <w:lvlText w:val="%1．"/>
      <w:lvlJc w:val="left"/>
    </w:lvl>
  </w:abstractNum>
  <w:abstractNum w:abstractNumId="10">
    <w:nsid w:val="7B4156D0"/>
    <w:multiLevelType w:val="singleLevel"/>
    <w:tmpl w:val="7B4156D0"/>
    <w:lvl w:ilvl="0" w:tentative="0">
      <w:start w:val="1"/>
      <w:numFmt w:val="decimal"/>
      <w:suff w:val="nothing"/>
      <w:lvlText w:val="（%1）"/>
      <w:lvlJc w:val="left"/>
    </w:lvl>
  </w:abstractNum>
  <w:num w:numId="1">
    <w:abstractNumId w:val="7"/>
  </w:num>
  <w:num w:numId="2">
    <w:abstractNumId w:val="0"/>
  </w:num>
  <w:num w:numId="3">
    <w:abstractNumId w:val="3"/>
  </w:num>
  <w:num w:numId="4">
    <w:abstractNumId w:val="9"/>
  </w:num>
  <w:num w:numId="5">
    <w:abstractNumId w:val="2"/>
  </w:num>
  <w:num w:numId="6">
    <w:abstractNumId w:val="6"/>
  </w:num>
  <w:num w:numId="7">
    <w:abstractNumId w:val="5"/>
  </w:num>
  <w:num w:numId="8">
    <w:abstractNumId w:val="1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16F"/>
    <w:rsid w:val="0002020E"/>
    <w:rsid w:val="0005558B"/>
    <w:rsid w:val="00090D1F"/>
    <w:rsid w:val="0011268B"/>
    <w:rsid w:val="00131BEF"/>
    <w:rsid w:val="001349B3"/>
    <w:rsid w:val="00140F05"/>
    <w:rsid w:val="001511CC"/>
    <w:rsid w:val="001970A2"/>
    <w:rsid w:val="001B1356"/>
    <w:rsid w:val="001E6628"/>
    <w:rsid w:val="00250B2B"/>
    <w:rsid w:val="00252A0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C83"/>
    <w:rsid w:val="006D2162"/>
    <w:rsid w:val="0072300E"/>
    <w:rsid w:val="00750D08"/>
    <w:rsid w:val="007613E1"/>
    <w:rsid w:val="00777F6D"/>
    <w:rsid w:val="007B2772"/>
    <w:rsid w:val="007D7342"/>
    <w:rsid w:val="00836CF3"/>
    <w:rsid w:val="00873CCF"/>
    <w:rsid w:val="008E0350"/>
    <w:rsid w:val="008E592E"/>
    <w:rsid w:val="008F00BF"/>
    <w:rsid w:val="00957660"/>
    <w:rsid w:val="009645B2"/>
    <w:rsid w:val="009744C2"/>
    <w:rsid w:val="00A41327"/>
    <w:rsid w:val="00A53930"/>
    <w:rsid w:val="00A6024C"/>
    <w:rsid w:val="00A8676A"/>
    <w:rsid w:val="00B703A9"/>
    <w:rsid w:val="00B808BB"/>
    <w:rsid w:val="00BA4F70"/>
    <w:rsid w:val="00CC10BA"/>
    <w:rsid w:val="00D32217"/>
    <w:rsid w:val="00D47FF5"/>
    <w:rsid w:val="00D55C7E"/>
    <w:rsid w:val="00DD1156"/>
    <w:rsid w:val="00EA0331"/>
    <w:rsid w:val="00F50D6A"/>
    <w:rsid w:val="00F51F23"/>
    <w:rsid w:val="00F56402"/>
    <w:rsid w:val="00FB3531"/>
    <w:rsid w:val="07006692"/>
    <w:rsid w:val="0E475404"/>
    <w:rsid w:val="16CF5B0D"/>
    <w:rsid w:val="1AC97ED2"/>
    <w:rsid w:val="33646C3F"/>
    <w:rsid w:val="43FF1101"/>
    <w:rsid w:val="4C5E77CE"/>
    <w:rsid w:val="4FB76DFD"/>
    <w:rsid w:val="6AFC1AAF"/>
    <w:rsid w:val="6BF71E2A"/>
    <w:rsid w:val="7382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0"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2" w:lineRule="auto"/>
      <w:outlineLvl w:val="2"/>
    </w:pPr>
    <w:rPr>
      <w:sz w:val="32"/>
      <w:szCs w:val="32"/>
    </w:rPr>
  </w:style>
  <w:style w:type="paragraph" w:styleId="5">
    <w:name w:val="heading 4"/>
    <w:basedOn w:val="1"/>
    <w:next w:val="1"/>
    <w:link w:val="33"/>
    <w:unhideWhenUsed/>
    <w:qFormat/>
    <w:uiPriority w:val="0"/>
    <w:pPr>
      <w:widowControl/>
      <w:jc w:val="left"/>
      <w:outlineLvl w:val="3"/>
    </w:pPr>
    <w:rPr>
      <w:rFonts w:ascii="宋体" w:hAnsi="宋体" w:cs="宋体"/>
      <w:kern w:val="0"/>
      <w:sz w:val="24"/>
    </w:rPr>
  </w:style>
  <w:style w:type="character" w:default="1" w:styleId="2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rPr>
      <w:szCs w:val="20"/>
    </w:rPr>
  </w:style>
  <w:style w:type="paragraph" w:styleId="7">
    <w:name w:val="Document Map"/>
    <w:basedOn w:val="1"/>
    <w:link w:val="40"/>
    <w:semiHidden/>
    <w:unhideWhenUsed/>
    <w:qFormat/>
    <w:uiPriority w:val="0"/>
    <w:pPr>
      <w:shd w:val="clear" w:color="auto" w:fill="000080"/>
    </w:pPr>
  </w:style>
  <w:style w:type="paragraph" w:styleId="8">
    <w:name w:val="annotation text"/>
    <w:basedOn w:val="1"/>
    <w:link w:val="36"/>
    <w:unhideWhenUsed/>
    <w:qFormat/>
    <w:uiPriority w:val="99"/>
    <w:pPr>
      <w:jc w:val="left"/>
    </w:pPr>
  </w:style>
  <w:style w:type="paragraph" w:styleId="9">
    <w:name w:val="Body Text"/>
    <w:basedOn w:val="1"/>
    <w:link w:val="37"/>
    <w:unhideWhenUsed/>
    <w:qFormat/>
    <w:uiPriority w:val="0"/>
    <w:pPr>
      <w:spacing w:after="120"/>
    </w:pPr>
  </w:style>
  <w:style w:type="paragraph" w:styleId="10">
    <w:name w:val="Body Text Indent"/>
    <w:basedOn w:val="1"/>
    <w:link w:val="38"/>
    <w:unhideWhenUsed/>
    <w:qFormat/>
    <w:uiPriority w:val="0"/>
    <w:pPr>
      <w:spacing w:line="360" w:lineRule="auto"/>
      <w:ind w:firstLine="480" w:firstLineChars="200"/>
    </w:pPr>
    <w:rPr>
      <w:rFonts w:ascii="宋体"/>
      <w:sz w:val="24"/>
      <w:szCs w:val="20"/>
    </w:rPr>
  </w:style>
  <w:style w:type="paragraph" w:styleId="11">
    <w:name w:val="Plain Text"/>
    <w:basedOn w:val="1"/>
    <w:link w:val="41"/>
    <w:unhideWhenUsed/>
    <w:qFormat/>
    <w:uiPriority w:val="99"/>
    <w:rPr>
      <w:rFonts w:ascii="宋体" w:hAnsi="Courier New" w:cs="Courier New"/>
      <w:szCs w:val="21"/>
    </w:rPr>
  </w:style>
  <w:style w:type="paragraph" w:styleId="12">
    <w:name w:val="Date"/>
    <w:basedOn w:val="1"/>
    <w:next w:val="1"/>
    <w:link w:val="39"/>
    <w:unhideWhenUsed/>
    <w:qFormat/>
    <w:uiPriority w:val="0"/>
    <w:rPr>
      <w:sz w:val="24"/>
      <w:szCs w:val="20"/>
    </w:rPr>
  </w:style>
  <w:style w:type="paragraph" w:styleId="13">
    <w:name w:val="Balloon Text"/>
    <w:basedOn w:val="1"/>
    <w:link w:val="44"/>
    <w:unhideWhenUsed/>
    <w:qFormat/>
    <w:uiPriority w:val="0"/>
    <w:rPr>
      <w:sz w:val="18"/>
      <w:szCs w:val="18"/>
    </w:rPr>
  </w:style>
  <w:style w:type="paragraph" w:styleId="14">
    <w:name w:val="footer"/>
    <w:basedOn w:val="1"/>
    <w:link w:val="29"/>
    <w:unhideWhenUsed/>
    <w:qFormat/>
    <w:uiPriority w:val="0"/>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HTML Preformatted"/>
    <w:basedOn w:val="1"/>
    <w:link w:val="3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unhideWhenUsed/>
    <w:qFormat/>
    <w:uiPriority w:val="0"/>
    <w:pPr>
      <w:widowControl/>
      <w:spacing w:before="100" w:beforeAutospacing="1" w:after="100" w:afterAutospacing="1"/>
      <w:jc w:val="left"/>
    </w:pPr>
    <w:rPr>
      <w:rFonts w:ascii="宋体" w:hAnsi="宋体"/>
      <w:kern w:val="0"/>
      <w:sz w:val="24"/>
      <w:szCs w:val="20"/>
    </w:rPr>
  </w:style>
  <w:style w:type="paragraph" w:styleId="18">
    <w:name w:val="annotation subject"/>
    <w:basedOn w:val="8"/>
    <w:next w:val="8"/>
    <w:link w:val="43"/>
    <w:semiHidden/>
    <w:unhideWhenUsed/>
    <w:qFormat/>
    <w:uiPriority w:val="0"/>
    <w:rPr>
      <w:b/>
      <w:bCs/>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1">
    <w:name w:val="Table Elegant"/>
    <w:basedOn w:val="19"/>
    <w:unhideWhenUsed/>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caps/>
        <w:color w:val="auto"/>
      </w:rPr>
      <w:tblPr>
        <w:tblLayout w:type="fixed"/>
      </w:tblPr>
      <w:tcPr>
        <w:tcBorders>
          <w:tl2br w:val="nil"/>
          <w:tr2bl w:val="nil"/>
        </w:tcBorders>
      </w:tcPr>
    </w:tblStylePr>
  </w:style>
  <w:style w:type="character" w:styleId="23">
    <w:name w:val="Strong"/>
    <w:qFormat/>
    <w:uiPriority w:val="0"/>
    <w:rPr>
      <w:b/>
      <w:bCs/>
    </w:rPr>
  </w:style>
  <w:style w:type="character" w:styleId="24">
    <w:name w:val="page number"/>
    <w:basedOn w:val="22"/>
    <w:qFormat/>
    <w:uiPriority w:val="0"/>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0"/>
    <w:rPr>
      <w:color w:val="0000FF"/>
      <w:u w:val="single"/>
    </w:rPr>
  </w:style>
  <w:style w:type="character" w:styleId="27">
    <w:name w:val="annotation reference"/>
    <w:basedOn w:val="22"/>
    <w:unhideWhenUsed/>
    <w:qFormat/>
    <w:uiPriority w:val="0"/>
    <w:rPr>
      <w:sz w:val="21"/>
      <w:szCs w:val="21"/>
    </w:rPr>
  </w:style>
  <w:style w:type="character" w:customStyle="1" w:styleId="28">
    <w:name w:val="页眉 Char"/>
    <w:basedOn w:val="22"/>
    <w:link w:val="15"/>
    <w:qFormat/>
    <w:uiPriority w:val="99"/>
    <w:rPr>
      <w:sz w:val="18"/>
      <w:szCs w:val="18"/>
    </w:rPr>
  </w:style>
  <w:style w:type="character" w:customStyle="1" w:styleId="29">
    <w:name w:val="页脚 Char"/>
    <w:basedOn w:val="22"/>
    <w:link w:val="14"/>
    <w:qFormat/>
    <w:uiPriority w:val="99"/>
    <w:rPr>
      <w:sz w:val="18"/>
      <w:szCs w:val="18"/>
    </w:rPr>
  </w:style>
  <w:style w:type="character" w:customStyle="1" w:styleId="30">
    <w:name w:val="标题 1 Char"/>
    <w:basedOn w:val="22"/>
    <w:link w:val="2"/>
    <w:qFormat/>
    <w:uiPriority w:val="0"/>
    <w:rPr>
      <w:rFonts w:ascii="Times New Roman" w:hAnsi="Times New Roman" w:eastAsia="宋体" w:cs="Times New Roman"/>
      <w:b/>
      <w:bCs/>
      <w:kern w:val="44"/>
      <w:sz w:val="44"/>
      <w:szCs w:val="44"/>
    </w:rPr>
  </w:style>
  <w:style w:type="character" w:customStyle="1" w:styleId="31">
    <w:name w:val="标题 2 Char"/>
    <w:basedOn w:val="22"/>
    <w:link w:val="3"/>
    <w:uiPriority w:val="0"/>
    <w:rPr>
      <w:rFonts w:ascii="Arial" w:hAnsi="Arial" w:eastAsia="黑体" w:cs="Times New Roman"/>
      <w:b/>
      <w:bCs/>
      <w:sz w:val="32"/>
      <w:szCs w:val="32"/>
    </w:rPr>
  </w:style>
  <w:style w:type="character" w:customStyle="1" w:styleId="32">
    <w:name w:val="标题 3 Char"/>
    <w:basedOn w:val="22"/>
    <w:qFormat/>
    <w:uiPriority w:val="0"/>
    <w:rPr>
      <w:rFonts w:ascii="Times New Roman" w:hAnsi="Times New Roman" w:eastAsia="宋体" w:cs="Times New Roman"/>
      <w:b/>
      <w:bCs/>
      <w:sz w:val="32"/>
      <w:szCs w:val="32"/>
    </w:rPr>
  </w:style>
  <w:style w:type="character" w:customStyle="1" w:styleId="33">
    <w:name w:val="标题 4 Char"/>
    <w:basedOn w:val="22"/>
    <w:link w:val="5"/>
    <w:uiPriority w:val="0"/>
    <w:rPr>
      <w:rFonts w:ascii="宋体" w:hAnsi="宋体" w:eastAsia="宋体" w:cs="宋体"/>
      <w:kern w:val="0"/>
      <w:sz w:val="24"/>
      <w:szCs w:val="24"/>
    </w:rPr>
  </w:style>
  <w:style w:type="character" w:customStyle="1" w:styleId="34">
    <w:name w:val="标题 3 Char1"/>
    <w:basedOn w:val="22"/>
    <w:link w:val="4"/>
    <w:locked/>
    <w:uiPriority w:val="0"/>
    <w:rPr>
      <w:rFonts w:ascii="Times New Roman" w:hAnsi="Times New Roman" w:eastAsia="宋体" w:cs="Times New Roman"/>
      <w:sz w:val="32"/>
      <w:szCs w:val="32"/>
    </w:rPr>
  </w:style>
  <w:style w:type="character" w:customStyle="1" w:styleId="35">
    <w:name w:val="HTML 预设格式 Char"/>
    <w:basedOn w:val="22"/>
    <w:link w:val="16"/>
    <w:qFormat/>
    <w:uiPriority w:val="0"/>
    <w:rPr>
      <w:rFonts w:ascii="宋体" w:hAnsi="宋体" w:eastAsia="宋体" w:cs="宋体"/>
      <w:kern w:val="0"/>
      <w:sz w:val="24"/>
      <w:szCs w:val="24"/>
    </w:rPr>
  </w:style>
  <w:style w:type="character" w:customStyle="1" w:styleId="36">
    <w:name w:val="批注文字 Char"/>
    <w:basedOn w:val="22"/>
    <w:link w:val="8"/>
    <w:semiHidden/>
    <w:qFormat/>
    <w:uiPriority w:val="99"/>
    <w:rPr>
      <w:rFonts w:ascii="Times New Roman" w:hAnsi="Times New Roman" w:eastAsia="宋体" w:cs="Times New Roman"/>
      <w:szCs w:val="24"/>
    </w:rPr>
  </w:style>
  <w:style w:type="character" w:customStyle="1" w:styleId="37">
    <w:name w:val="正文文本 Char"/>
    <w:basedOn w:val="22"/>
    <w:link w:val="9"/>
    <w:qFormat/>
    <w:uiPriority w:val="0"/>
    <w:rPr>
      <w:rFonts w:ascii="Times New Roman" w:hAnsi="Times New Roman" w:eastAsia="宋体" w:cs="Times New Roman"/>
      <w:szCs w:val="24"/>
    </w:rPr>
  </w:style>
  <w:style w:type="character" w:customStyle="1" w:styleId="38">
    <w:name w:val="正文文本缩进 Char"/>
    <w:basedOn w:val="22"/>
    <w:link w:val="10"/>
    <w:uiPriority w:val="0"/>
    <w:rPr>
      <w:rFonts w:ascii="宋体" w:hAnsi="Times New Roman" w:eastAsia="宋体" w:cs="Times New Roman"/>
      <w:sz w:val="24"/>
      <w:szCs w:val="20"/>
    </w:rPr>
  </w:style>
  <w:style w:type="character" w:customStyle="1" w:styleId="39">
    <w:name w:val="日期 Char"/>
    <w:basedOn w:val="22"/>
    <w:link w:val="12"/>
    <w:uiPriority w:val="0"/>
    <w:rPr>
      <w:rFonts w:ascii="Times New Roman" w:hAnsi="Times New Roman" w:eastAsia="宋体" w:cs="Times New Roman"/>
      <w:sz w:val="24"/>
      <w:szCs w:val="20"/>
    </w:rPr>
  </w:style>
  <w:style w:type="character" w:customStyle="1" w:styleId="40">
    <w:name w:val="文档结构图 Char"/>
    <w:basedOn w:val="22"/>
    <w:link w:val="7"/>
    <w:semiHidden/>
    <w:qFormat/>
    <w:uiPriority w:val="0"/>
    <w:rPr>
      <w:rFonts w:ascii="Times New Roman" w:hAnsi="Times New Roman" w:eastAsia="宋体" w:cs="Times New Roman"/>
      <w:szCs w:val="24"/>
      <w:shd w:val="clear" w:color="auto" w:fill="000080"/>
    </w:rPr>
  </w:style>
  <w:style w:type="character" w:customStyle="1" w:styleId="41">
    <w:name w:val="纯文本 Char"/>
    <w:basedOn w:val="22"/>
    <w:link w:val="11"/>
    <w:qFormat/>
    <w:locked/>
    <w:uiPriority w:val="0"/>
    <w:rPr>
      <w:rFonts w:ascii="宋体" w:hAnsi="Courier New" w:eastAsia="宋体" w:cs="Courier New"/>
      <w:szCs w:val="21"/>
    </w:rPr>
  </w:style>
  <w:style w:type="character" w:customStyle="1" w:styleId="42">
    <w:name w:val="纯文本 Char1"/>
    <w:basedOn w:val="22"/>
    <w:semiHidden/>
    <w:qFormat/>
    <w:uiPriority w:val="99"/>
    <w:rPr>
      <w:rFonts w:ascii="宋体" w:hAnsi="Courier New" w:eastAsia="宋体" w:cs="Courier New"/>
      <w:szCs w:val="21"/>
    </w:rPr>
  </w:style>
  <w:style w:type="character" w:customStyle="1" w:styleId="43">
    <w:name w:val="批注主题 Char"/>
    <w:basedOn w:val="36"/>
    <w:link w:val="18"/>
    <w:semiHidden/>
    <w:qFormat/>
    <w:uiPriority w:val="0"/>
    <w:rPr>
      <w:rFonts w:ascii="Times New Roman" w:hAnsi="Times New Roman" w:eastAsia="宋体" w:cs="Times New Roman"/>
      <w:b/>
      <w:bCs/>
      <w:szCs w:val="24"/>
    </w:rPr>
  </w:style>
  <w:style w:type="character" w:customStyle="1" w:styleId="44">
    <w:name w:val="批注框文本 Char"/>
    <w:basedOn w:val="22"/>
    <w:link w:val="13"/>
    <w:qFormat/>
    <w:uiPriority w:val="0"/>
    <w:rPr>
      <w:rFonts w:ascii="Times New Roman" w:hAnsi="Times New Roman" w:eastAsia="宋体" w:cs="Times New Roman"/>
      <w:sz w:val="18"/>
      <w:szCs w:val="18"/>
    </w:rPr>
  </w:style>
  <w:style w:type="paragraph" w:styleId="45">
    <w:name w:val="List Paragraph"/>
    <w:basedOn w:val="1"/>
    <w:qFormat/>
    <w:uiPriority w:val="34"/>
    <w:pPr>
      <w:ind w:firstLine="420" w:firstLineChars="200"/>
    </w:pPr>
    <w:rPr>
      <w:rFonts w:ascii="Calibri" w:hAnsi="Calibri"/>
      <w:szCs w:val="22"/>
    </w:rPr>
  </w:style>
  <w:style w:type="paragraph" w:customStyle="1" w:styleId="46">
    <w:name w:val="Char"/>
    <w:basedOn w:val="1"/>
    <w:qFormat/>
    <w:uiPriority w:val="0"/>
    <w:rPr>
      <w:rFonts w:ascii="Tahoma" w:hAnsi="Tahoma"/>
      <w:sz w:val="24"/>
      <w:szCs w:val="20"/>
    </w:rPr>
  </w:style>
  <w:style w:type="paragraph" w:customStyle="1" w:styleId="47">
    <w:name w:val="样式1"/>
    <w:basedOn w:val="1"/>
    <w:qFormat/>
    <w:uiPriority w:val="0"/>
    <w:pPr>
      <w:numPr>
        <w:ilvl w:val="0"/>
        <w:numId w:val="1"/>
      </w:numPr>
      <w:adjustRightInd w:val="0"/>
    </w:pPr>
    <w:rPr>
      <w:rFonts w:ascii="宋体" w:hAnsi="宋体"/>
      <w:kern w:val="0"/>
      <w:szCs w:val="21"/>
    </w:rPr>
  </w:style>
  <w:style w:type="paragraph" w:customStyle="1" w:styleId="48">
    <w:name w:val="默认段落字体 Para Char"/>
    <w:basedOn w:val="1"/>
    <w:qFormat/>
    <w:uiPriority w:val="0"/>
    <w:pPr>
      <w:adjustRightInd w:val="0"/>
      <w:spacing w:line="360" w:lineRule="auto"/>
    </w:pPr>
    <w:rPr>
      <w:kern w:val="0"/>
      <w:sz w:val="24"/>
      <w:szCs w:val="20"/>
    </w:rPr>
  </w:style>
  <w:style w:type="paragraph" w:customStyle="1" w:styleId="49">
    <w:name w:val="Char1 Char Char Char"/>
    <w:basedOn w:val="1"/>
    <w:qFormat/>
    <w:uiPriority w:val="0"/>
    <w:rPr>
      <w:rFonts w:ascii="Tahoma" w:hAnsi="Tahoma" w:eastAsia="仿宋_GB2312"/>
      <w:b/>
      <w:sz w:val="24"/>
      <w:szCs w:val="20"/>
    </w:rPr>
  </w:style>
  <w:style w:type="paragraph" w:customStyle="1" w:styleId="50">
    <w:name w:val="Char Char Char"/>
    <w:basedOn w:val="7"/>
    <w:qFormat/>
    <w:uiPriority w:val="0"/>
    <w:pPr>
      <w:jc w:val="center"/>
    </w:pPr>
    <w:rPr>
      <w:rFonts w:ascii="宋体" w:hAnsi="宋体"/>
      <w:sz w:val="24"/>
    </w:rPr>
  </w:style>
  <w:style w:type="paragraph" w:customStyle="1" w:styleId="51">
    <w:name w:val="Char Char Char Char Char Char1 Char"/>
    <w:basedOn w:val="1"/>
    <w:qFormat/>
    <w:uiPriority w:val="0"/>
    <w:pPr>
      <w:widowControl/>
      <w:spacing w:after="160" w:line="240" w:lineRule="exact"/>
      <w:jc w:val="left"/>
    </w:pPr>
    <w:rPr>
      <w:szCs w:val="20"/>
    </w:rPr>
  </w:style>
  <w:style w:type="paragraph" w:customStyle="1" w:styleId="52">
    <w:name w:val="pa-3"/>
    <w:basedOn w:val="1"/>
    <w:qFormat/>
    <w:uiPriority w:val="0"/>
    <w:pPr>
      <w:widowControl/>
      <w:spacing w:before="150" w:after="150"/>
      <w:jc w:val="left"/>
    </w:pPr>
    <w:rPr>
      <w:rFonts w:ascii="宋体" w:hAnsi="宋体" w:cs="宋体"/>
      <w:kern w:val="0"/>
      <w:sz w:val="24"/>
    </w:rPr>
  </w:style>
  <w:style w:type="paragraph" w:customStyle="1" w:styleId="53">
    <w:name w:val="pa-4"/>
    <w:basedOn w:val="1"/>
    <w:qFormat/>
    <w:uiPriority w:val="0"/>
    <w:pPr>
      <w:widowControl/>
      <w:spacing w:before="150" w:after="150"/>
      <w:jc w:val="left"/>
    </w:pPr>
    <w:rPr>
      <w:rFonts w:ascii="宋体" w:hAnsi="宋体" w:cs="宋体"/>
      <w:kern w:val="0"/>
      <w:sz w:val="24"/>
    </w:rPr>
  </w:style>
  <w:style w:type="paragraph" w:customStyle="1" w:styleId="54">
    <w:name w:val="pa-2"/>
    <w:basedOn w:val="1"/>
    <w:qFormat/>
    <w:uiPriority w:val="0"/>
    <w:pPr>
      <w:widowControl/>
      <w:spacing w:before="150" w:after="150"/>
      <w:jc w:val="left"/>
    </w:pPr>
    <w:rPr>
      <w:rFonts w:ascii="宋体" w:hAnsi="宋体" w:cs="宋体"/>
      <w:kern w:val="0"/>
      <w:sz w:val="24"/>
    </w:rPr>
  </w:style>
  <w:style w:type="paragraph" w:customStyle="1" w:styleId="55">
    <w:name w:val="pa-6"/>
    <w:basedOn w:val="1"/>
    <w:qFormat/>
    <w:uiPriority w:val="0"/>
    <w:pPr>
      <w:widowControl/>
      <w:spacing w:before="150" w:after="150"/>
      <w:jc w:val="left"/>
    </w:pPr>
    <w:rPr>
      <w:rFonts w:ascii="宋体" w:hAnsi="宋体" w:cs="宋体"/>
      <w:kern w:val="0"/>
      <w:sz w:val="24"/>
    </w:rPr>
  </w:style>
  <w:style w:type="paragraph" w:customStyle="1" w:styleId="56">
    <w:name w:val="pa-1"/>
    <w:basedOn w:val="1"/>
    <w:qFormat/>
    <w:uiPriority w:val="0"/>
    <w:pPr>
      <w:widowControl/>
      <w:spacing w:before="150" w:after="150"/>
      <w:jc w:val="left"/>
    </w:pPr>
    <w:rPr>
      <w:rFonts w:ascii="宋体" w:hAnsi="宋体" w:cs="宋体"/>
      <w:kern w:val="0"/>
      <w:sz w:val="24"/>
    </w:rPr>
  </w:style>
  <w:style w:type="paragraph" w:customStyle="1" w:styleId="57">
    <w:name w:val="1 Char Char Char Char Char"/>
    <w:basedOn w:val="1"/>
    <w:uiPriority w:val="0"/>
    <w:pPr>
      <w:tabs>
        <w:tab w:val="left" w:pos="360"/>
      </w:tabs>
      <w:ind w:left="360" w:hanging="360" w:hangingChars="200"/>
    </w:pPr>
    <w:rPr>
      <w:sz w:val="24"/>
    </w:rPr>
  </w:style>
  <w:style w:type="paragraph" w:customStyle="1" w:styleId="5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60">
    <w:name w:val="正文2"/>
    <w:basedOn w:val="1"/>
    <w:qFormat/>
    <w:uiPriority w:val="0"/>
    <w:pPr>
      <w:spacing w:line="360" w:lineRule="exact"/>
      <w:ind w:firstLine="200" w:firstLineChars="200"/>
    </w:pPr>
    <w:rPr>
      <w:rFonts w:ascii="宋体" w:hAnsi="宋体" w:cs="宋体"/>
      <w:szCs w:val="20"/>
    </w:rPr>
  </w:style>
  <w:style w:type="paragraph" w:customStyle="1" w:styleId="61">
    <w:name w:val="Char1 Char Char Char Char Char Char"/>
    <w:basedOn w:val="1"/>
    <w:qFormat/>
    <w:uiPriority w:val="0"/>
    <w:rPr>
      <w:rFonts w:ascii="Tahoma" w:hAnsi="Tahoma"/>
      <w:sz w:val="24"/>
      <w:szCs w:val="20"/>
    </w:rPr>
  </w:style>
  <w:style w:type="character" w:styleId="62">
    <w:name w:val="Placeholder Text"/>
    <w:basedOn w:val="22"/>
    <w:semiHidden/>
    <w:qFormat/>
    <w:uiPriority w:val="99"/>
    <w:rPr>
      <w:color w:val="808080"/>
    </w:rPr>
  </w:style>
  <w:style w:type="character" w:customStyle="1" w:styleId="63">
    <w:name w:val="ca-2"/>
    <w:basedOn w:val="22"/>
    <w:qFormat/>
    <w:uiPriority w:val="0"/>
  </w:style>
  <w:style w:type="character" w:customStyle="1" w:styleId="64">
    <w:name w:val="ca-0"/>
    <w:basedOn w:val="22"/>
    <w:uiPriority w:val="0"/>
  </w:style>
  <w:style w:type="character" w:customStyle="1" w:styleId="65">
    <w:name w:val="ca-1"/>
    <w:basedOn w:val="22"/>
    <w:uiPriority w:val="0"/>
  </w:style>
  <w:style w:type="character" w:customStyle="1" w:styleId="66">
    <w:name w:val="ca-3"/>
    <w:basedOn w:val="22"/>
    <w:qFormat/>
    <w:uiPriority w:val="0"/>
  </w:style>
  <w:style w:type="character" w:customStyle="1" w:styleId="67">
    <w:name w:val="ca-4"/>
    <w:basedOn w:val="22"/>
    <w:qFormat/>
    <w:uiPriority w:val="0"/>
  </w:style>
  <w:style w:type="character" w:customStyle="1" w:styleId="68">
    <w:name w:val="ca-5"/>
    <w:basedOn w:val="22"/>
    <w:qFormat/>
    <w:uiPriority w:val="0"/>
  </w:style>
  <w:style w:type="character" w:customStyle="1" w:styleId="69">
    <w:name w:val="ca-6"/>
    <w:basedOn w:val="22"/>
    <w:qFormat/>
    <w:uiPriority w:val="0"/>
  </w:style>
  <w:style w:type="character" w:customStyle="1" w:styleId="70">
    <w:name w:val="style"/>
    <w:basedOn w:val="22"/>
    <w:qFormat/>
    <w:uiPriority w:val="0"/>
  </w:style>
  <w:style w:type="character" w:customStyle="1" w:styleId="71">
    <w:name w:val="yiyi21"/>
    <w:basedOn w:val="22"/>
    <w:qFormat/>
    <w:uiPriority w:val="0"/>
    <w:rPr>
      <w:color w:val="003300"/>
      <w:sz w:val="18"/>
      <w:szCs w:val="18"/>
      <w:u w:val="none"/>
    </w:rPr>
  </w:style>
  <w:style w:type="character" w:customStyle="1" w:styleId="72">
    <w:name w:val="javascript"/>
    <w:basedOn w:val="22"/>
    <w:qFormat/>
    <w:uiPriority w:val="0"/>
  </w:style>
  <w:style w:type="character" w:customStyle="1" w:styleId="73">
    <w:name w:val="ft141"/>
    <w:basedOn w:val="22"/>
    <w:qFormat/>
    <w:uiPriority w:val="0"/>
    <w:rPr>
      <w:sz w:val="14"/>
      <w:szCs w:val="14"/>
    </w:rPr>
  </w:style>
  <w:style w:type="character" w:customStyle="1" w:styleId="74">
    <w:name w:val="productfont_style"/>
    <w:basedOn w:val="22"/>
    <w:qFormat/>
    <w:uiPriority w:val="0"/>
  </w:style>
  <w:style w:type="character" w:customStyle="1" w:styleId="75">
    <w:name w:val="style5"/>
    <w:basedOn w:val="22"/>
    <w:qFormat/>
    <w:uiPriority w:val="0"/>
  </w:style>
  <w:style w:type="character" w:customStyle="1" w:styleId="76">
    <w:name w:val="style6"/>
    <w:basedOn w:val="22"/>
    <w:qFormat/>
    <w:uiPriority w:val="0"/>
  </w:style>
  <w:style w:type="character" w:customStyle="1" w:styleId="77">
    <w:name w:val="t22"/>
    <w:qFormat/>
    <w:uiPriority w:val="0"/>
    <w:rPr>
      <w:rFonts w:hint="eastAsia" w:ascii="宋体" w:hAnsi="宋体" w:eastAsia="宋体"/>
      <w:color w:val="002B55"/>
      <w:sz w:val="18"/>
      <w:szCs w:val="18"/>
      <w:u w:val="none"/>
    </w:rPr>
  </w:style>
  <w:style w:type="character" w:customStyle="1" w:styleId="78">
    <w:name w:val="info"/>
    <w:basedOn w:val="22"/>
    <w:qFormat/>
    <w:uiPriority w:val="0"/>
  </w:style>
  <w:style w:type="character" w:customStyle="1" w:styleId="79">
    <w:name w:val="apple-converted-space"/>
    <w:basedOn w:val="22"/>
    <w:qFormat/>
    <w:uiPriority w:val="0"/>
  </w:style>
  <w:style w:type="character" w:customStyle="1" w:styleId="80">
    <w:name w:val="占位符文本1"/>
    <w:semiHidden/>
    <w:qFormat/>
    <w:uiPriority w:val="0"/>
    <w:rPr>
      <w:rFonts w:cs="Times New Roman"/>
      <w:color w:val="808080"/>
    </w:rPr>
  </w:style>
  <w:style w:type="paragraph" w:customStyle="1" w:styleId="81">
    <w:name w:val="样式H"/>
    <w:basedOn w:val="2"/>
    <w:next w:val="1"/>
    <w:qFormat/>
    <w:uiPriority w:val="0"/>
    <w:pPr>
      <w:spacing w:before="100" w:after="120" w:line="500" w:lineRule="exact"/>
      <w:jc w:val="center"/>
    </w:pPr>
    <w:rPr>
      <w:rFonts w:eastAsia="仿宋" w:asciiTheme="minorHAnsi" w:hAnsiTheme="minorHAnsi" w:cstheme="minorBidi"/>
      <w:bCs w:val="0"/>
      <w:szCs w:val="24"/>
    </w:rPr>
  </w:style>
  <w:style w:type="paragraph" w:customStyle="1" w:styleId="82">
    <w:name w:val="列出段落11"/>
    <w:basedOn w:val="1"/>
    <w:qFormat/>
    <w:uiPriority w:val="34"/>
    <w:pPr>
      <w:ind w:firstLine="420" w:firstLineChars="200"/>
    </w:pPr>
    <w:rPr>
      <w:rFonts w:ascii="Calibri" w:hAnsi="Calibri"/>
      <w:szCs w:val="22"/>
      <w:lang w:val="zh-CN"/>
    </w:rPr>
  </w:style>
  <w:style w:type="paragraph" w:customStyle="1" w:styleId="8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4">
    <w:name w:val="WPSOffice手动目录 1"/>
    <w:qFormat/>
    <w:uiPriority w:val="0"/>
    <w:rPr>
      <w:rFonts w:ascii="Times New Roman" w:hAnsi="Times New Roman" w:eastAsia="宋体" w:cs="Times New Roman"/>
      <w:lang w:val="en-US" w:eastAsia="zh-CN" w:bidi="ar-SA"/>
    </w:rPr>
  </w:style>
  <w:style w:type="paragraph" w:customStyle="1" w:styleId="85">
    <w:name w:val="样式N"/>
    <w:basedOn w:val="81"/>
    <w:qFormat/>
    <w:uiPriority w:val="0"/>
    <w:rPr>
      <w:sz w:val="30"/>
    </w:rPr>
  </w:style>
  <w:style w:type="paragraph" w:customStyle="1" w:styleId="86">
    <w:name w:val="WPSOffice手动目录 2"/>
    <w:qFormat/>
    <w:uiPriority w:val="0"/>
    <w:pPr>
      <w:ind w:left="200" w:leftChars="200"/>
    </w:pPr>
    <w:rPr>
      <w:rFonts w:ascii="Calibri" w:hAnsi="Calibri" w:eastAsia="宋体" w:cs="Times New Roman"/>
      <w:lang w:val="en-US" w:eastAsia="zh-CN" w:bidi="ar-SA"/>
    </w:rPr>
  </w:style>
  <w:style w:type="paragraph" w:customStyle="1" w:styleId="87">
    <w:name w:val="WPSOffice手动目录 3"/>
    <w:qFormat/>
    <w:uiPriority w:val="0"/>
    <w:pPr>
      <w:ind w:left="400" w:leftChars="400"/>
    </w:pPr>
    <w:rPr>
      <w:rFonts w:ascii="Calibri" w:hAnsi="Calibri" w:eastAsia="宋体" w:cs="Times New Roman"/>
      <w:lang w:val="en-US" w:eastAsia="zh-CN" w:bidi="ar-SA"/>
    </w:rPr>
  </w:style>
  <w:style w:type="character" w:customStyle="1" w:styleId="88">
    <w:name w:val="批注文字 字符"/>
    <w:qFormat/>
    <w:uiPriority w:val="99"/>
    <w:rPr>
      <w:rFonts w:ascii="Calibri" w:hAnsi="Calibri" w:eastAsia="仿宋"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20F9B2839844278BC0CAA7884D70F94"/>
        <w:style w:val=""/>
        <w:category>
          <w:name w:val="常规"/>
          <w:gallery w:val="placeholder"/>
        </w:category>
        <w:types>
          <w:type w:val="bbPlcHdr"/>
        </w:types>
        <w:behaviors>
          <w:behavior w:val="content"/>
        </w:behaviors>
        <w:description w:val=""/>
        <w:guid w:val="{90EF7CA1-FEA6-4CC8-B1CC-579105EC1470}"/>
      </w:docPartPr>
      <w:docPartBody>
        <w:p>
          <w:pPr>
            <w:pStyle w:val="125"/>
          </w:pPr>
          <w:r>
            <w:rPr>
              <w:rStyle w:val="4"/>
              <w:rFonts w:hint="eastAsia"/>
            </w:rPr>
            <w:t>单击此处输入文字。</w:t>
          </w:r>
        </w:p>
      </w:docPartBody>
    </w:docPart>
    <w:docPart>
      <w:docPartPr>
        <w:name w:val="6E30F6B0477D4BE09149CCFA15D64DEA"/>
        <w:style w:val=""/>
        <w:category>
          <w:name w:val="常规"/>
          <w:gallery w:val="placeholder"/>
        </w:category>
        <w:types>
          <w:type w:val="bbPlcHdr"/>
        </w:types>
        <w:behaviors>
          <w:behavior w:val="content"/>
        </w:behaviors>
        <w:description w:val=""/>
        <w:guid w:val="{BF90B85F-1F6B-4B98-B835-4BED7587BFAC}"/>
      </w:docPartPr>
      <w:docPartBody>
        <w:p>
          <w:pPr>
            <w:pStyle w:val="126"/>
          </w:pPr>
          <w:r>
            <w:rPr>
              <w:rStyle w:val="4"/>
              <w:rFonts w:hint="eastAsia"/>
            </w:rPr>
            <w:t>单击此处输入文字。</w:t>
          </w:r>
        </w:p>
      </w:docPartBody>
    </w:docPart>
    <w:docPart>
      <w:docPartPr>
        <w:name w:val="3F8103B55DD74FF8B47ED204A8F9F7B2"/>
        <w:style w:val=""/>
        <w:category>
          <w:name w:val="常规"/>
          <w:gallery w:val="placeholder"/>
        </w:category>
        <w:types>
          <w:type w:val="bbPlcHdr"/>
        </w:types>
        <w:behaviors>
          <w:behavior w:val="content"/>
        </w:behaviors>
        <w:description w:val=""/>
        <w:guid w:val="{DA681484-D543-45D4-ABA6-77B343ABC8FE}"/>
      </w:docPartPr>
      <w:docPartBody>
        <w:p>
          <w:pPr>
            <w:pStyle w:val="127"/>
          </w:pPr>
          <w:r>
            <w:rPr>
              <w:rStyle w:val="4"/>
              <w:rFonts w:hint="eastAsia"/>
            </w:rPr>
            <w:t>单击此处输入文字。</w:t>
          </w:r>
        </w:p>
      </w:docPartBody>
    </w:docPart>
    <w:docPart>
      <w:docPartPr>
        <w:name w:val="3937DDF6754E4DC8949BA1C07EC12235"/>
        <w:style w:val=""/>
        <w:category>
          <w:name w:val="常规"/>
          <w:gallery w:val="placeholder"/>
        </w:category>
        <w:types>
          <w:type w:val="bbPlcHdr"/>
        </w:types>
        <w:behaviors>
          <w:behavior w:val="content"/>
        </w:behaviors>
        <w:description w:val=""/>
        <w:guid w:val="{08F89D17-04CC-407A-8EC4-D8B37B1E2DC7}"/>
      </w:docPartPr>
      <w:docPartBody>
        <w:p>
          <w:pPr>
            <w:pStyle w:val="189"/>
          </w:pPr>
          <w:r>
            <w:rPr>
              <w:rStyle w:val="4"/>
              <w:rFonts w:hint="eastAsia"/>
            </w:rPr>
            <w:t>单击此处输入文字。</w:t>
          </w:r>
        </w:p>
      </w:docPartBody>
    </w:docPart>
    <w:docPart>
      <w:docPartPr>
        <w:name w:val="78519DA9DE774588A2C10CD84F9B4B38"/>
        <w:style w:val=""/>
        <w:category>
          <w:name w:val="常规"/>
          <w:gallery w:val="placeholder"/>
        </w:category>
        <w:types>
          <w:type w:val="bbPlcHdr"/>
        </w:types>
        <w:behaviors>
          <w:behavior w:val="content"/>
        </w:behaviors>
        <w:description w:val=""/>
        <w:guid w:val="{D9232749-5EB5-4A22-A860-28F1179BEE53}"/>
      </w:docPartPr>
      <w:docPartBody>
        <w:p>
          <w:pPr>
            <w:pStyle w:val="190"/>
          </w:pPr>
          <w:r>
            <w:rPr>
              <w:rStyle w:val="4"/>
              <w:rFonts w:hint="eastAsia"/>
            </w:rPr>
            <w:t>单击此处输入文字。</w:t>
          </w:r>
        </w:p>
      </w:docPartBody>
    </w:docPart>
    <w:docPart>
      <w:docPartPr>
        <w:name w:val="3503F4FB70634506BCEB449FFDF779C9"/>
        <w:style w:val=""/>
        <w:category>
          <w:name w:val="常规"/>
          <w:gallery w:val="placeholder"/>
        </w:category>
        <w:types>
          <w:type w:val="bbPlcHdr"/>
        </w:types>
        <w:behaviors>
          <w:behavior w:val="content"/>
        </w:behaviors>
        <w:description w:val=""/>
        <w:guid w:val="{B2DD2BDA-F95A-4100-82DB-BFC121BBE377}"/>
      </w:docPartPr>
      <w:docPartBody>
        <w:p>
          <w:pPr>
            <w:pStyle w:val="191"/>
          </w:pPr>
          <w:r>
            <w:rPr>
              <w:rStyle w:val="4"/>
              <w:rFonts w:hint="eastAsia"/>
            </w:rPr>
            <w:t>单击此处输入文字。</w:t>
          </w:r>
        </w:p>
      </w:docPartBody>
    </w:docPart>
    <w:docPart>
      <w:docPartPr>
        <w:name w:val="4D843EE7A246474EBC7475302E4761A8"/>
        <w:style w:val=""/>
        <w:category>
          <w:name w:val="常规"/>
          <w:gallery w:val="placeholder"/>
        </w:category>
        <w:types>
          <w:type w:val="bbPlcHdr"/>
        </w:types>
        <w:behaviors>
          <w:behavior w:val="content"/>
        </w:behaviors>
        <w:description w:val=""/>
        <w:guid w:val="{80BEBEA8-3A4F-40FB-9778-5E234EE216CF}"/>
      </w:docPartPr>
      <w:docPartBody>
        <w:p>
          <w:pPr>
            <w:pStyle w:val="192"/>
          </w:pPr>
          <w:r>
            <w:rPr>
              <w:rStyle w:val="4"/>
              <w:rFonts w:hint="eastAsia"/>
            </w:rPr>
            <w:t>单击此处输入文字。</w:t>
          </w:r>
        </w:p>
      </w:docPartBody>
    </w:docPart>
    <w:docPart>
      <w:docPartPr>
        <w:name w:val="8F148327C99140CDB330408E23A15744"/>
        <w:style w:val=""/>
        <w:category>
          <w:name w:val="常规"/>
          <w:gallery w:val="placeholder"/>
        </w:category>
        <w:types>
          <w:type w:val="bbPlcHdr"/>
        </w:types>
        <w:behaviors>
          <w:behavior w:val="content"/>
        </w:behaviors>
        <w:description w:val=""/>
        <w:guid w:val="{7321BE58-BD83-47BA-A006-D1F7A8351C8A}"/>
      </w:docPartPr>
      <w:docPartBody>
        <w:p>
          <w:pPr>
            <w:pStyle w:val="193"/>
          </w:pPr>
          <w:r>
            <w:rPr>
              <w:rStyle w:val="4"/>
              <w:rFonts w:hint="eastAsia"/>
            </w:rPr>
            <w:t>单击此处输入文字。</w:t>
          </w:r>
        </w:p>
      </w:docPartBody>
    </w:docPart>
    <w:docPart>
      <w:docPartPr>
        <w:name w:val="B35C797DD53C41DF804608D4D289AA66"/>
        <w:style w:val=""/>
        <w:category>
          <w:name w:val="常规"/>
          <w:gallery w:val="placeholder"/>
        </w:category>
        <w:types>
          <w:type w:val="bbPlcHdr"/>
        </w:types>
        <w:behaviors>
          <w:behavior w:val="content"/>
        </w:behaviors>
        <w:description w:val=""/>
        <w:guid w:val="{DD2E537A-AD61-418B-A58A-00981473E2D5}"/>
      </w:docPartPr>
      <w:docPartBody>
        <w:p>
          <w:pPr>
            <w:pStyle w:val="194"/>
          </w:pPr>
          <w:r>
            <w:rPr>
              <w:rStyle w:val="4"/>
              <w:rFonts w:hint="eastAsia"/>
            </w:rPr>
            <w:t>单击此处输入文字。</w:t>
          </w:r>
        </w:p>
      </w:docPartBody>
    </w:docPart>
    <w:docPart>
      <w:docPartPr>
        <w:name w:val="99C896E883A44E47B9F732C7516111AF"/>
        <w:style w:val=""/>
        <w:category>
          <w:name w:val="常规"/>
          <w:gallery w:val="placeholder"/>
        </w:category>
        <w:types>
          <w:type w:val="bbPlcHdr"/>
        </w:types>
        <w:behaviors>
          <w:behavior w:val="content"/>
        </w:behaviors>
        <w:description w:val=""/>
        <w:guid w:val="{78C26FAC-5553-43B7-94BE-EEAF1DE12987}"/>
      </w:docPartPr>
      <w:docPartBody>
        <w:p>
          <w:pPr>
            <w:pStyle w:val="197"/>
          </w:pPr>
          <w:r>
            <w:rPr>
              <w:rStyle w:val="4"/>
              <w:rFonts w:hint="eastAsia"/>
            </w:rPr>
            <w:t>单击此处输入文字。</w:t>
          </w:r>
        </w:p>
      </w:docPartBody>
    </w:docPart>
    <w:docPart>
      <w:docPartPr>
        <w:name w:val="71F2D92901434B659808CCE55D155B36"/>
        <w:style w:val=""/>
        <w:category>
          <w:name w:val="常规"/>
          <w:gallery w:val="placeholder"/>
        </w:category>
        <w:types>
          <w:type w:val="bbPlcHdr"/>
        </w:types>
        <w:behaviors>
          <w:behavior w:val="content"/>
        </w:behaviors>
        <w:description w:val=""/>
        <w:guid w:val="{F5CBC9F4-B2E1-465E-B2BB-ADC09E164691}"/>
      </w:docPartPr>
      <w:docPartBody>
        <w:p>
          <w:pPr>
            <w:pStyle w:val="198"/>
          </w:pPr>
          <w:r>
            <w:rPr>
              <w:rStyle w:val="4"/>
              <w:rFonts w:hint="eastAsia"/>
            </w:rPr>
            <w:t>单击此处输入文字。</w:t>
          </w:r>
        </w:p>
      </w:docPartBody>
    </w:docPart>
    <w:docPart>
      <w:docPartPr>
        <w:name w:val="AA6124D4AA9A44728F363CBFE378A5ED"/>
        <w:style w:val=""/>
        <w:category>
          <w:name w:val="常规"/>
          <w:gallery w:val="placeholder"/>
        </w:category>
        <w:types>
          <w:type w:val="bbPlcHdr"/>
        </w:types>
        <w:behaviors>
          <w:behavior w:val="content"/>
        </w:behaviors>
        <w:description w:val=""/>
        <w:guid w:val="{FC2957E2-319F-4A44-8B9B-9213672824AA}"/>
      </w:docPartPr>
      <w:docPartBody>
        <w:p>
          <w:pPr>
            <w:pStyle w:val="199"/>
          </w:pPr>
          <w:r>
            <w:rPr>
              <w:rStyle w:val="4"/>
              <w:rFonts w:hint="eastAsia"/>
            </w:rPr>
            <w:t>单击此处输入文字。</w:t>
          </w:r>
        </w:p>
      </w:docPartBody>
    </w:docPart>
    <w:docPart>
      <w:docPartPr>
        <w:name w:val="CFE08D8E468E45EE8D683DF070EF981C"/>
        <w:style w:val=""/>
        <w:category>
          <w:name w:val="常规"/>
          <w:gallery w:val="placeholder"/>
        </w:category>
        <w:types>
          <w:type w:val="bbPlcHdr"/>
        </w:types>
        <w:behaviors>
          <w:behavior w:val="content"/>
        </w:behaviors>
        <w:description w:val=""/>
        <w:guid w:val="{1F48656B-A0E4-48B8-90C1-E2FAD89C96EE}"/>
      </w:docPartPr>
      <w:docPartBody>
        <w:p>
          <w:pPr>
            <w:pStyle w:val="200"/>
          </w:pPr>
          <w:r>
            <w:rPr>
              <w:rStyle w:val="4"/>
              <w:rFonts w:hint="eastAsia"/>
            </w:rPr>
            <w:t>单击此处输入文字。</w:t>
          </w:r>
        </w:p>
      </w:docPartBody>
    </w:docPart>
    <w:docPart>
      <w:docPartPr>
        <w:name w:val="6DA984DF850644F397D91553C340DA9A"/>
        <w:style w:val=""/>
        <w:category>
          <w:name w:val="常规"/>
          <w:gallery w:val="placeholder"/>
        </w:category>
        <w:types>
          <w:type w:val="bbPlcHdr"/>
        </w:types>
        <w:behaviors>
          <w:behavior w:val="content"/>
        </w:behaviors>
        <w:description w:val=""/>
        <w:guid w:val="{FDFCC9C4-B9C9-48A5-9C56-97AD68D5F11B}"/>
      </w:docPartPr>
      <w:docPartBody>
        <w:p>
          <w:pPr>
            <w:pStyle w:val="201"/>
          </w:pPr>
          <w:r>
            <w:rPr>
              <w:rStyle w:val="4"/>
              <w:rFonts w:hint="eastAsia"/>
            </w:rPr>
            <w:t>单击此处输入文字。</w:t>
          </w:r>
        </w:p>
      </w:docPartBody>
    </w:docPart>
    <w:docPart>
      <w:docPartPr>
        <w:name w:val="398D65ED530541FB81CD198EEB9D7FE2"/>
        <w:style w:val=""/>
        <w:category>
          <w:name w:val="常规"/>
          <w:gallery w:val="placeholder"/>
        </w:category>
        <w:types>
          <w:type w:val="bbPlcHdr"/>
        </w:types>
        <w:behaviors>
          <w:behavior w:val="content"/>
        </w:behaviors>
        <w:description w:val=""/>
        <w:guid w:val="{BDB2C0B4-8809-4A60-BCB9-2FB65473A765}"/>
      </w:docPartPr>
      <w:docPartBody>
        <w:p>
          <w:pPr>
            <w:pStyle w:val="202"/>
          </w:pPr>
          <w:r>
            <w:rPr>
              <w:rStyle w:val="4"/>
              <w:rFonts w:hint="eastAsia"/>
            </w:rPr>
            <w:t>单击此处输入文字。</w:t>
          </w:r>
        </w:p>
      </w:docPartBody>
    </w:docPart>
    <w:docPart>
      <w:docPartPr>
        <w:name w:val="119A2366465E47F4903996A91EB78A4A"/>
        <w:style w:val=""/>
        <w:category>
          <w:name w:val="常规"/>
          <w:gallery w:val="placeholder"/>
        </w:category>
        <w:types>
          <w:type w:val="bbPlcHdr"/>
        </w:types>
        <w:behaviors>
          <w:behavior w:val="content"/>
        </w:behaviors>
        <w:description w:val=""/>
        <w:guid w:val="{7F63466A-DAC6-4A64-8165-987CEB5DCAD1}"/>
      </w:docPartPr>
      <w:docPartBody>
        <w:p>
          <w:pPr>
            <w:pStyle w:val="203"/>
          </w:pPr>
          <w:r>
            <w:rPr>
              <w:rStyle w:val="4"/>
              <w:rFonts w:hint="eastAsia"/>
            </w:rPr>
            <w:t>单击此处输入文字。</w:t>
          </w:r>
        </w:p>
      </w:docPartBody>
    </w:docPart>
    <w:docPart>
      <w:docPartPr>
        <w:name w:val="BB761D50EB054AD997F6722EF09A13A0"/>
        <w:style w:val=""/>
        <w:category>
          <w:name w:val="常规"/>
          <w:gallery w:val="placeholder"/>
        </w:category>
        <w:types>
          <w:type w:val="bbPlcHdr"/>
        </w:types>
        <w:behaviors>
          <w:behavior w:val="content"/>
        </w:behaviors>
        <w:description w:val=""/>
        <w:guid w:val="{255F869E-438F-4642-827B-7F6EB5C57E22}"/>
      </w:docPartPr>
      <w:docPartBody>
        <w:p>
          <w:pPr>
            <w:pStyle w:val="204"/>
          </w:pPr>
          <w:r>
            <w:rPr>
              <w:rStyle w:val="4"/>
              <w:rFonts w:hint="eastAsia"/>
            </w:rPr>
            <w:t>单击此处输入文字。</w:t>
          </w:r>
        </w:p>
      </w:docPartBody>
    </w:docPart>
    <w:docPart>
      <w:docPartPr>
        <w:name w:val="AEAAF402C6C94FD4A318CE816AFEED2A"/>
        <w:style w:val=""/>
        <w:category>
          <w:name w:val="常规"/>
          <w:gallery w:val="placeholder"/>
        </w:category>
        <w:types>
          <w:type w:val="bbPlcHdr"/>
        </w:types>
        <w:behaviors>
          <w:behavior w:val="content"/>
        </w:behaviors>
        <w:description w:val=""/>
        <w:guid w:val="{E1CC8E58-86AB-40CF-B2C8-4DA3A8E8830D}"/>
      </w:docPartPr>
      <w:docPartBody>
        <w:p>
          <w:pPr>
            <w:pStyle w:val="205"/>
          </w:pPr>
          <w:r>
            <w:rPr>
              <w:rStyle w:val="4"/>
              <w:rFonts w:hint="eastAsia"/>
            </w:rPr>
            <w:t>单击此处输入文字。</w:t>
          </w:r>
        </w:p>
      </w:docPartBody>
    </w:docPart>
    <w:docPart>
      <w:docPartPr>
        <w:name w:val="115C111C555E488581E79C9B208D74F0"/>
        <w:style w:val=""/>
        <w:category>
          <w:name w:val="常规"/>
          <w:gallery w:val="placeholder"/>
        </w:category>
        <w:types>
          <w:type w:val="bbPlcHdr"/>
        </w:types>
        <w:behaviors>
          <w:behavior w:val="content"/>
        </w:behaviors>
        <w:description w:val=""/>
        <w:guid w:val="{4A5C60C7-7D23-4BAE-A82C-50E23902B15D}"/>
      </w:docPartPr>
      <w:docPartBody>
        <w:p>
          <w:pPr>
            <w:pStyle w:val="206"/>
          </w:pPr>
          <w:r>
            <w:rPr>
              <w:rStyle w:val="4"/>
              <w:rFonts w:hint="eastAsia"/>
            </w:rPr>
            <w:t>单击此处输入文字。</w:t>
          </w:r>
        </w:p>
      </w:docPartBody>
    </w:docPart>
    <w:docPart>
      <w:docPartPr>
        <w:name w:val="672972618C6641768BC9389DB1F4944A"/>
        <w:style w:val=""/>
        <w:category>
          <w:name w:val="常规"/>
          <w:gallery w:val="placeholder"/>
        </w:category>
        <w:types>
          <w:type w:val="bbPlcHdr"/>
        </w:types>
        <w:behaviors>
          <w:behavior w:val="content"/>
        </w:behaviors>
        <w:description w:val=""/>
        <w:guid w:val="{5111BAC9-79A8-4C43-981A-65C361FBEBE3}"/>
      </w:docPartPr>
      <w:docPartBody>
        <w:p>
          <w:pPr>
            <w:pStyle w:val="207"/>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9962D3"/>
    <w:rsid w:val="00AC621A"/>
    <w:rsid w:val="00B26703"/>
    <w:rsid w:val="00B67927"/>
    <w:rsid w:val="00C16531"/>
    <w:rsid w:val="00D91E81"/>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E613D1A92D8A46C09C067CF6C6AA9E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70B528143F044309ECC02DB1A8CFB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7201027C94641B4A91A0E21530D3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2E5E208AA9D44B0AC13BD201D4C13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31820B0563FC4996ABF6D731F81AF58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A8B08705D04B49DCB3C83A2FC632DBD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6614B0E78CE4A2BB7487DDEDDE91A8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589568B046BE4E0E8A277AEB354BEADB"/>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0375B7D045D745D18B46DF6AB7ED3A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02D1A484A0542EBB5D3201F7D59931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5920E257F5B4F0189760BCC1278AC33"/>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0531212617F1458686D1B49CB1F4D22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75C0073A4D21423284D6E988FE2EAE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9FC6B26FCDF74099B6EB3F88A01590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97EFC4AD85C34DB0A8081CF9B417C0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E40F53A0B3574267920761BE103656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A96311BE495A42D5895D244C3E9326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1A8CF08AE16F4A848D716C323B29A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8E208ADAE18A4208B325FB37FB8B6C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97F90D64A8D548FE9A0F115B2A5F3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9F7D04A183554B9BB7CE9EB126FF50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2861C996C1A74A8194DDCA0C5E48CA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8C11FBE743384A95BF16DAB30E2200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6EC685B75973435EA67CA96AC46DA8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82FD2C17335949CD8E4A61C5DA01D2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FA8886582B9D443599DA652528B458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C7B9184737B249DFBF5AD44949407F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2A16CBC97E454865ACC19351E28B70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D8462C435E2D404E9DAA38F0532041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E2D24456674E718FB1A18A8117A1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2D8E36D2569547E5A21944AD023AC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683EACEA2944629E5545D220FF4D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5CA2ACD65EE040999979031A3AD100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BD9956C942945DBA10E7A6E715663C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18CF3E1DD73F48BC9D0643CF7E30561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42B48C430B194277A44CAD86F48B18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D2E64521890B4DC197B126ECE2815E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DBAD958D75A488482078640E038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1CCC19D2649D4F0498ADDDE608388DE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7BACA6DC903B4A50840D24C896E7CB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AD23E9D7881A436CB354E37E56BB26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D28C63DD46094C309915E55D427379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3B4ECB7639C34ED0B1839CB5E4B043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637313223BCA4FADAE98E997247ACF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F17419B213A44E6EA349338BF1EDE0C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7D4145BEE0824BE7BECB450D7FF336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1116B1202714F77B4D7101D50AED5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3AFBB6124C264DFF8D65FC0A4B3A9F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BAAD7A67B6E04BB9AC73FE7F06F4D1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1B16CD4EE9984BA990EE153D066BFA9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B98CC76B5FA7467CA0B4FEB4AA61D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7688D9991FB943CF9AC6764885CDF3D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ED7BEACE9D844D54A5A9E48B620FC8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E5F5F78480B54F84AC30D2651D4B20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97221C08525941B7A5CFF8FE08075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7FBD4FCCAEAC47DF9B2A19B896EE54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3E5C9919F850424A82FB847625C48C6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6FE5545B779848938DCF1704208DC9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C5FEF5068BD4CDE8C7651E251A767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80B66893BF3B4D4C9C3F819F2009040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9ABF2BD1D0D54B81B9F65274DFB13EE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CC9AAD5F21345DDB14DE04B61A520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387AA702586A4494BFAC2E70EBA4F2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F984B04432AE48859BE04312D86EFC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5BADA632110E4D11AECDADEF4BEE85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4938B1ABD8F648D9A9B8F2995DD6184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CEE802E679834A11A243E8A9D8B7CE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F462B8FADE0745C89C9300C44AF2AF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331702EF1F21441BAF413C54A8D686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9DCB7F84A1C24A7A96DE8751165E76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5C24742B1546465BB7B738E0179215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9185597702F84C6B89865F50D820C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48A84BC9DE064174A41626416FFF25B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03D95DBFB0CC435BB30927599168797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3ED5AB2448A74242A44C640ACBBB9F7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D93387D471544E10A516A69C9CAC0A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AFC5036B852245CF85631F44B6E3D5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4E2BDBF80CA34354993D0B5FE37EE7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D5569AFC6B4B46FFA58BC4EED8C50D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06D2D2E45F5B4983894127D60CEA47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8226D2B501B24141ACED5DCE2E12B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3D5E9457418247F7892F249ED7E1B9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BCA79CC6807945B7A1F7A6998DBFF2B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4135B274AE8A46A19326DB426850B0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B8503D4FE0BC4787A91F31439AD496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90FD96C0C8A44D9DBB87F77681B9A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0C45DBBC04004B48AF89FC4717983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0C9E5764BA3E4ADFA93F4E05A9E884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4309D234F0A54A3792C7CFF975F0F0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56DF6477808419A8E26A69E8C9CF3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AEC4903EEE86439FA2C3D35AB6B919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82588B8ACB64480C9AD7B7C4DB4E6F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FCF0F891E4094F70BA489DB34D05CD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6F0C7410778943F6A5A728A1D579F2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372D534F18624F6E84EC847EBAFE69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04B9D0313C7C4BC7B1ECCC84520CD7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ADE7D23574D74743A12771F3FD36CF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C71C6048B8754944ABC46D923F4E0F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75CA7D73DBA44E9FA4B49FFCDD0709E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4B3907F2A8348B2B710351A6B9828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9D43C36AB2484003B34508785C204F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D61C8CAA1263443DB616C4635B3F10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FB3E0510DE414FAC942F04A3610418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EFB530C0895B42BE9F8DE5120C0BE50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60C57F379B314C8CA61F11E2607F6B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F0A7D9CAD30B4B70BBC59E396C156E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D2EA548916994573964D6F8499511C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4EF26F11A0324B6881826119CEDAA5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B81D36AB84D24B47BDCF4DCE7063F4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EA5C0136762D4873904E065F25FABA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E13147E09A0F45DAA33E13E91AE5E60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B2D1F3A2B3154D3799D147FFC3AD64E6"/>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4FFDC1E150DB4DAFB074D15449249C7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7AAE53BFDE1144E18D5AC731CD42B05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D96ED113A0BD4C609711DD5708D2EC6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BA7379BD65D4406BABE6BB505EC2B2B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E0C78BE3B7F245458C7FFFCD1D8155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3E82F40A30A146919E57091D7AD26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D70CD61D7C07437184AC186B267797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815E329008EC427E916F4D43DF7A3F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220F9B2839844278BC0CAA7884D70F9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6E30F6B0477D4BE09149CCFA15D64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3F8103B55DD74FF8B47ED204A8F9F7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7BE7A04492564D06AD106CA872A178D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59EB8A6655B64082A162D68D3003A3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3E298E0B2AC40DA9512A5352F1E00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952D5815527F453ABCD0B7C064784C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A5860C7B1B6E44BB9678B9E7DC699E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FA086F6B28104764A89F3F67CAEF7F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F839D373C2AE4231BB220427225F20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3E1D031220D4FAA92E5284A394265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0EC7C9BEA4A14FF0B99470A5E40F9B5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509D610DCED4781B4A3B76C686FF96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044970AD315D482EA9C98F1E771880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6C4640F86AE140CC835C82A27E4ABE4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1036E128AFAE479FBFC99BD5F4638D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C5117859462B4724A8C1285CAA0E364A"/>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322B854930554FFFAA7CA2B7685385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CE4F6B92C4964415B4F6A84CAAA537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969F42E1DD8E4E4DBE587E16A2B03B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0E4B650D0BEA44B98B1594134AC5FB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E452F98AEFB0429F8E7EA689AFB7DC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AB0A7C40370A454398DE9DF2ADB1C8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4C47ABF282D74A11A900A3B258807CA5"/>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BE5E68EF24294A28B597F1F30CD0968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703926A7539E450FADB740494FEF36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3CE7C04F54904EEE9F89B55798A189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DE6C7BDB2BE94AF986F0279071D34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A15B69F942CD41459F6E68E48CF2B5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3DE4E324D18547C1A8DE5E7346AA95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1C44CB857A8D40B485D732B4B36508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8D25CE1A891D498D9D31F576E7FFC58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1CD16CD0C1C449F3BAD633421FF1DD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7767583F343F4DD8B0C12F9D00E157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D78C538F3AD54DD09D419C86EDCF80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B6BF755001AC4565A914C286715DC0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F77C1C8CB83B4ED097DFF4BCA6CBB5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1DC2D394BDA84403981A9A191CF843F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0A25AA48F3D84030BB7ECDD4CD9AC9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488D4157FE084DBB8682D96386C48B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50658B8328946E7B26B381CFEEE70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E67FB18979BD450FBD5ACB32E18DDB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78F6BEB2A84438A8D333F2C36BBBE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F69F6E12893D4BE38979804F54F42C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083D4A89AF544DF5B35FB3E69FCEA8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EBF15324B3BD4423910A356B6D494C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FCE69EB2E7604204AF37B07B67ADB5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2C13D6250FD14A7BB958C6DA3CB6A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570B97F0616948FEB95445A72A3AB85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BF49A30CC5B34013AED75EAF63B8DA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D2E4CDE4D63C44458A4BD69E77D1C4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9518969B4884416390500DCE4CBEED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94E48FEF98E24B22AD9F128B40E6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46311105CA9F475294B5C388821871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030C13EEE6614CD3B040584EB3C5C2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815090633D9543D892EC2A44F4A4A95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88562DB510E84632B0DBBB931131526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1205EB02C7C64269A009FA9FA89C57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8CA37F56F19E44438EA403BDDE9EBC4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32C5AFAC01E04A7986C52A38113350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A80FC3FCA4D4C6FAEFCE2C91D0DB5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AEBAB234BF66452092154E338128B03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C5C517FC46B04C898D1BF4678CAF9D4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F5F63F442CF489B85552D2A9F6926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3937DDF6754E4DC8949BA1C07EC122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78519DA9DE774588A2C10CD84F9B4B3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3503F4FB70634506BCEB449FFDF779C9"/>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4D843EE7A246474EBC7475302E4761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8F148327C99140CDB330408E23A157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B35C797DD53C41DF804608D4D289A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C1040C7A7CB94F83A774A9BE4065BD88"/>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AF3B68C9616B47A1943B9E88DAAD01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7">
    <w:name w:val="99C896E883A44E47B9F732C7516111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8">
    <w:name w:val="71F2D92901434B659808CCE55D155B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9">
    <w:name w:val="AA6124D4AA9A44728F363CBFE378A5ED"/>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0">
    <w:name w:val="CFE08D8E468E45EE8D683DF070EF98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1">
    <w:name w:val="6DA984DF850644F397D91553C340DA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2">
    <w:name w:val="398D65ED530541FB81CD198EEB9D7FE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3">
    <w:name w:val="119A2366465E47F4903996A91EB78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4">
    <w:name w:val="BB761D50EB054AD997F6722EF09A13A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5">
    <w:name w:val="AEAAF402C6C94FD4A318CE816AFEED2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6">
    <w:name w:val="115C111C555E488581E79C9B208D74F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7">
    <w:name w:val="672972618C6641768BC9389DB1F494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8">
    <w:name w:val="6C50639D4F054046845D1F14287028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9">
    <w:name w:val="33043B1F675D439F83648786B140C8B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0">
    <w:name w:val="4CDB40F88A5447ADBD20A1F7A079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1">
    <w:name w:val="31385756B3B341ADBAAA10D7738FC8D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2">
    <w:name w:val="2C702C2D54FF4E7082EF825D0703852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07C1B-064A-4678-BFBF-C801E5189F81}">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69</Pages>
  <Words>20785</Words>
  <Characters>22034</Characters>
  <Lines>1573</Lines>
  <Paragraphs>1585</Paragraphs>
  <TotalTime>9</TotalTime>
  <ScaleCrop>false</ScaleCrop>
  <LinksUpToDate>false</LinksUpToDate>
  <CharactersWithSpaces>41234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2018-11-29T08:56:00Z</dcterms:created>
  <dc:creator>Tom</dc:creator>
  <cp:lastModifiedBy>Administrator</cp:lastModifiedBy>
  <dcterms:modified xsi:type="dcterms:W3CDTF">2023-05-03T03:38:42Z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项目编号">
    <vt:lpwstr>YKSGZC2021058(2)</vt:lpwstr>
  </property>
</Properties>
</file>