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鲅鱼圈区渔业渔民渔船管理局购买办公用品及设备项目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BYQ-2020A012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营口市鲅鱼圈区渔业渔民渔船管理局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480" w:firstLineChars="200"/>
            <w:rPr>
              <w:rFonts w:hint="eastAsia" w:ascii="仿宋" w:hAnsi="仿宋" w:eastAsia="仿宋"/>
              <w:sz w:val="24"/>
            </w:rPr>
          </w:pPr>
        </w:p>
        <w:tbl>
          <w:tblPr>
            <w:tblStyle w:val="17"/>
            <w:tblW w:w="82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7"/>
            <w:gridCol w:w="40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218" w:type="dxa"/>
                <w:gridSpan w:val="2"/>
                <w:tcBorders>
                  <w:top w:val="doub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项目需求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项目需求要求</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采购人要求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★供货时间：</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合同签订5日内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供货地点：</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营口市鲅鱼圈区渔业渔民渔船管理局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★付款方式及条件：</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货物验收合格后，按照合同总额的90%付款，质保金10%，一年后无质量问题全部付清。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验收：</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依照辽财采〔2017〕603号文件的相关要求执行。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★质量保证期：</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二年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★保修时间要求：</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此项目验收合格后二年内免费质保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★上门服务要求：</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质保期内免费服务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★热线支持/相应时间：</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收到维修要求3小时内响应，收到维修要求8小时内到场维修。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★维修技术人员及设备方面的保证措施及收费标准的要求：</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质保期内免费维修，过质保期按市场价格维修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41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★备品备件供应及优惠价格要求：</w:t>
                </w:r>
              </w:p>
            </w:tc>
            <w:tc>
              <w:tcPr>
                <w:tcW w:w="4031"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按最高优惠供应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4187" w:type="dxa"/>
                <w:tcBorders>
                  <w:top w:val="single" w:color="auto" w:sz="4" w:space="0"/>
                  <w:left w:val="double" w:color="auto" w:sz="4" w:space="0"/>
                  <w:bottom w:val="doub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szCs w:val="21"/>
                    <w:lang w:val="en-US"/>
                  </w:rPr>
                </w:pPr>
                <w:r>
                  <w:rPr>
                    <w:rFonts w:hint="eastAsia" w:ascii="仿宋" w:hAnsi="仿宋" w:eastAsia="仿宋" w:cs="仿宋"/>
                    <w:kern w:val="2"/>
                    <w:sz w:val="21"/>
                    <w:szCs w:val="21"/>
                    <w:lang w:val="en-US" w:eastAsia="zh-CN" w:bidi="ar"/>
                  </w:rPr>
                  <w:t>软件要求：</w:t>
                </w:r>
              </w:p>
            </w:tc>
            <w:tc>
              <w:tcPr>
                <w:tcW w:w="4031" w:type="dxa"/>
                <w:tcBorders>
                  <w:top w:val="single" w:color="auto" w:sz="4" w:space="0"/>
                  <w:left w:val="single" w:color="auto" w:sz="4" w:space="0"/>
                  <w:bottom w:val="double" w:color="auto" w:sz="4" w:space="0"/>
                  <w:right w:val="doub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质保一年内免费维修，过质保期按市场价格维修</w:t>
                </w:r>
              </w:p>
            </w:tc>
          </w:tr>
        </w:tbl>
        <w:p>
          <w:pPr>
            <w:ind w:firstLine="480" w:firstLineChars="20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d9fa0ded94f4bc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d9fa0ded94f4bc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BYQ-2020A012</vt:lpwstr>
  </property>
</Properties>
</file>