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营口市鲅鱼圈区住房和城乡建设局熊岳污水处理厂二期年药剂采购项目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BYQ-2020A036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8026C1" w:rsidRDefault="00D305E3">
          <w:pPr>
            <w:rPr>
              <w:rFonts w:ascii="仿宋" w:eastAsia="仿宋" w:hAnsi="仿宋"/>
              <w:sz w:val="24"/>
            </w:rPr>
          </w:pPr>
        </w:p>
        <w:tbl>
          <w:tblPr>
            <w:tblW w:w="8403" w:type="dxa"/>
            <w:tblInd w:w="113" w:type="dxa"/>
            <w:tblLook w:val="04A0" w:firstRow="1" w:lastRow="0" w:firstColumn="1" w:lastColumn="0" w:noHBand="0" w:noVBand="1"/>
          </w:tblPr>
          <w:tblGrid>
            <w:gridCol w:w="656"/>
            <w:gridCol w:w="1800"/>
            <w:gridCol w:w="3707"/>
            <w:gridCol w:w="1122"/>
            <w:gridCol w:w="1118"/>
          </w:tblGrid>
          <w:tr w:rsidR="008026C1" w:rsidRPr="006D6F7A" w:rsidTr="00CF12A5">
            <w:trPr>
              <w:trHeight w:val="522"/>
            </w:trPr>
            <w:tc>
              <w:tcPr>
                <w:tcW w:w="7285" w:type="dxa"/>
                <w:gridSpan w:val="4"/>
                <w:tcBorders>
                  <w:top w:val="nil"/>
                  <w:left w:val="nil"/>
                  <w:bottom w:val="nil"/>
                  <w:right w:val="nil"/>
                </w:tcBorders>
                <w:shd w:val="clear" w:color="auto" w:fill="auto"/>
                <w:vAlign w:val="center"/>
                <w:hideMark/>
              </w:tcPr>
              <w:p w:rsidR="008026C1" w:rsidRPr="006C0990" w:rsidRDefault="00D409B6" w:rsidP="00CF12A5">
                <w:pPr>
                  <w:widowControl/>
                  <w:ind w:firstLineChars="800" w:firstLine="2880"/>
                  <w:rPr>
                    <w:rFonts w:ascii="仿宋_GB2312" w:eastAsia="仿宋_GB2312" w:hAnsi="仿宋_GB2312" w:cs="仿宋_GB2312"/>
                    <w:sz w:val="36"/>
                    <w:szCs w:val="36"/>
                  </w:rPr>
                </w:pPr>
                <w:r w:rsidRPr="006C0990">
                  <w:rPr>
                    <w:rFonts w:ascii="仿宋_GB2312" w:eastAsia="仿宋_GB2312" w:hAnsi="仿宋_GB2312" w:cs="仿宋_GB2312" w:hint="eastAsia"/>
                    <w:sz w:val="36"/>
                    <w:szCs w:val="36"/>
                  </w:rPr>
                  <w:t>药剂具体参数</w:t>
                </w:r>
              </w:p>
            </w:tc>
            <w:tc>
              <w:tcPr>
                <w:tcW w:w="1118" w:type="dxa"/>
                <w:tcBorders>
                  <w:top w:val="nil"/>
                  <w:left w:val="nil"/>
                  <w:bottom w:val="nil"/>
                  <w:right w:val="nil"/>
                </w:tcBorders>
              </w:tcPr>
              <w:p w:rsidR="008026C1" w:rsidRPr="006C0990" w:rsidRDefault="00D305E3" w:rsidP="00CF12A5">
                <w:pPr>
                  <w:widowControl/>
                  <w:ind w:firstLineChars="800" w:firstLine="2880"/>
                  <w:rPr>
                    <w:rFonts w:ascii="仿宋_GB2312" w:eastAsia="仿宋_GB2312" w:hAnsi="仿宋_GB2312" w:cs="仿宋_GB2312"/>
                    <w:sz w:val="36"/>
                    <w:szCs w:val="36"/>
                  </w:rPr>
                </w:pPr>
              </w:p>
            </w:tc>
          </w:tr>
          <w:tr w:rsidR="008026C1" w:rsidRPr="006D6F7A" w:rsidTr="00CF12A5">
            <w:trPr>
              <w:trHeight w:val="285"/>
            </w:trPr>
            <w:tc>
              <w:tcPr>
                <w:tcW w:w="656" w:type="dxa"/>
                <w:tcBorders>
                  <w:top w:val="nil"/>
                  <w:left w:val="nil"/>
                  <w:bottom w:val="nil"/>
                  <w:right w:val="nil"/>
                </w:tcBorders>
                <w:shd w:val="clear" w:color="auto" w:fill="auto"/>
                <w:vAlign w:val="center"/>
                <w:hideMark/>
              </w:tcPr>
              <w:p w:rsidR="008026C1" w:rsidRPr="006D6F7A" w:rsidRDefault="00D305E3" w:rsidP="00CF12A5">
                <w:pPr>
                  <w:widowControl/>
                  <w:jc w:val="center"/>
                  <w:rPr>
                    <w:rFonts w:ascii="黑体" w:eastAsia="黑体" w:hAnsi="黑体" w:cs="宋体"/>
                    <w:kern w:val="0"/>
                    <w:sz w:val="32"/>
                    <w:szCs w:val="32"/>
                  </w:rPr>
                </w:pPr>
              </w:p>
            </w:tc>
            <w:tc>
              <w:tcPr>
                <w:tcW w:w="1800" w:type="dxa"/>
                <w:tcBorders>
                  <w:top w:val="nil"/>
                  <w:left w:val="nil"/>
                  <w:bottom w:val="nil"/>
                  <w:right w:val="nil"/>
                </w:tcBorders>
                <w:shd w:val="clear" w:color="auto" w:fill="auto"/>
                <w:vAlign w:val="center"/>
                <w:hideMark/>
              </w:tcPr>
              <w:p w:rsidR="008026C1" w:rsidRPr="00EF0CB6" w:rsidRDefault="00D305E3" w:rsidP="00CF12A5">
                <w:pPr>
                  <w:widowControl/>
                  <w:rPr>
                    <w:kern w:val="0"/>
                    <w:sz w:val="20"/>
                    <w:szCs w:val="20"/>
                  </w:rPr>
                </w:pPr>
              </w:p>
            </w:tc>
            <w:tc>
              <w:tcPr>
                <w:tcW w:w="3707" w:type="dxa"/>
                <w:tcBorders>
                  <w:top w:val="nil"/>
                  <w:left w:val="nil"/>
                  <w:bottom w:val="nil"/>
                  <w:right w:val="nil"/>
                </w:tcBorders>
                <w:shd w:val="clear" w:color="auto" w:fill="auto"/>
                <w:vAlign w:val="center"/>
                <w:hideMark/>
              </w:tcPr>
              <w:p w:rsidR="008026C1" w:rsidRPr="006D6F7A" w:rsidRDefault="00D305E3" w:rsidP="00CF12A5">
                <w:pPr>
                  <w:widowControl/>
                  <w:jc w:val="center"/>
                  <w:rPr>
                    <w:rFonts w:eastAsia="Times New Roman"/>
                    <w:kern w:val="0"/>
                    <w:sz w:val="20"/>
                    <w:szCs w:val="20"/>
                  </w:rPr>
                </w:pPr>
              </w:p>
            </w:tc>
            <w:tc>
              <w:tcPr>
                <w:tcW w:w="1122" w:type="dxa"/>
                <w:tcBorders>
                  <w:top w:val="nil"/>
                  <w:left w:val="nil"/>
                  <w:bottom w:val="nil"/>
                  <w:right w:val="nil"/>
                </w:tcBorders>
                <w:shd w:val="clear" w:color="auto" w:fill="auto"/>
                <w:vAlign w:val="center"/>
                <w:hideMark/>
              </w:tcPr>
              <w:p w:rsidR="008026C1" w:rsidRPr="00DB3343" w:rsidRDefault="00D305E3" w:rsidP="00CF12A5">
                <w:pPr>
                  <w:widowControl/>
                  <w:rPr>
                    <w:rFonts w:ascii="仿宋_GB2312" w:eastAsia="仿宋_GB2312" w:hAnsi="仿宋_GB2312" w:cs="仿宋_GB2312"/>
                    <w:szCs w:val="21"/>
                  </w:rPr>
                </w:pPr>
              </w:p>
            </w:tc>
            <w:tc>
              <w:tcPr>
                <w:tcW w:w="1118" w:type="dxa"/>
                <w:tcBorders>
                  <w:top w:val="nil"/>
                  <w:left w:val="nil"/>
                  <w:bottom w:val="nil"/>
                  <w:right w:val="nil"/>
                </w:tcBorders>
              </w:tcPr>
              <w:p w:rsidR="008026C1" w:rsidRPr="00DB3343" w:rsidRDefault="00D305E3" w:rsidP="00CF12A5">
                <w:pPr>
                  <w:widowControl/>
                  <w:jc w:val="center"/>
                  <w:rPr>
                    <w:rFonts w:ascii="仿宋_GB2312" w:eastAsia="仿宋_GB2312" w:hAnsi="仿宋_GB2312" w:cs="仿宋_GB2312"/>
                    <w:szCs w:val="21"/>
                  </w:rPr>
                </w:pPr>
              </w:p>
            </w:tc>
          </w:tr>
          <w:tr w:rsidR="008026C1" w:rsidRPr="006C0990" w:rsidTr="00CF12A5">
            <w:trPr>
              <w:trHeight w:val="48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序号</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名称</w:t>
                </w:r>
              </w:p>
            </w:tc>
            <w:tc>
              <w:tcPr>
                <w:tcW w:w="3707" w:type="dxa"/>
                <w:tcBorders>
                  <w:top w:val="single" w:sz="4" w:space="0" w:color="auto"/>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技术参数</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用途</w:t>
                </w:r>
              </w:p>
            </w:tc>
            <w:tc>
              <w:tcPr>
                <w:tcW w:w="1118" w:type="dxa"/>
                <w:tcBorders>
                  <w:top w:val="single" w:sz="4" w:space="0" w:color="auto"/>
                  <w:left w:val="nil"/>
                  <w:bottom w:val="single" w:sz="4" w:space="0" w:color="auto"/>
                  <w:right w:val="single" w:sz="4" w:space="0" w:color="auto"/>
                </w:tcBorders>
              </w:tcPr>
              <w:p w:rsidR="008026C1" w:rsidRPr="006C0990" w:rsidRDefault="00D409B6" w:rsidP="00CF12A5">
                <w:pPr>
                  <w:widowControl/>
                  <w:rPr>
                    <w:rFonts w:ascii="仿宋_GB2312" w:eastAsia="仿宋_GB2312" w:hAnsi="仿宋_GB2312" w:cs="仿宋_GB2312"/>
                    <w:szCs w:val="21"/>
                  </w:rPr>
                </w:pPr>
                <w:r>
                  <w:rPr>
                    <w:rFonts w:ascii="仿宋_GB2312" w:eastAsia="仿宋_GB2312" w:hAnsi="仿宋_GB2312" w:cs="仿宋_GB2312" w:hint="eastAsia"/>
                    <w:szCs w:val="21"/>
                  </w:rPr>
                  <w:t>数量</w:t>
                </w:r>
                <w:r>
                  <w:rPr>
                    <w:rFonts w:ascii="仿宋_GB2312" w:eastAsia="仿宋_GB2312" w:hAnsi="仿宋_GB2312" w:cs="仿宋_GB2312"/>
                    <w:szCs w:val="21"/>
                  </w:rPr>
                  <w:t>（</w:t>
                </w:r>
                <w:r>
                  <w:rPr>
                    <w:rFonts w:ascii="仿宋_GB2312" w:eastAsia="仿宋_GB2312" w:hAnsi="仿宋_GB2312" w:cs="仿宋_GB2312" w:hint="eastAsia"/>
                    <w:szCs w:val="21"/>
                  </w:rPr>
                  <w:t>吨</w:t>
                </w:r>
                <w:r>
                  <w:rPr>
                    <w:rFonts w:ascii="仿宋_GB2312" w:eastAsia="仿宋_GB2312" w:hAnsi="仿宋_GB2312" w:cs="仿宋_GB2312"/>
                    <w:szCs w:val="21"/>
                  </w:rPr>
                  <w:t>）</w:t>
                </w:r>
              </w:p>
            </w:tc>
          </w:tr>
          <w:tr w:rsidR="008026C1" w:rsidRPr="006C0990" w:rsidTr="00CF12A5">
            <w:trPr>
              <w:trHeight w:val="15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1</w:t>
                </w:r>
              </w:p>
            </w:tc>
            <w:tc>
              <w:tcPr>
                <w:tcW w:w="1800"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 xml:space="preserve">PAM   </w:t>
                </w:r>
                <w:r w:rsidRPr="006C0990">
                  <w:rPr>
                    <w:rFonts w:ascii="仿宋_GB2312" w:eastAsia="仿宋_GB2312" w:hAnsi="仿宋_GB2312" w:cs="仿宋_GB2312" w:hint="eastAsia"/>
                    <w:szCs w:val="21"/>
                  </w:rPr>
                  <w:t>(阴离子)</w:t>
                </w:r>
              </w:p>
            </w:tc>
            <w:tc>
              <w:tcPr>
                <w:tcW w:w="3707"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left"/>
                  <w:rPr>
                    <w:rFonts w:ascii="仿宋_GB2312" w:eastAsia="仿宋_GB2312" w:hAnsi="仿宋_GB2312" w:cs="仿宋_GB2312"/>
                    <w:szCs w:val="21"/>
                  </w:rPr>
                </w:pPr>
                <w:r w:rsidRPr="006C0990">
                  <w:rPr>
                    <w:rFonts w:ascii="仿宋_GB2312" w:eastAsia="仿宋_GB2312" w:hAnsi="仿宋_GB2312" w:cs="仿宋_GB2312" w:hint="eastAsia"/>
                    <w:szCs w:val="21"/>
                  </w:rPr>
                  <w:t>分子量：1200-1400万水解度（以摩尔分数表示）：25%</w:t>
                </w:r>
                <w:r w:rsidRPr="006C0990">
                  <w:rPr>
                    <w:rFonts w:ascii="仿宋_GB2312" w:eastAsia="仿宋_GB2312" w:hAnsi="仿宋_GB2312" w:cs="仿宋_GB2312" w:hint="eastAsia"/>
                    <w:szCs w:val="21"/>
                  </w:rPr>
                  <w:br/>
                  <w:t xml:space="preserve">有效含量：≥90% </w:t>
                </w:r>
                <w:r w:rsidRPr="006C0990">
                  <w:rPr>
                    <w:rFonts w:ascii="仿宋_GB2312" w:eastAsia="仿宋_GB2312" w:hAnsi="仿宋_GB2312" w:cs="仿宋_GB2312" w:hint="eastAsia"/>
                    <w:szCs w:val="21"/>
                  </w:rPr>
                  <w:br/>
                  <w:t>丙烯酰胺的含量：≤0.05%</w:t>
                </w:r>
              </w:p>
            </w:tc>
            <w:tc>
              <w:tcPr>
                <w:tcW w:w="1122"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去除悬浮物</w:t>
                </w:r>
              </w:p>
            </w:tc>
            <w:tc>
              <w:tcPr>
                <w:tcW w:w="1118" w:type="dxa"/>
                <w:tcBorders>
                  <w:top w:val="nil"/>
                  <w:left w:val="nil"/>
                  <w:bottom w:val="single" w:sz="4" w:space="0" w:color="auto"/>
                  <w:right w:val="single" w:sz="4" w:space="0" w:color="auto"/>
                </w:tcBorders>
              </w:tcPr>
              <w:p w:rsidR="008026C1" w:rsidRDefault="00D305E3" w:rsidP="00CF12A5">
                <w:pPr>
                  <w:widowControl/>
                  <w:jc w:val="center"/>
                  <w:rPr>
                    <w:rFonts w:ascii="仿宋_GB2312" w:eastAsia="仿宋_GB2312" w:hAnsi="仿宋_GB2312" w:cs="仿宋_GB2312"/>
                    <w:szCs w:val="21"/>
                  </w:rPr>
                </w:pPr>
              </w:p>
              <w:p w:rsidR="008026C1" w:rsidRDefault="00D305E3" w:rsidP="00CF12A5">
                <w:pPr>
                  <w:widowControl/>
                  <w:jc w:val="center"/>
                  <w:rPr>
                    <w:rFonts w:ascii="仿宋_GB2312" w:eastAsia="仿宋_GB2312" w:hAnsi="仿宋_GB2312" w:cs="仿宋_GB2312"/>
                    <w:szCs w:val="21"/>
                  </w:rPr>
                </w:pPr>
              </w:p>
              <w:p w:rsidR="008026C1" w:rsidRPr="006C0990" w:rsidRDefault="00D409B6" w:rsidP="00CF12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5.4</w:t>
                </w:r>
              </w:p>
            </w:tc>
          </w:tr>
          <w:tr w:rsidR="008026C1" w:rsidRPr="006C0990" w:rsidTr="00CF12A5">
            <w:trPr>
              <w:trHeight w:val="15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2</w:t>
                </w:r>
              </w:p>
            </w:tc>
            <w:tc>
              <w:tcPr>
                <w:tcW w:w="1800"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 xml:space="preserve">PAC  </w:t>
                </w:r>
                <w:r w:rsidRPr="006C0990">
                  <w:rPr>
                    <w:rFonts w:ascii="仿宋_GB2312" w:eastAsia="仿宋_GB2312" w:hAnsi="仿宋_GB2312" w:cs="仿宋_GB2312" w:hint="eastAsia"/>
                    <w:szCs w:val="21"/>
                  </w:rPr>
                  <w:t>（液体）</w:t>
                </w:r>
              </w:p>
            </w:tc>
            <w:tc>
              <w:tcPr>
                <w:tcW w:w="3707"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left"/>
                  <w:rPr>
                    <w:rFonts w:ascii="仿宋_GB2312" w:eastAsia="仿宋_GB2312" w:hAnsi="仿宋_GB2312" w:cs="仿宋_GB2312"/>
                    <w:szCs w:val="21"/>
                  </w:rPr>
                </w:pPr>
                <w:r w:rsidRPr="006C0990">
                  <w:rPr>
                    <w:rFonts w:ascii="仿宋_GB2312" w:eastAsia="仿宋_GB2312" w:hAnsi="仿宋_GB2312" w:cs="仿宋_GB2312" w:hint="eastAsia"/>
                    <w:szCs w:val="21"/>
                  </w:rPr>
                  <w:t xml:space="preserve">氧化铝含量：≥28% </w:t>
                </w:r>
                <w:r w:rsidRPr="006C0990">
                  <w:rPr>
                    <w:rFonts w:ascii="仿宋_GB2312" w:eastAsia="仿宋_GB2312" w:hAnsi="仿宋_GB2312" w:cs="仿宋_GB2312" w:hint="eastAsia"/>
                    <w:szCs w:val="21"/>
                  </w:rPr>
                  <w:br/>
                  <w:t>水不溶物含量：≤0.6%</w:t>
                </w:r>
                <w:r w:rsidRPr="006C0990">
                  <w:rPr>
                    <w:rFonts w:ascii="仿宋_GB2312" w:eastAsia="仿宋_GB2312" w:hAnsi="仿宋_GB2312" w:cs="仿宋_GB2312" w:hint="eastAsia"/>
                    <w:szCs w:val="21"/>
                  </w:rPr>
                  <w:br/>
                  <w:t>PH值（1%水溶液）：3.5-5.0 盐基度：40-90</w:t>
                </w:r>
              </w:p>
            </w:tc>
            <w:tc>
              <w:tcPr>
                <w:tcW w:w="1122"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混凝沉淀</w:t>
                </w:r>
              </w:p>
            </w:tc>
            <w:tc>
              <w:tcPr>
                <w:tcW w:w="1118" w:type="dxa"/>
                <w:tcBorders>
                  <w:top w:val="nil"/>
                  <w:left w:val="nil"/>
                  <w:bottom w:val="single" w:sz="4" w:space="0" w:color="auto"/>
                  <w:right w:val="single" w:sz="4" w:space="0" w:color="auto"/>
                </w:tcBorders>
              </w:tcPr>
              <w:p w:rsidR="008026C1" w:rsidRDefault="00D305E3" w:rsidP="00CF12A5">
                <w:pPr>
                  <w:widowControl/>
                  <w:jc w:val="center"/>
                  <w:rPr>
                    <w:rFonts w:ascii="仿宋_GB2312" w:eastAsia="仿宋_GB2312" w:hAnsi="仿宋_GB2312" w:cs="仿宋_GB2312"/>
                    <w:szCs w:val="21"/>
                  </w:rPr>
                </w:pPr>
              </w:p>
              <w:p w:rsidR="008026C1" w:rsidRDefault="00D305E3" w:rsidP="00CF12A5">
                <w:pPr>
                  <w:widowControl/>
                  <w:jc w:val="center"/>
                  <w:rPr>
                    <w:rFonts w:ascii="仿宋_GB2312" w:eastAsia="仿宋_GB2312" w:hAnsi="仿宋_GB2312" w:cs="仿宋_GB2312"/>
                    <w:szCs w:val="21"/>
                  </w:rPr>
                </w:pPr>
              </w:p>
              <w:p w:rsidR="008026C1" w:rsidRPr="006C0990" w:rsidRDefault="00D409B6" w:rsidP="00CF12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550</w:t>
                </w:r>
              </w:p>
            </w:tc>
          </w:tr>
          <w:tr w:rsidR="008026C1" w:rsidRPr="006C0990" w:rsidTr="00CF12A5">
            <w:trPr>
              <w:trHeight w:val="15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3</w:t>
                </w:r>
              </w:p>
            </w:tc>
            <w:tc>
              <w:tcPr>
                <w:tcW w:w="1800"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化学除磷剂</w:t>
                </w:r>
              </w:p>
            </w:tc>
            <w:tc>
              <w:tcPr>
                <w:tcW w:w="3707"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left"/>
                  <w:rPr>
                    <w:rFonts w:ascii="仿宋_GB2312" w:eastAsia="仿宋_GB2312" w:hAnsi="仿宋_GB2312" w:cs="仿宋_GB2312"/>
                    <w:szCs w:val="21"/>
                  </w:rPr>
                </w:pPr>
                <w:r w:rsidRPr="006C0990">
                  <w:rPr>
                    <w:rFonts w:ascii="仿宋_GB2312" w:eastAsia="仿宋_GB2312" w:hAnsi="仿宋_GB2312" w:cs="仿宋_GB2312" w:hint="eastAsia"/>
                    <w:szCs w:val="21"/>
                  </w:rPr>
                  <w:t xml:space="preserve">有效含量：≥25% </w:t>
                </w:r>
                <w:r w:rsidRPr="006C0990">
                  <w:rPr>
                    <w:rFonts w:ascii="仿宋_GB2312" w:eastAsia="仿宋_GB2312" w:hAnsi="仿宋_GB2312" w:cs="仿宋_GB2312" w:hint="eastAsia"/>
                    <w:szCs w:val="21"/>
                  </w:rPr>
                  <w:br/>
                  <w:t xml:space="preserve">水不溶物含量：≤0.5%  </w:t>
                </w:r>
                <w:r w:rsidRPr="006C0990">
                  <w:rPr>
                    <w:rFonts w:ascii="仿宋_GB2312" w:eastAsia="仿宋_GB2312" w:hAnsi="仿宋_GB2312" w:cs="仿宋_GB2312" w:hint="eastAsia"/>
                    <w:szCs w:val="21"/>
                  </w:rPr>
                  <w:br/>
                  <w:t>密度：≥1.26g/mL</w:t>
                </w:r>
              </w:p>
            </w:tc>
            <w:tc>
              <w:tcPr>
                <w:tcW w:w="1122"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除磷</w:t>
                </w:r>
              </w:p>
            </w:tc>
            <w:tc>
              <w:tcPr>
                <w:tcW w:w="1118" w:type="dxa"/>
                <w:tcBorders>
                  <w:top w:val="nil"/>
                  <w:left w:val="nil"/>
                  <w:bottom w:val="single" w:sz="4" w:space="0" w:color="auto"/>
                  <w:right w:val="single" w:sz="4" w:space="0" w:color="auto"/>
                </w:tcBorders>
              </w:tcPr>
              <w:p w:rsidR="008026C1" w:rsidRDefault="00D305E3" w:rsidP="00CF12A5">
                <w:pPr>
                  <w:widowControl/>
                  <w:jc w:val="center"/>
                  <w:rPr>
                    <w:rFonts w:ascii="仿宋_GB2312" w:eastAsia="仿宋_GB2312" w:hAnsi="仿宋_GB2312" w:cs="仿宋_GB2312"/>
                    <w:szCs w:val="21"/>
                  </w:rPr>
                </w:pPr>
              </w:p>
              <w:p w:rsidR="008026C1" w:rsidRDefault="00D305E3" w:rsidP="00CF12A5">
                <w:pPr>
                  <w:widowControl/>
                  <w:jc w:val="center"/>
                  <w:rPr>
                    <w:rFonts w:ascii="仿宋_GB2312" w:eastAsia="仿宋_GB2312" w:hAnsi="仿宋_GB2312" w:cs="仿宋_GB2312"/>
                    <w:szCs w:val="21"/>
                  </w:rPr>
                </w:pPr>
              </w:p>
              <w:p w:rsidR="008026C1" w:rsidRPr="006C0990" w:rsidRDefault="00D409B6" w:rsidP="00CF12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500</w:t>
                </w:r>
              </w:p>
            </w:tc>
          </w:tr>
          <w:tr w:rsidR="008026C1" w:rsidRPr="006C0990" w:rsidTr="00CF12A5">
            <w:trPr>
              <w:trHeight w:val="15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4</w:t>
                </w:r>
              </w:p>
            </w:tc>
            <w:tc>
              <w:tcPr>
                <w:tcW w:w="1800"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 xml:space="preserve">PAM </w:t>
                </w:r>
                <w:r w:rsidRPr="006C0990">
                  <w:rPr>
                    <w:rFonts w:ascii="仿宋_GB2312" w:eastAsia="仿宋_GB2312" w:hAnsi="仿宋_GB2312" w:cs="仿宋_GB2312" w:hint="eastAsia"/>
                    <w:szCs w:val="21"/>
                  </w:rPr>
                  <w:t xml:space="preserve"> （阳离子）</w:t>
                </w:r>
              </w:p>
            </w:tc>
            <w:tc>
              <w:tcPr>
                <w:tcW w:w="3707"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left"/>
                  <w:rPr>
                    <w:rFonts w:ascii="仿宋_GB2312" w:eastAsia="仿宋_GB2312" w:hAnsi="仿宋_GB2312" w:cs="仿宋_GB2312"/>
                    <w:szCs w:val="21"/>
                  </w:rPr>
                </w:pPr>
                <w:r w:rsidRPr="006C0990">
                  <w:rPr>
                    <w:rFonts w:ascii="仿宋_GB2312" w:eastAsia="仿宋_GB2312" w:hAnsi="仿宋_GB2312" w:cs="仿宋_GB2312" w:hint="eastAsia"/>
                    <w:szCs w:val="21"/>
                  </w:rPr>
                  <w:t xml:space="preserve">分子量：800-1000万离子度（以摩尔分数表示）：50% </w:t>
                </w:r>
                <w:r w:rsidRPr="006C0990">
                  <w:rPr>
                    <w:rFonts w:ascii="仿宋_GB2312" w:eastAsia="仿宋_GB2312" w:hAnsi="仿宋_GB2312" w:cs="仿宋_GB2312" w:hint="eastAsia"/>
                    <w:szCs w:val="21"/>
                  </w:rPr>
                  <w:br/>
                  <w:t xml:space="preserve">有效含量：≥90% </w:t>
                </w:r>
                <w:r w:rsidRPr="006C0990">
                  <w:rPr>
                    <w:rFonts w:ascii="仿宋_GB2312" w:eastAsia="仿宋_GB2312" w:hAnsi="仿宋_GB2312" w:cs="仿宋_GB2312" w:hint="eastAsia"/>
                    <w:szCs w:val="21"/>
                  </w:rPr>
                  <w:br/>
                  <w:t>丙烯酰胺的含量：≤0.05%</w:t>
                </w:r>
              </w:p>
            </w:tc>
            <w:tc>
              <w:tcPr>
                <w:tcW w:w="1122"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一次脱水</w:t>
                </w:r>
              </w:p>
            </w:tc>
            <w:tc>
              <w:tcPr>
                <w:tcW w:w="1118" w:type="dxa"/>
                <w:tcBorders>
                  <w:top w:val="nil"/>
                  <w:left w:val="nil"/>
                  <w:bottom w:val="single" w:sz="4" w:space="0" w:color="auto"/>
                  <w:right w:val="single" w:sz="4" w:space="0" w:color="auto"/>
                </w:tcBorders>
              </w:tcPr>
              <w:p w:rsidR="008026C1" w:rsidRDefault="00D305E3" w:rsidP="00CF12A5">
                <w:pPr>
                  <w:widowControl/>
                  <w:jc w:val="center"/>
                  <w:rPr>
                    <w:rFonts w:ascii="仿宋_GB2312" w:eastAsia="仿宋_GB2312" w:hAnsi="仿宋_GB2312" w:cs="仿宋_GB2312"/>
                    <w:szCs w:val="21"/>
                  </w:rPr>
                </w:pPr>
              </w:p>
              <w:p w:rsidR="008026C1" w:rsidRDefault="00D305E3" w:rsidP="00CF12A5">
                <w:pPr>
                  <w:widowControl/>
                  <w:jc w:val="center"/>
                  <w:rPr>
                    <w:rFonts w:ascii="仿宋_GB2312" w:eastAsia="仿宋_GB2312" w:hAnsi="仿宋_GB2312" w:cs="仿宋_GB2312"/>
                    <w:szCs w:val="21"/>
                  </w:rPr>
                </w:pPr>
              </w:p>
              <w:p w:rsidR="008026C1" w:rsidRPr="006C0990" w:rsidRDefault="00D409B6" w:rsidP="00CF12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13</w:t>
                </w:r>
              </w:p>
            </w:tc>
          </w:tr>
          <w:tr w:rsidR="008026C1" w:rsidRPr="006C0990" w:rsidTr="00CF12A5">
            <w:trPr>
              <w:trHeight w:val="163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5</w:t>
                </w:r>
              </w:p>
            </w:tc>
            <w:tc>
              <w:tcPr>
                <w:tcW w:w="1800"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杀菌剂</w:t>
                </w:r>
              </w:p>
            </w:tc>
            <w:tc>
              <w:tcPr>
                <w:tcW w:w="3707"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left"/>
                  <w:rPr>
                    <w:rFonts w:ascii="仿宋_GB2312" w:eastAsia="仿宋_GB2312" w:hAnsi="仿宋_GB2312" w:cs="仿宋_GB2312"/>
                    <w:szCs w:val="21"/>
                  </w:rPr>
                </w:pPr>
                <w:r w:rsidRPr="006C0990">
                  <w:rPr>
                    <w:rFonts w:ascii="仿宋_GB2312" w:eastAsia="仿宋_GB2312" w:hAnsi="仿宋_GB2312" w:cs="仿宋_GB2312" w:hint="eastAsia"/>
                    <w:szCs w:val="21"/>
                  </w:rPr>
                  <w:t>有效氯（以C1计）≥10.0</w:t>
                </w:r>
                <w:r w:rsidRPr="006C0990">
                  <w:rPr>
                    <w:rFonts w:ascii="仿宋_GB2312" w:eastAsia="仿宋_GB2312" w:hAnsi="仿宋_GB2312" w:cs="仿宋_GB2312" w:hint="eastAsia"/>
                    <w:szCs w:val="21"/>
                  </w:rPr>
                  <w:br/>
                  <w:t>游离碱（以NaOH计）0.1-1.0铁（以Fe计）≤0.005</w:t>
                </w:r>
                <w:r w:rsidRPr="006C0990">
                  <w:rPr>
                    <w:rFonts w:ascii="仿宋_GB2312" w:eastAsia="仿宋_GB2312" w:hAnsi="仿宋_GB2312" w:cs="仿宋_GB2312" w:hint="eastAsia"/>
                    <w:szCs w:val="21"/>
                  </w:rPr>
                  <w:br/>
                  <w:t xml:space="preserve">重金属（以Ph计）≤0.001 </w:t>
                </w:r>
                <w:r w:rsidRPr="006C0990">
                  <w:rPr>
                    <w:rFonts w:ascii="仿宋_GB2312" w:eastAsia="仿宋_GB2312" w:hAnsi="仿宋_GB2312" w:cs="仿宋_GB2312" w:hint="eastAsia"/>
                    <w:szCs w:val="21"/>
                  </w:rPr>
                  <w:br/>
                  <w:t>砷（以As计）≤0.0001</w:t>
                </w:r>
              </w:p>
            </w:tc>
            <w:tc>
              <w:tcPr>
                <w:tcW w:w="1122"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消毒</w:t>
                </w:r>
              </w:p>
            </w:tc>
            <w:tc>
              <w:tcPr>
                <w:tcW w:w="1118" w:type="dxa"/>
                <w:tcBorders>
                  <w:top w:val="nil"/>
                  <w:left w:val="nil"/>
                  <w:bottom w:val="single" w:sz="4" w:space="0" w:color="auto"/>
                  <w:right w:val="single" w:sz="4" w:space="0" w:color="auto"/>
                </w:tcBorders>
              </w:tcPr>
              <w:p w:rsidR="008026C1" w:rsidRDefault="00D305E3" w:rsidP="00CF12A5">
                <w:pPr>
                  <w:widowControl/>
                  <w:jc w:val="center"/>
                  <w:rPr>
                    <w:rFonts w:ascii="仿宋_GB2312" w:eastAsia="仿宋_GB2312" w:hAnsi="仿宋_GB2312" w:cs="仿宋_GB2312"/>
                    <w:szCs w:val="21"/>
                  </w:rPr>
                </w:pPr>
              </w:p>
              <w:p w:rsidR="008026C1" w:rsidRDefault="00D305E3" w:rsidP="00CF12A5">
                <w:pPr>
                  <w:widowControl/>
                  <w:jc w:val="center"/>
                  <w:rPr>
                    <w:rFonts w:ascii="仿宋_GB2312" w:eastAsia="仿宋_GB2312" w:hAnsi="仿宋_GB2312" w:cs="仿宋_GB2312"/>
                    <w:szCs w:val="21"/>
                  </w:rPr>
                </w:pPr>
              </w:p>
              <w:p w:rsidR="008026C1" w:rsidRPr="006C0990" w:rsidRDefault="00D409B6" w:rsidP="00CF12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250</w:t>
                </w:r>
              </w:p>
            </w:tc>
          </w:tr>
          <w:tr w:rsidR="008026C1" w:rsidRPr="006C0990" w:rsidTr="00CF12A5">
            <w:trPr>
              <w:trHeight w:val="1722"/>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6</w:t>
                </w:r>
              </w:p>
            </w:tc>
            <w:tc>
              <w:tcPr>
                <w:tcW w:w="1800"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白砂糖液体</w:t>
                </w:r>
              </w:p>
            </w:tc>
            <w:tc>
              <w:tcPr>
                <w:tcW w:w="3707"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left"/>
                  <w:rPr>
                    <w:rFonts w:ascii="仿宋_GB2312" w:eastAsia="仿宋_GB2312" w:hAnsi="仿宋_GB2312" w:cs="仿宋_GB2312"/>
                    <w:szCs w:val="21"/>
                  </w:rPr>
                </w:pPr>
                <w:r w:rsidRPr="006C0990">
                  <w:rPr>
                    <w:rFonts w:ascii="仿宋_GB2312" w:eastAsia="仿宋_GB2312" w:hAnsi="仿宋_GB2312" w:cs="仿宋_GB2312" w:hint="eastAsia"/>
                    <w:szCs w:val="21"/>
                  </w:rPr>
                  <w:t>COD：58-60万毫克/升</w:t>
                </w:r>
                <w:r w:rsidRPr="006C0990">
                  <w:rPr>
                    <w:rFonts w:ascii="仿宋_GB2312" w:eastAsia="仿宋_GB2312" w:hAnsi="仿宋_GB2312" w:cs="仿宋_GB2312" w:hint="eastAsia"/>
                    <w:szCs w:val="21"/>
                  </w:rPr>
                  <w:br/>
                  <w:t xml:space="preserve">硫酸盐S04-2≤0.05% </w:t>
                </w:r>
                <w:r w:rsidRPr="006C0990">
                  <w:rPr>
                    <w:rFonts w:ascii="仿宋_GB2312" w:eastAsia="仿宋_GB2312" w:hAnsi="仿宋_GB2312" w:cs="仿宋_GB2312" w:hint="eastAsia"/>
                    <w:szCs w:val="21"/>
                  </w:rPr>
                  <w:br/>
                  <w:t xml:space="preserve">PH值（10g/L水溶液）4-5 </w:t>
                </w:r>
                <w:r w:rsidRPr="006C0990">
                  <w:rPr>
                    <w:rFonts w:ascii="仿宋_GB2312" w:eastAsia="仿宋_GB2312" w:hAnsi="仿宋_GB2312" w:cs="仿宋_GB2312" w:hint="eastAsia"/>
                    <w:szCs w:val="21"/>
                  </w:rPr>
                  <w:br/>
                  <w:t xml:space="preserve">磷酸盐（P03-4）≤0.04% </w:t>
                </w:r>
                <w:r w:rsidRPr="006C0990">
                  <w:rPr>
                    <w:rFonts w:ascii="仿宋_GB2312" w:eastAsia="仿宋_GB2312" w:hAnsi="仿宋_GB2312" w:cs="仿宋_GB2312" w:hint="eastAsia"/>
                    <w:szCs w:val="21"/>
                  </w:rPr>
                  <w:br/>
                  <w:t>铁离子（Fe+3）≤0.03%</w:t>
                </w:r>
              </w:p>
            </w:tc>
            <w:tc>
              <w:tcPr>
                <w:tcW w:w="1122" w:type="dxa"/>
                <w:tcBorders>
                  <w:top w:val="nil"/>
                  <w:left w:val="nil"/>
                  <w:bottom w:val="single" w:sz="4" w:space="0" w:color="auto"/>
                  <w:right w:val="single" w:sz="4" w:space="0" w:color="auto"/>
                </w:tcBorders>
                <w:shd w:val="clear" w:color="auto" w:fill="auto"/>
                <w:vAlign w:val="center"/>
                <w:hideMark/>
              </w:tcPr>
              <w:p w:rsidR="008026C1" w:rsidRPr="006C0990" w:rsidRDefault="00D409B6" w:rsidP="00CF12A5">
                <w:pPr>
                  <w:widowControl/>
                  <w:jc w:val="center"/>
                  <w:rPr>
                    <w:rFonts w:ascii="仿宋_GB2312" w:eastAsia="仿宋_GB2312" w:hAnsi="仿宋_GB2312" w:cs="仿宋_GB2312"/>
                    <w:szCs w:val="21"/>
                  </w:rPr>
                </w:pPr>
                <w:r w:rsidRPr="006C0990">
                  <w:rPr>
                    <w:rFonts w:ascii="仿宋_GB2312" w:eastAsia="仿宋_GB2312" w:hAnsi="仿宋_GB2312" w:cs="仿宋_GB2312" w:hint="eastAsia"/>
                    <w:szCs w:val="21"/>
                  </w:rPr>
                  <w:t>去除总氮</w:t>
                </w:r>
              </w:p>
            </w:tc>
            <w:tc>
              <w:tcPr>
                <w:tcW w:w="1118" w:type="dxa"/>
                <w:tcBorders>
                  <w:top w:val="nil"/>
                  <w:left w:val="nil"/>
                  <w:bottom w:val="single" w:sz="4" w:space="0" w:color="auto"/>
                  <w:right w:val="single" w:sz="4" w:space="0" w:color="auto"/>
                </w:tcBorders>
              </w:tcPr>
              <w:p w:rsidR="008026C1" w:rsidRDefault="00D305E3" w:rsidP="00CF12A5">
                <w:pPr>
                  <w:widowControl/>
                  <w:jc w:val="center"/>
                  <w:rPr>
                    <w:rFonts w:ascii="仿宋_GB2312" w:eastAsia="仿宋_GB2312" w:hAnsi="仿宋_GB2312" w:cs="仿宋_GB2312"/>
                    <w:szCs w:val="21"/>
                  </w:rPr>
                </w:pPr>
              </w:p>
              <w:p w:rsidR="008026C1" w:rsidRDefault="00D305E3" w:rsidP="00CF12A5">
                <w:pPr>
                  <w:widowControl/>
                  <w:jc w:val="center"/>
                  <w:rPr>
                    <w:rFonts w:ascii="仿宋_GB2312" w:eastAsia="仿宋_GB2312" w:hAnsi="仿宋_GB2312" w:cs="仿宋_GB2312"/>
                    <w:szCs w:val="21"/>
                  </w:rPr>
                </w:pPr>
              </w:p>
              <w:p w:rsidR="008026C1" w:rsidRPr="006C0990" w:rsidRDefault="00D409B6" w:rsidP="00CF12A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600</w:t>
                </w:r>
              </w:p>
            </w:tc>
          </w:tr>
        </w:tbl>
        <w:p w:rsidR="00F51F23" w:rsidRPr="00D409B6" w:rsidRDefault="00D305E3" w:rsidP="00D409B6">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0c9c480cd804430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0c9c480cd804430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BYQ-2020A036</vt:lpwstr>
  </property>
</Properties>
</file>