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熊岳污水处理厂二期涉水在线监测系统升级改造项目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BYQ-2021A001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480" w:firstLineChars="200"/>
            <w:rPr>
              <w:rFonts w:hint="eastAsia" w:ascii="仿宋" w:hAnsi="仿宋" w:eastAsia="仿宋"/>
              <w:sz w:val="24"/>
            </w:rPr>
          </w:pPr>
        </w:p>
        <w:tbl>
          <w:tblPr>
            <w:tblStyle w:val="16"/>
            <w:tblW w:w="76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48"/>
            <w:gridCol w:w="36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jc w:val="center"/>
            </w:trPr>
            <w:tc>
              <w:tcPr>
                <w:tcW w:w="7655" w:type="dxa"/>
                <w:gridSpan w:val="2"/>
                <w:tcBorders>
                  <w:top w:val="doub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8"/>
                    <w:lang w:val="en-US"/>
                  </w:rPr>
                </w:pPr>
                <w:r>
                  <w:rPr>
                    <w:rFonts w:hint="eastAsia" w:ascii="Calibri" w:hAnsi="Calibri" w:eastAsia="宋体" w:cs="宋体"/>
                    <w:kern w:val="2"/>
                    <w:sz w:val="28"/>
                    <w:szCs w:val="28"/>
                    <w:lang w:val="en-US" w:eastAsia="zh-CN" w:bidi="ar"/>
                  </w:rPr>
                  <w:t>项目需求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8"/>
                    <w:lang w:val="en-US"/>
                  </w:rPr>
                </w:pPr>
                <w:r>
                  <w:rPr>
                    <w:rFonts w:hint="eastAsia" w:ascii="Calibri" w:hAnsi="Calibri" w:eastAsia="宋体" w:cs="宋体"/>
                    <w:kern w:val="2"/>
                    <w:sz w:val="28"/>
                    <w:szCs w:val="28"/>
                    <w:lang w:val="en-US" w:eastAsia="zh-CN" w:bidi="ar"/>
                  </w:rPr>
                  <w:t>项目需求要求</w:t>
                </w:r>
              </w:p>
            </w:tc>
            <w:tc>
              <w:tcPr>
                <w:tcW w:w="3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8"/>
                    <w:szCs w:val="28"/>
                    <w:lang w:val="en-US"/>
                  </w:rPr>
                </w:pPr>
                <w:r>
                  <w:rPr>
                    <w:rFonts w:hint="eastAsia" w:ascii="Calibri" w:hAnsi="Calibri" w:eastAsia="宋体" w:cs="宋体"/>
                    <w:kern w:val="2"/>
                    <w:sz w:val="28"/>
                    <w:szCs w:val="28"/>
                    <w:lang w:val="en-US" w:eastAsia="zh-CN" w:bidi="ar"/>
                  </w:rPr>
                  <w:t>采购人要求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供货时间：</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合同签订后，</w:t>
                </w:r>
                <w:r>
                  <w:rPr>
                    <w:rFonts w:hint="default" w:ascii="Calibri" w:hAnsi="Calibri" w:eastAsia="宋体" w:cs="Times New Roman"/>
                    <w:kern w:val="2"/>
                    <w:sz w:val="21"/>
                    <w:szCs w:val="22"/>
                    <w:lang w:val="en-US" w:eastAsia="zh-CN" w:bidi="ar"/>
                  </w:rPr>
                  <w:t>30</w:t>
                </w:r>
                <w:r>
                  <w:rPr>
                    <w:rFonts w:hint="eastAsia" w:ascii="Calibri" w:hAnsi="Calibri" w:eastAsia="宋体" w:cs="宋体"/>
                    <w:kern w:val="2"/>
                    <w:sz w:val="21"/>
                    <w:szCs w:val="22"/>
                    <w:lang w:val="en-US" w:eastAsia="zh-CN" w:bidi="ar"/>
                  </w:rPr>
                  <w:t>日内完成。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供货地点：</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熊岳污水处理厂二期（营口市鲅鱼圈区辽东湾大街与古城北路交叉口西侧）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付款方式及条件：</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项目验收合格后，按照合同约定付款。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验收：</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国家标准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质量保证期：</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一年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保修时间要求：</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质保期内免费，终身保修。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上门服务要求：</w:t>
                </w:r>
                <w:r>
                  <w:rPr>
                    <w:rFonts w:hint="eastAsia" w:ascii="宋体" w:hAnsi="宋体" w:eastAsia="宋体" w:cs="宋体"/>
                    <w:kern w:val="2"/>
                    <w:sz w:val="22"/>
                    <w:szCs w:val="21"/>
                    <w:lang w:val="en-US" w:eastAsia="zh-CN" w:bidi="ar"/>
                  </w:rPr>
                  <w:t xml:space="preserve"> </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2"/>
                    <w:szCs w:val="22"/>
                    <w:lang w:val="en-US" w:eastAsia="zh-CN" w:bidi="ar"/>
                  </w:rPr>
                  <w:t>2</w:t>
                </w:r>
                <w:r>
                  <w:rPr>
                    <w:rFonts w:hint="eastAsia" w:ascii="Calibri" w:hAnsi="Calibri" w:eastAsia="宋体" w:cs="宋体"/>
                    <w:kern w:val="2"/>
                    <w:sz w:val="22"/>
                    <w:szCs w:val="22"/>
                    <w:lang w:val="en-US" w:eastAsia="zh-CN" w:bidi="ar"/>
                  </w:rPr>
                  <w:t>小时内到达现场，进行故障排除（维修更换有缺陷的货物或部件），</w:t>
                </w:r>
                <w:r>
                  <w:rPr>
                    <w:rFonts w:hint="default" w:ascii="Calibri" w:hAnsi="Calibri" w:eastAsia="宋体" w:cs="Times New Roman"/>
                    <w:kern w:val="2"/>
                    <w:sz w:val="22"/>
                    <w:szCs w:val="22"/>
                    <w:lang w:val="en-US" w:eastAsia="zh-CN" w:bidi="ar"/>
                  </w:rPr>
                  <w:t>72</w:t>
                </w:r>
                <w:r>
                  <w:rPr>
                    <w:rFonts w:hint="eastAsia" w:ascii="Calibri" w:hAnsi="Calibri" w:eastAsia="宋体" w:cs="宋体"/>
                    <w:kern w:val="2"/>
                    <w:sz w:val="22"/>
                    <w:szCs w:val="22"/>
                    <w:lang w:val="en-US" w:eastAsia="zh-CN" w:bidi="ar"/>
                  </w:rPr>
                  <w:t>小时排除系统故障（节假日照常服务）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热线支持</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相应时间：</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宋体" w:cs="Times New Roman"/>
                    <w:kern w:val="2"/>
                    <w:sz w:val="21"/>
                    <w:szCs w:val="22"/>
                    <w:lang w:val="en-US" w:eastAsia="zh-CN" w:bidi="ar"/>
                  </w:rPr>
                  <w:t>10</w:t>
                </w:r>
                <w:r>
                  <w:rPr>
                    <w:rFonts w:hint="eastAsia" w:ascii="Calibri" w:hAnsi="Calibri" w:eastAsia="宋体" w:cs="宋体"/>
                    <w:kern w:val="2"/>
                    <w:sz w:val="21"/>
                    <w:szCs w:val="22"/>
                    <w:lang w:val="en-US" w:eastAsia="zh-CN" w:bidi="ar"/>
                  </w:rPr>
                  <w:t>分钟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维修技术人员及设备方面的保证措施及收费标准的要求：</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质保期内免费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培训人员现场培训（操作、维护等）：</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2"/>
                    <w:szCs w:val="22"/>
                    <w:lang w:val="en-US" w:eastAsia="zh-CN" w:bidi="ar"/>
                  </w:rPr>
                  <w:t>提供一个工作日八小时免费培训时间。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51"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8"/>
                    <w:szCs w:val="28"/>
                    <w:lang w:val="en-US"/>
                  </w:rPr>
                </w:pPr>
                <w:r>
                  <w:rPr>
                    <w:rFonts w:hint="eastAsia" w:ascii="Calibri" w:hAnsi="Calibri" w:eastAsia="宋体" w:cs="宋体"/>
                    <w:kern w:val="2"/>
                    <w:sz w:val="24"/>
                    <w:szCs w:val="24"/>
                    <w:lang w:val="en-US" w:eastAsia="zh-CN" w:bidi="ar"/>
                  </w:rPr>
                  <w:t>系统扩展、升级服务要求：</w:t>
                </w:r>
              </w:p>
            </w:tc>
            <w:tc>
              <w:tcPr>
                <w:tcW w:w="360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1"/>
                    <w:szCs w:val="22"/>
                    <w:lang w:val="en-US" w:eastAsia="zh-CN" w:bidi="ar"/>
                  </w:rPr>
                  <w:t>原有在线监测设备按照国家</w:t>
                </w:r>
                <w:r>
                  <w:rPr>
                    <w:rFonts w:hint="default" w:ascii="Calibri" w:hAnsi="Calibri" w:eastAsia="宋体" w:cs="Times New Roman"/>
                    <w:kern w:val="2"/>
                    <w:sz w:val="21"/>
                    <w:szCs w:val="22"/>
                    <w:lang w:val="en-US" w:eastAsia="zh-CN" w:bidi="ar"/>
                  </w:rPr>
                  <w:t>(HJ/T355-2019</w:t>
                </w: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HJ/T356-2019</w:t>
                </w:r>
                <w:r>
                  <w:rPr>
                    <w:rFonts w:hint="eastAsia" w:ascii="Calibri" w:hAnsi="Calibri" w:eastAsia="宋体" w:cs="宋体"/>
                    <w:kern w:val="2"/>
                    <w:sz w:val="21"/>
                    <w:szCs w:val="22"/>
                    <w:lang w:val="en-US" w:eastAsia="zh-CN" w:bidi="ar"/>
                  </w:rPr>
                  <w:t>升级改造需投标人提供原设备厂家出具配合投标人升级改造承诺书并加盖设备厂家公章。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051"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8"/>
                    <w:szCs w:val="28"/>
                    <w:lang w:val="en-US"/>
                  </w:rPr>
                </w:pPr>
                <w:r>
                  <w:rPr>
                    <w:rFonts w:hint="eastAsia" w:ascii="Calibri" w:hAnsi="Calibri" w:eastAsia="宋体" w:cs="宋体"/>
                    <w:kern w:val="2"/>
                    <w:sz w:val="24"/>
                    <w:szCs w:val="24"/>
                    <w:lang w:val="en-US" w:eastAsia="zh-CN" w:bidi="ar"/>
                  </w:rPr>
                  <w:t>安装、调试及所需材料、工具等：</w:t>
                </w:r>
              </w:p>
            </w:tc>
            <w:tc>
              <w:tcPr>
                <w:tcW w:w="3604"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宋体" w:cs="宋体"/>
                    <w:kern w:val="2"/>
                    <w:sz w:val="22"/>
                    <w:szCs w:val="22"/>
                    <w:lang w:val="en-US" w:eastAsia="zh-CN" w:bidi="ar"/>
                  </w:rPr>
                  <w:t>自备</w:t>
                </w:r>
              </w:p>
            </w:tc>
          </w:tr>
        </w:tbl>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tbl>
          <w:tblPr>
            <w:tblStyle w:val="16"/>
            <w:tblW w:w="8340" w:type="dxa"/>
            <w:tblInd w:w="0" w:type="dxa"/>
            <w:shd w:val="clear" w:color="auto" w:fill="auto"/>
            <w:tblLayout w:type="autofit"/>
            <w:tblCellMar>
              <w:top w:w="0" w:type="dxa"/>
              <w:left w:w="0" w:type="dxa"/>
              <w:bottom w:w="0" w:type="dxa"/>
              <w:right w:w="0" w:type="dxa"/>
            </w:tblCellMar>
          </w:tblPr>
          <w:tblGrid>
            <w:gridCol w:w="450"/>
            <w:gridCol w:w="1500"/>
            <w:gridCol w:w="450"/>
            <w:gridCol w:w="450"/>
            <w:gridCol w:w="450"/>
            <w:gridCol w:w="683"/>
            <w:gridCol w:w="3277"/>
            <w:gridCol w:w="1080"/>
          </w:tblGrid>
          <w:tr>
            <w:tblPrEx>
              <w:shd w:val="clear" w:color="auto" w:fill="auto"/>
              <w:tblCellMar>
                <w:top w:w="0" w:type="dxa"/>
                <w:left w:w="0" w:type="dxa"/>
                <w:bottom w:w="0" w:type="dxa"/>
                <w:right w:w="0" w:type="dxa"/>
              </w:tblCellMar>
            </w:tblPrEx>
            <w:trPr>
              <w:trHeight w:val="930" w:hRule="atLeast"/>
            </w:trPr>
            <w:tc>
              <w:tcPr>
                <w:tcW w:w="8340" w:type="dxa"/>
                <w:gridSpan w:val="8"/>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b/>
                    <w:kern w:val="2"/>
                    <w:sz w:val="28"/>
                    <w:szCs w:val="28"/>
                    <w:lang w:val="en-US" w:eastAsia="zh-CN" w:bidi="ar"/>
                  </w:rPr>
                  <w:t>熊岳污水处理厂二期涉水在线监测系统升级改造项目明细表</w:t>
                </w:r>
              </w:p>
            </w:tc>
          </w:tr>
          <w:tr>
            <w:tblPrEx>
              <w:tblCellMar>
                <w:top w:w="0" w:type="dxa"/>
                <w:left w:w="0" w:type="dxa"/>
                <w:bottom w:w="0" w:type="dxa"/>
                <w:right w:w="0" w:type="dxa"/>
              </w:tblCellMar>
            </w:tblPrEx>
            <w:trPr>
              <w:trHeight w:val="732" w:hRule="atLeast"/>
            </w:trPr>
            <w:tc>
              <w:tcPr>
                <w:tcW w:w="0" w:type="auto"/>
                <w:gridSpan w:val="8"/>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一、巴歇尔槽</w:t>
                </w:r>
              </w:p>
            </w:tc>
          </w:tr>
          <w:tr>
            <w:tblPrEx>
              <w:tblCellMar>
                <w:top w:w="0" w:type="dxa"/>
                <w:left w:w="0" w:type="dxa"/>
                <w:bottom w:w="0" w:type="dxa"/>
                <w:right w:w="0" w:type="dxa"/>
              </w:tblCellMar>
            </w:tblPrEx>
            <w:trPr>
              <w:trHeight w:val="68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序号</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名称</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数量</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单位</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单价</w:t>
                </w:r>
              </w:p>
            </w:tc>
            <w:tc>
              <w:tcPr>
                <w:tcW w:w="6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金额（元）</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技术参数</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备注</w:t>
                </w:r>
              </w:p>
            </w:tc>
          </w:tr>
          <w:tr>
            <w:tblPrEx>
              <w:tblCellMar>
                <w:top w:w="0" w:type="dxa"/>
                <w:left w:w="0" w:type="dxa"/>
                <w:bottom w:w="0" w:type="dxa"/>
                <w:right w:w="0" w:type="dxa"/>
              </w:tblCellMar>
            </w:tblPrEx>
            <w:trPr>
              <w:trHeight w:val="11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站房扩充（站房接地和防雷设施）</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项</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不低于15㎡；高不低于2.8m;配电有浪涌保护装置</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施工安装</w:t>
                </w:r>
              </w:p>
            </w:tc>
          </w:tr>
          <w:tr>
            <w:tblPrEx>
              <w:tblCellMar>
                <w:top w:w="0" w:type="dxa"/>
                <w:left w:w="0" w:type="dxa"/>
                <w:bottom w:w="0" w:type="dxa"/>
                <w:right w:w="0" w:type="dxa"/>
              </w:tblCellMar>
            </w:tblPrEx>
            <w:trPr>
              <w:trHeight w:val="323"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明渠建设</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项</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长度不少于9m</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69"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巴歇尔槽</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白钢304。8号巴歇尔槽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含流量计（流量：1400m³/小时）</w:t>
                </w:r>
              </w:p>
            </w:tc>
          </w:tr>
          <w:tr>
            <w:tblPrEx>
              <w:tblCellMar>
                <w:top w:w="0" w:type="dxa"/>
                <w:left w:w="0" w:type="dxa"/>
                <w:bottom w:w="0" w:type="dxa"/>
                <w:right w:w="0" w:type="dxa"/>
              </w:tblCellMar>
            </w:tblPrEx>
            <w:trPr>
              <w:trHeight w:val="243"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小计金额</w:t>
                </w:r>
              </w:p>
            </w:tc>
            <w:tc>
              <w:tcPr>
                <w:tcW w:w="1350"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613" w:hRule="atLeast"/>
            </w:trPr>
            <w:tc>
              <w:tcPr>
                <w:tcW w:w="0" w:type="auto"/>
                <w:gridSpan w:val="8"/>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二、设备改造工程</w:t>
                </w:r>
              </w:p>
            </w:tc>
          </w:tr>
          <w:tr>
            <w:tblPrEx>
              <w:tblCellMar>
                <w:top w:w="0" w:type="dxa"/>
                <w:left w:w="0" w:type="dxa"/>
                <w:bottom w:w="0" w:type="dxa"/>
                <w:right w:w="0"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序号</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设备名称</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数量</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单位</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单价</w:t>
                </w:r>
              </w:p>
            </w:tc>
            <w:tc>
              <w:tcPr>
                <w:tcW w:w="6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金额（元）</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设备技术参数</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备注</w:t>
                </w:r>
              </w:p>
            </w:tc>
          </w:tr>
          <w:tr>
            <w:tblPrEx>
              <w:tblCellMar>
                <w:top w:w="0" w:type="dxa"/>
                <w:left w:w="0" w:type="dxa"/>
                <w:bottom w:w="0" w:type="dxa"/>
                <w:right w:w="0" w:type="dxa"/>
              </w:tblCellMar>
            </w:tblPrEx>
            <w:trPr>
              <w:trHeight w:val="514"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水质采样器</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规格：1000ml×25瓶 采样间隔 1min～9999min</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单次采样量 10ml～1000ml 采样记录 10000条</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采样量误差 ±7%  等比例采样量误差  ±8%</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系统时钟时间控制误差  Δ1≤0.1% Δ12≤30s</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控温精度  ±1.5℃   采样垂直高度  ≥8m</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水平采样距离  ≥80m  管路系统气密性 ≤-0.085MPa</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平均无故障连续运行时间（MTBF）  ≥1440 h/次</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09"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数采仪</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1、满足《污染源在线自动监控（监测）数据采集传输仪技术要求》（HJ 477-2009）；</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*2、满足《污染物在线监控（监测）系统数据传输标准》（HJ 212-2017）；</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*3、通过中国环境监测总站的仪器适用性检测；</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*4、通过中国环境保护产业协会的“环境保护产品认证”；</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5、数字量输入/输出接口: 8 个或以上RS 232数字输入/输出通道, 4 个或以上RS 485数字输入/输出通道；</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6、开关量输入/输出接口: 8个或以上开关量输入通道; 8个或以上开关量输出通道；</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*7、模拟量输入接口: 16个或以上模拟量输入通道，支持4-20mA电流信号和0-5V电压信号；</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*8、一点多发: 可同时向 8个不同监控平台报送数据，并且可实现专网与公网同时传输功能；</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*9、数采仪配置10寸或以上触摸屏，触摸屏可实时显示相关数据，用户可在触摸屏上进行参数设置等操作；</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10、数据存储：9G以上数据存储空间，满足3年以上的数据存储要求；</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11、日志存储：2G以上的日志存储空间，满足3年以上的日志存储要求；</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12、网络通讯:支持两路10/100M自适应以太网通讯，支持4G全网通无线通讯；</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*13、数据导出:具备1个USB接口，支持USB数据导出；</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14、断电保护: 内置锂电池，支持充电，市电断电后能保证数采仪连续工作 6小时以上；</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15、远程控制：实现对在线监测仪器远程操控（如启动采样/清洗/测量等）；</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16、远程通信：实现读取在线监测仪器的参数、运行状态、日志；</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17、实时数据：能查询和显示实时数据；</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18、历史数据：能查询和显示分钟数据、小时数据、日数据等；能生成日报表、月报表、季报表、年报表；</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19、能查询和显示实时数据、历史数据曲线；</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20、仪器异常状态报警：在线监测仪器断开连接时报警并生成日志；</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21、异常数据报警：监测值异常时产生报警；</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22、超标数据检索：可在“数据查询”界面检索超标数据；</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9826"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0" w:type="dxa"/>
                <w:bottom w:w="0" w:type="dxa"/>
                <w:right w:w="0" w:type="dxa"/>
              </w:tblCellMar>
            </w:tblPrEx>
            <w:trPr>
              <w:trHeight w:val="5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温度计</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电极法</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5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UPS电源</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供电不少于两小时</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57"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稳定电源</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额定功率5kW</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12"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6</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数据控制程序</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反控水质采样器进行超标留样</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27"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7</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管路改造</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项</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材质：PVC 管径6寸30m</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w:t>
                </w:r>
              </w:p>
            </w:tc>
          </w:tr>
          <w:tr>
            <w:tblPrEx>
              <w:tblCellMar>
                <w:top w:w="0" w:type="dxa"/>
                <w:left w:w="0" w:type="dxa"/>
                <w:bottom w:w="0" w:type="dxa"/>
                <w:right w:w="0" w:type="dxa"/>
              </w:tblCellMar>
            </w:tblPrEx>
            <w:trPr>
              <w:trHeight w:val="882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8</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进水口监测总磷</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1.产品要求：可应用于污染源在线监测</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2.技术性能：</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 xml:space="preserve">2.1 测量原理：过硫酸盐氧化 钼酸铵分光光度法，（以检测报告为准） </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2.2 测量范围：0-50mg/L；</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2.3零点漂移：±0.1%（以检测报告为准）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2.4量程漂移：±1.5%（以检测报告为准）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2.5 重复性误差：±1.1%（以检测报告为准）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2.6 直线性：±2%（以检测报告为准）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2.7 测量周期：＜60分钟</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2.8 记录方式：内置小型存储器；显示方式：触摸屏；</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2.9*具备试剂余量不足告警功能（提供省级以上报告证明）</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2.10*具备仪表开门记录功能（提供省级以上报告证明）</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要求总磷总氮同一品牌。</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693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9</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进水口监测总氮</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1、产品要求：可应用于污染源在线监测</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2、技术性能：</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 xml:space="preserve">2.1 测量原理：碱性过硫酸钾消解紫外分光光度法，（以检测报告为准） </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2.2 测量范围：0-100mg/L（可扩展）；</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2.3 零点漂移：±0.01%（以检测报告为准）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2.4 量程漂移：±1.5%（以检测报告为准）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2.5 重复性误差：±4.5%（以检测报告为准）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2.6直线性：±6.5%（以检测报告为准）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2.7 测量周期：小于60分钟</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2.8 记录方式：内置小型存储器；</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显示方式：触摸屏；</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2.9*具备试剂余量不足告警功能（提供省级以上报告证明）</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2.10*具备仪表开门记录功能（提供省级以上报告证明）</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要求总磷总氮同一品牌。</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5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10</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设备验收</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项</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41"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11</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入口氨氮监测分析仪（力合LFS-2002）系统升级</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86"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12</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入口COD监测分析仪（力合LFS-2002）系统升级</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13</w:t>
                </w:r>
              </w:p>
            </w:tc>
            <w:tc>
              <w:tcPr>
                <w:tcW w:w="15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出口氨氮监测分析仪（力合LFS-2002）系统升级</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41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14</w:t>
                </w:r>
              </w:p>
            </w:tc>
            <w:tc>
              <w:tcPr>
                <w:tcW w:w="15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出口COD监测分析仪（力合LFS-2002）系统升级</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019"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15</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出口总氮监测分析仪（中兴C310）系统升级</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1049"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16</w:t>
                </w:r>
              </w:p>
            </w:tc>
            <w:tc>
              <w:tcPr>
                <w:tcW w:w="1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出口总磷监测分析仪（中兴C310）系统升级</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升级后支持反控、自动校准、自动标定功能。</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293"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小计金额</w:t>
                </w:r>
              </w:p>
            </w:tc>
            <w:tc>
              <w:tcPr>
                <w:tcW w:w="1350"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843" w:hRule="atLeast"/>
            </w:trPr>
            <w:tc>
              <w:tcPr>
                <w:tcW w:w="0" w:type="auto"/>
                <w:gridSpan w:val="8"/>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三、部分不符合环保要求需要更改工程</w:t>
                </w:r>
                <w:bookmarkEnd w:id="0"/>
              </w:p>
            </w:tc>
          </w:tr>
          <w:tr>
            <w:tblPrEx>
              <w:tblCellMar>
                <w:top w:w="0" w:type="dxa"/>
                <w:left w:w="0" w:type="dxa"/>
                <w:bottom w:w="0" w:type="dxa"/>
                <w:right w:w="0"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序号</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名称</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数量</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单位</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单价</w:t>
                </w:r>
              </w:p>
            </w:tc>
            <w:tc>
              <w:tcPr>
                <w:tcW w:w="6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金额（元）</w:t>
                </w:r>
              </w:p>
            </w:tc>
            <w:tc>
              <w:tcPr>
                <w:tcW w:w="327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xml:space="preserve">                                                                                                                                                                                                                                                                                                                                                            </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备注</w:t>
                </w:r>
              </w:p>
            </w:tc>
          </w:tr>
          <w:tr>
            <w:tblPrEx>
              <w:tblCellMar>
                <w:top w:w="0" w:type="dxa"/>
                <w:left w:w="0" w:type="dxa"/>
                <w:bottom w:w="0" w:type="dxa"/>
                <w:right w:w="0" w:type="dxa"/>
              </w:tblCellMar>
            </w:tblPrEx>
            <w:trPr>
              <w:trHeight w:val="106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罗茨鼓风机</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 风量 Qs：60 m³ /min</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 风压 P: 70 kpa</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 电机：90 KW</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国产</w:t>
                </w:r>
              </w:p>
            </w:tc>
          </w:tr>
          <w:tr>
            <w:tblPrEx>
              <w:tblCellMar>
                <w:top w:w="0" w:type="dxa"/>
                <w:left w:w="0" w:type="dxa"/>
                <w:bottom w:w="0" w:type="dxa"/>
                <w:right w:w="0" w:type="dxa"/>
              </w:tblCellMar>
            </w:tblPrEx>
            <w:trPr>
              <w:trHeight w:val="398"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隔音罩</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BC8024</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4879"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便携式溶解氧仪</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1.工作条件：</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环境温度：5--40℃；相对空气湿度：最大80％。</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用途：用于溶解氧测定。</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2.技术指标：</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*2.1测量范围及精度：</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溶氧：饱和度:0.0～600%，分辨率0.1%；浓度:0.00～99.00mg/L, 0.00～99.00ppm,分辨率0.01 mg/L, 0.01ppm；</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气压:500～1100mbar，分辨率1mbar；</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温度:0.0～60.0℃，分辨率0.1℃；</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*2.2 误差极限：</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溶氧(含电极)：±0.2mg/L（0…15mg/L），±10%（15mg…60mg/L）</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气压：±2%（15.0～35.0℃）</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温度（电极输入）：±0.2℃；</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2.3 具备1点校准（100％）和2点校准（100％和零点）两种模式；</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2.4 预设2组溶解氧标准组；</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*2.5 同时显示溶解氧、温度和气压，并显示电极状态；</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*2.6 超大LCD屏幕，主机至少能储存200个符合GLP规范的测量数据；</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*2.7 主机和连接电极后均能到达IP67防尘防水标准；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2.8 采用普通电池供电，可显示电池电量图标，开机可实现仪表自检。</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2.9 有自动、手动、定时终点功能，</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*2.10可以记录保存校准数据，有电极智能管理功能，通过连接任何 (智能电极管理)电极，该仪器可自动识别电极并储存电极ID、序列号和上一次的校准数据</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*3、配置：</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3.1  便携式溶氧仪主机1台和保证仪器正常运转的相应配件1套；</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3.2  溶氧电极1支（具备IP67防水标准）；</w:t>
                </w:r>
                <w:r>
                  <w:rPr>
                    <w:rFonts w:hint="eastAsia" w:ascii="仿宋_GB2312" w:hAnsi="仿宋_GB2312" w:eastAsia="仿宋_GB2312" w:cs="仿宋_GB2312"/>
                    <w:kern w:val="2"/>
                    <w:sz w:val="21"/>
                    <w:szCs w:val="21"/>
                    <w:lang w:val="en-US" w:eastAsia="zh-CN" w:bidi="ar"/>
                  </w:rPr>
                  <w:br w:type="textWrapping"/>
                </w:r>
                <w:r>
                  <w:rPr>
                    <w:rFonts w:hint="eastAsia" w:ascii="仿宋_GB2312" w:hAnsi="仿宋_GB2312" w:eastAsia="仿宋_GB2312" w:cs="仿宋_GB2312"/>
                    <w:kern w:val="2"/>
                    <w:sz w:val="21"/>
                    <w:szCs w:val="21"/>
                    <w:lang w:val="en-US" w:eastAsia="zh-CN" w:bidi="ar"/>
                  </w:rPr>
                  <w:t>3.3  电极夹，腕带，电池，操作手册等</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3514"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7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0" w:type="dxa"/>
                <w:bottom w:w="0" w:type="dxa"/>
                <w:right w:w="0" w:type="dxa"/>
              </w:tblCellMar>
            </w:tblPrEx>
            <w:trPr>
              <w:trHeight w:val="83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盘式过滤器滤布</w:t>
                </w:r>
              </w:p>
            </w:tc>
            <w:tc>
              <w:tcPr>
                <w:tcW w:w="4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144</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片</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材质：纤维布料；每片：不规格形状直径0.8-0.9m</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838"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5</w:t>
                </w:r>
              </w:p>
            </w:tc>
            <w:tc>
              <w:tcPr>
                <w:tcW w:w="150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气体流量计</w:t>
                </w:r>
              </w:p>
            </w:tc>
            <w:tc>
              <w:tcPr>
                <w:tcW w:w="4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防护:IP65;量程：0-4000nm³/h;通径：DN600；供电：24V;输出:20MA</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安装及调试</w:t>
                </w:r>
              </w:p>
            </w:tc>
          </w:tr>
          <w:tr>
            <w:tblPrEx>
              <w:tblCellMar>
                <w:top w:w="0" w:type="dxa"/>
                <w:left w:w="0" w:type="dxa"/>
                <w:bottom w:w="0" w:type="dxa"/>
                <w:right w:w="0" w:type="dxa"/>
              </w:tblCellMar>
            </w:tblPrEx>
            <w:trPr>
              <w:trHeight w:val="431"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小计金额</w:t>
                </w:r>
              </w:p>
            </w:tc>
            <w:tc>
              <w:tcPr>
                <w:tcW w:w="1350" w:type="dxa"/>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r>
            <w:tblPrEx>
              <w:tblCellMar>
                <w:top w:w="0" w:type="dxa"/>
                <w:left w:w="0" w:type="dxa"/>
                <w:bottom w:w="0" w:type="dxa"/>
                <w:right w:w="0" w:type="dxa"/>
              </w:tblCellMar>
            </w:tblPrEx>
            <w:trPr>
              <w:trHeight w:val="441"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合计金额</w:t>
                </w:r>
              </w:p>
            </w:tc>
            <w:tc>
              <w:tcPr>
                <w:tcW w:w="135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327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c>
              <w:tcPr>
                <w:tcW w:w="108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　</w:t>
                </w:r>
              </w:p>
            </w:tc>
          </w:tr>
        </w:tbl>
        <w:p>
          <w:pPr>
            <w:ind w:firstLine="480" w:firstLineChars="20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f6f3d84a9005445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f6f3d84a9005445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BYQ-2021A001</vt:lpwstr>
  </property>
</Properties>
</file>