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采购临时替代清洁煤</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BYQ-2021C016(2)</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营口市鲅鱼圈区发展和改革局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jc w:val="center"/>
            <w:rPr>
              <w:rFonts w:hint="eastAsia"/>
              <w:b/>
              <w:bCs/>
              <w:sz w:val="44"/>
              <w:szCs w:val="44"/>
            </w:rPr>
          </w:pPr>
          <w:r>
            <w:rPr>
              <w:rFonts w:hint="eastAsia" w:ascii="仿宋" w:hAnsi="仿宋" w:eastAsia="仿宋"/>
              <w:sz w:val="24"/>
              <w:lang w:val="en-US" w:eastAsia="zh-CN"/>
            </w:rPr>
            <w:t xml:space="preserve">   </w:t>
          </w:r>
          <w:r>
            <w:rPr>
              <w:rFonts w:hint="eastAsia" w:ascii="仿宋_GB2312" w:hAnsi="仿宋_GB2312" w:eastAsia="仿宋_GB2312" w:cs="仿宋_GB2312"/>
              <w:szCs w:val="21"/>
            </w:rPr>
            <w:t xml:space="preserve"> </w:t>
          </w:r>
          <w:r>
            <w:rPr>
              <w:rFonts w:hint="eastAsia"/>
              <w:b/>
              <w:bCs/>
              <w:sz w:val="44"/>
              <w:szCs w:val="44"/>
            </w:rPr>
            <w:t>采购需求清单</w:t>
          </w:r>
        </w:p>
        <w:p>
          <w:pPr>
            <w:jc w:val="center"/>
            <w:rPr>
              <w:rFonts w:hint="eastAsia"/>
              <w:b/>
              <w:bCs/>
              <w:sz w:val="44"/>
              <w:szCs w:val="44"/>
            </w:rPr>
          </w:pP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辽宁省发展改革委关于落实中央环保督查整改要求持续推进散煤替代工作的通知》（辽发改煤炭字〔2021〕28号）、《辽宁省2021年散煤治理工作实施方案》、《营口市2021年度散煤替代工作实施方案》（营发改能交〔2021〕159号）等要求，为确保我区冬奥会期间大气质量，对我区国控点3公里范围内未能实施散煤替代的用户进行清洁煤临时替代。</w:t>
          </w:r>
        </w:p>
        <w:p>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清洁煤标准：辽发改煤炭</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558号规定的全硫</w:t>
          </w:r>
        </w:p>
        <w:p>
          <w:pPr>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0.5%、灰分≤16%、热值4500大卡以上煤炭。</w:t>
          </w:r>
        </w:p>
        <w:p>
          <w:pPr>
            <w:numPr>
              <w:ilvl w:val="0"/>
              <w:numId w:val="3"/>
            </w:numPr>
            <w:ind w:left="63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采购数量：300吨。</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按合同约定时间、地点进行交付。</w:t>
          </w:r>
        </w:p>
        <w:p>
          <w:pPr>
            <w:numPr>
              <w:ilvl w:val="0"/>
              <w:numId w:val="3"/>
            </w:numPr>
            <w:ind w:left="630" w:leftChars="0"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按国家标准验收，由采购人组织实施。</w:t>
          </w:r>
        </w:p>
        <w:p>
          <w:pPr>
            <w:spacing w:line="360" w:lineRule="auto"/>
            <w:rPr>
              <w:rFonts w:ascii="仿宋_GB2312" w:hAnsi="仿宋_GB2312" w:eastAsia="仿宋_GB2312" w:cs="仿宋_GB2312"/>
            </w:rPr>
          </w:pPr>
          <w:r>
            <w:rPr>
              <w:rFonts w:hint="eastAsia" w:ascii="仿宋" w:hAnsi="仿宋" w:eastAsia="仿宋" w:cs="仿宋"/>
              <w:sz w:val="32"/>
              <w:szCs w:val="32"/>
              <w:lang w:val="en-US" w:eastAsia="zh-CN"/>
            </w:rPr>
            <w:t>付款方式：按合同约定方式进行付款。</w:t>
          </w:r>
        </w:p>
        <w:p>
          <w:pPr>
            <w:rPr>
              <w:rFonts w:ascii="仿宋" w:hAnsi="仿宋"/>
            </w:rPr>
          </w:pPr>
          <w:r>
            <w:rPr>
              <w:rFonts w:hint="eastAsia" w:ascii="仿宋" w:hAnsi="仿宋" w:eastAsia="仿宋"/>
              <w:sz w:val="24"/>
              <w:lang w:val="en-US" w:eastAsia="zh-CN"/>
            </w:rPr>
            <w:t xml:space="preserve"> </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74c4d93b8e6d4199"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74c4d93b8e6d4199"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BYQ-2021C016(2)</vt:lpwstr>
  </property>
</Properties>
</file>