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鲅鱼圈区环境监测第三方服务项目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BYQ-2022C001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营口市鲅鱼圈生态环境分局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sz w:val="40"/>
              <w:szCs w:val="40"/>
              <w:lang w:val="en-US"/>
            </w:rPr>
          </w:pPr>
          <w:r>
            <w:rPr>
              <w:rFonts w:hint="eastAsia" w:ascii="黑体" w:hAnsi="宋体" w:eastAsia="黑体" w:cs="黑体"/>
              <w:kern w:val="2"/>
              <w:sz w:val="40"/>
              <w:szCs w:val="40"/>
              <w:lang w:val="en-US" w:eastAsia="zh-CN" w:bidi="ar"/>
            </w:rPr>
            <w:t>鲅鱼圈区环境监测第三方服务项目需求</w:t>
          </w:r>
        </w:p>
        <w:p>
          <w:pPr>
            <w:keepNext w:val="0"/>
            <w:keepLines w:val="0"/>
            <w:widowControl w:val="0"/>
            <w:suppressLineNumbers w:val="0"/>
            <w:spacing w:before="0" w:beforeAutospacing="0" w:after="0" w:afterAutospacing="0" w:line="360" w:lineRule="auto"/>
            <w:ind w:left="0" w:right="0"/>
            <w:jc w:val="both"/>
            <w:rPr>
              <w:lang w:val="en-US"/>
            </w:rPr>
          </w:pPr>
        </w:p>
        <w:p>
          <w:pPr>
            <w:keepNext w:val="0"/>
            <w:keepLines w:val="0"/>
            <w:widowControl w:val="0"/>
            <w:suppressLineNumbers w:val="0"/>
            <w:adjustRightInd w:val="0"/>
            <w:spacing w:before="0" w:beforeAutospacing="0" w:after="0" w:afterAutospacing="0" w:line="480" w:lineRule="exact"/>
            <w:ind w:left="0" w:right="120" w:rightChars="50"/>
            <w:jc w:val="left"/>
            <w:textAlignment w:val="baseline"/>
            <w:rPr>
              <w:rFonts w:hint="eastAsia" w:ascii="仿宋" w:hAnsi="仿宋" w:eastAsia="仿宋" w:cs="仿宋"/>
              <w:sz w:val="30"/>
              <w:szCs w:val="30"/>
              <w:vertAlign w:val="baseline"/>
              <w:lang w:val="en-US"/>
            </w:rPr>
          </w:pPr>
          <w:r>
            <w:rPr>
              <w:rFonts w:hint="eastAsia" w:ascii="黑体" w:hAnsi="宋体" w:eastAsia="黑体" w:cs="黑体"/>
              <w:kern w:val="2"/>
              <w:sz w:val="30"/>
              <w:szCs w:val="30"/>
              <w:vertAlign w:val="baseline"/>
              <w:lang w:val="en-US" w:eastAsia="zh-CN" w:bidi="ar"/>
            </w:rPr>
            <w:t>项目名称：</w:t>
          </w:r>
          <w:r>
            <w:rPr>
              <w:rFonts w:hint="eastAsia" w:ascii="仿宋" w:hAnsi="仿宋" w:eastAsia="仿宋" w:cs="仿宋"/>
              <w:kern w:val="2"/>
              <w:sz w:val="28"/>
              <w:szCs w:val="28"/>
              <w:vertAlign w:val="baseline"/>
              <w:lang w:val="en-US" w:eastAsia="zh-CN" w:bidi="ar"/>
            </w:rPr>
            <w:t>鲅鱼圈区环境监测第三方服务项目</w:t>
          </w:r>
        </w:p>
        <w:p>
          <w:pPr>
            <w:keepNext w:val="0"/>
            <w:keepLines w:val="0"/>
            <w:widowControl w:val="0"/>
            <w:suppressLineNumbers w:val="0"/>
            <w:spacing w:before="0" w:beforeAutospacing="0" w:after="0" w:afterAutospacing="0" w:line="360" w:lineRule="auto"/>
            <w:ind w:left="0" w:right="0"/>
            <w:jc w:val="both"/>
            <w:rPr>
              <w:sz w:val="30"/>
              <w:szCs w:val="30"/>
              <w:lang w:val="en-US"/>
            </w:rPr>
          </w:pPr>
          <w:r>
            <w:rPr>
              <w:rFonts w:hint="eastAsia" w:ascii="黑体" w:hAnsi="宋体" w:eastAsia="黑体" w:cs="黑体"/>
              <w:kern w:val="2"/>
              <w:sz w:val="30"/>
              <w:szCs w:val="30"/>
              <w:lang w:val="en-US" w:eastAsia="zh-CN" w:bidi="ar"/>
            </w:rPr>
            <w:t>履约时间及履约地点</w:t>
          </w:r>
          <w:r>
            <w:rPr>
              <w:rFonts w:hint="eastAsia" w:ascii="Times New Roman" w:hAnsi="Times New Roman" w:eastAsia="仿宋" w:cs="仿宋"/>
              <w:kern w:val="2"/>
              <w:sz w:val="30"/>
              <w:szCs w:val="30"/>
              <w:lang w:val="en-US" w:eastAsia="zh-CN" w:bidi="ar"/>
            </w:rPr>
            <w:t>：签订合同之日起</w:t>
          </w:r>
          <w:r>
            <w:rPr>
              <w:rFonts w:hint="default" w:ascii="Times New Roman" w:hAnsi="Times New Roman" w:eastAsia="仿宋" w:cs="仿宋"/>
              <w:kern w:val="2"/>
              <w:sz w:val="30"/>
              <w:szCs w:val="30"/>
              <w:lang w:val="en-US" w:eastAsia="zh-CN" w:bidi="ar"/>
            </w:rPr>
            <w:t>7</w:t>
          </w:r>
          <w:r>
            <w:rPr>
              <w:rFonts w:hint="eastAsia" w:ascii="Times New Roman" w:hAnsi="Times New Roman" w:eastAsia="仿宋" w:cs="仿宋"/>
              <w:kern w:val="2"/>
              <w:sz w:val="30"/>
              <w:szCs w:val="30"/>
              <w:lang w:val="en-US" w:eastAsia="zh-CN" w:bidi="ar"/>
            </w:rPr>
            <w:t>天内开始履行服务、服务期为合同签订后</w:t>
          </w:r>
          <w:r>
            <w:rPr>
              <w:rFonts w:hint="default" w:ascii="Times New Roman" w:hAnsi="Times New Roman" w:eastAsia="仿宋" w:cs="Times New Roman"/>
              <w:kern w:val="2"/>
              <w:sz w:val="30"/>
              <w:szCs w:val="30"/>
              <w:lang w:val="en-US" w:eastAsia="zh-CN" w:bidi="ar"/>
            </w:rPr>
            <w:t>1</w:t>
          </w:r>
          <w:r>
            <w:rPr>
              <w:rFonts w:hint="eastAsia" w:ascii="Times New Roman" w:hAnsi="Times New Roman" w:eastAsia="仿宋" w:cs="仿宋"/>
              <w:kern w:val="2"/>
              <w:sz w:val="30"/>
              <w:szCs w:val="30"/>
              <w:lang w:val="en-US" w:eastAsia="zh-CN" w:bidi="ar"/>
            </w:rPr>
            <w:t>年，履约地点为甲方指定地点。</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黑体" w:hAnsi="宋体" w:eastAsia="黑体" w:cs="黑体"/>
              <w:kern w:val="2"/>
              <w:sz w:val="30"/>
              <w:szCs w:val="30"/>
              <w:lang w:val="en-US" w:eastAsia="zh-CN" w:bidi="ar"/>
            </w:rPr>
            <w:t>付款方式：</w:t>
          </w:r>
          <w:r>
            <w:rPr>
              <w:rFonts w:hint="eastAsia" w:ascii="仿宋_GB2312" w:hAnsi="Times New Roman" w:eastAsia="仿宋_GB2312" w:cs="仿宋_GB2312"/>
              <w:kern w:val="2"/>
              <w:sz w:val="28"/>
              <w:szCs w:val="22"/>
              <w:lang w:val="en-US" w:eastAsia="zh-CN" w:bidi="ar"/>
            </w:rPr>
            <w:t>项目验收合格后，按照合同约定付款。</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项目需求：</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一、服务范围</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检测机构配合营口市鲅鱼圈生态环境分局完成信访监测、污染源监督性监测、督查专项监测和应急监测等监测任务。</w:t>
          </w:r>
        </w:p>
        <w:p>
          <w:pPr>
            <w:keepNext w:val="0"/>
            <w:keepLines w:val="0"/>
            <w:widowControl w:val="0"/>
            <w:suppressLineNumbers w:val="0"/>
            <w:spacing w:before="0" w:beforeAutospacing="0" w:after="0" w:afterAutospacing="0" w:line="360" w:lineRule="auto"/>
            <w:ind w:left="0" w:right="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二、项目内容及标准</w:t>
          </w:r>
        </w:p>
        <w:p>
          <w:pPr>
            <w:keepNext w:val="0"/>
            <w:keepLines w:val="0"/>
            <w:widowControl w:val="0"/>
            <w:suppressLineNumbers w:val="0"/>
            <w:adjustRightInd w:val="0"/>
            <w:spacing w:before="0" w:beforeAutospacing="0" w:after="0" w:afterAutospacing="0" w:line="480" w:lineRule="exact"/>
            <w:ind w:left="0" w:right="120" w:rightChars="50"/>
            <w:jc w:val="left"/>
            <w:textAlignment w:val="baseline"/>
            <w:rPr>
              <w:rFonts w:hint="eastAsia" w:ascii="仿宋" w:hAnsi="仿宋" w:eastAsia="仿宋" w:cs="仿宋"/>
              <w:b/>
              <w:bCs/>
              <w:sz w:val="28"/>
              <w:szCs w:val="28"/>
              <w:vertAlign w:val="baseline"/>
              <w:lang w:val="en-US" w:bidi="ar"/>
            </w:rPr>
          </w:pPr>
          <w:r>
            <w:rPr>
              <w:rFonts w:hint="eastAsia" w:ascii="仿宋" w:hAnsi="仿宋" w:eastAsia="仿宋" w:cs="仿宋"/>
              <w:b/>
              <w:bCs/>
              <w:kern w:val="2"/>
              <w:sz w:val="28"/>
              <w:szCs w:val="28"/>
              <w:vertAlign w:val="baseline"/>
              <w:lang w:val="en-US" w:eastAsia="zh-CN" w:bidi="ar"/>
            </w:rPr>
            <w:t>1、项目范围</w:t>
          </w:r>
        </w:p>
        <w:p>
          <w:pPr>
            <w:keepNext w:val="0"/>
            <w:keepLines w:val="0"/>
            <w:widowControl w:val="0"/>
            <w:suppressLineNumbers w:val="0"/>
            <w:adjustRightInd w:val="0"/>
            <w:spacing w:before="0" w:beforeAutospacing="0" w:after="0" w:afterAutospacing="0" w:line="480" w:lineRule="exact"/>
            <w:ind w:left="0" w:right="120" w:rightChars="50"/>
            <w:jc w:val="left"/>
            <w:textAlignment w:val="baseline"/>
            <w:rPr>
              <w:rFonts w:hint="eastAsia" w:ascii="仿宋" w:hAnsi="仿宋" w:eastAsia="仿宋" w:cs="仿宋"/>
              <w:sz w:val="28"/>
              <w:szCs w:val="28"/>
              <w:vertAlign w:val="baseline"/>
              <w:lang w:val="en-US"/>
            </w:rPr>
          </w:pPr>
          <w:r>
            <w:rPr>
              <w:rFonts w:hint="eastAsia" w:ascii="仿宋" w:hAnsi="仿宋" w:eastAsia="仿宋" w:cs="仿宋"/>
              <w:kern w:val="2"/>
              <w:sz w:val="28"/>
              <w:szCs w:val="28"/>
              <w:vertAlign w:val="baseline"/>
              <w:lang w:val="en-US" w:eastAsia="zh-CN" w:bidi="ar"/>
            </w:rPr>
            <w:t>（一）工作内容：</w:t>
          </w:r>
        </w:p>
        <w:p>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由具备CMA检测资质的第三方检测机构开展如下检测工作：</w:t>
          </w:r>
        </w:p>
        <w:p>
          <w:pPr>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ascii="仿宋" w:hAnsi="仿宋" w:eastAsia="仿宋" w:cs="仿宋"/>
              <w:sz w:val="28"/>
              <w:szCs w:val="28"/>
              <w:lang w:val="en-US"/>
            </w:rPr>
          </w:pPr>
          <w:r>
            <w:rPr>
              <w:rFonts w:hint="eastAsia" w:ascii="仿宋" w:hAnsi="仿宋" w:cs="仿宋"/>
              <w:bCs/>
              <w:kern w:val="0"/>
              <w:sz w:val="28"/>
              <w:szCs w:val="28"/>
              <w:lang w:val="en-US" w:eastAsia="zh-CN" w:bidi="ar"/>
            </w:rPr>
            <w:t>1.</w:t>
          </w:r>
          <w:r>
            <w:rPr>
              <w:rFonts w:hint="eastAsia" w:ascii="仿宋" w:hAnsi="仿宋" w:eastAsia="仿宋" w:cs="仿宋"/>
              <w:bCs/>
              <w:kern w:val="0"/>
              <w:sz w:val="28"/>
              <w:szCs w:val="28"/>
              <w:lang w:val="en-US" w:eastAsia="zh-CN" w:bidi="ar"/>
            </w:rPr>
            <w:t>环境质量监测</w:t>
          </w:r>
          <w:r>
            <w:rPr>
              <w:rFonts w:hint="eastAsia" w:ascii="仿宋" w:hAnsi="仿宋" w:eastAsia="仿宋" w:cs="仿宋"/>
              <w:kern w:val="2"/>
              <w:sz w:val="28"/>
              <w:szCs w:val="28"/>
              <w:lang w:val="en-US" w:eastAsia="zh-CN" w:bidi="ar"/>
            </w:rPr>
            <w:t>：</w:t>
          </w:r>
        </w:p>
        <w:p>
          <w:pPr>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ascii="仿宋" w:hAnsi="仿宋" w:eastAsia="仿宋" w:cs="仿宋"/>
              <w:sz w:val="28"/>
              <w:szCs w:val="28"/>
              <w:lang w:val="en-US"/>
            </w:rPr>
          </w:pPr>
          <w:r>
            <w:rPr>
              <w:rFonts w:hint="eastAsia" w:ascii="仿宋" w:hAnsi="仿宋" w:cs="仿宋"/>
              <w:kern w:val="2"/>
              <w:sz w:val="28"/>
              <w:szCs w:val="28"/>
              <w:lang w:val="en-US" w:eastAsia="zh-CN" w:bidi="ar"/>
            </w:rPr>
            <w:t>（1）</w:t>
          </w:r>
          <w:r>
            <w:rPr>
              <w:rFonts w:hint="eastAsia" w:ascii="仿宋" w:hAnsi="仿宋" w:eastAsia="仿宋" w:cs="仿宋"/>
              <w:kern w:val="2"/>
              <w:sz w:val="28"/>
              <w:szCs w:val="28"/>
              <w:lang w:val="en-US" w:eastAsia="zh-CN" w:bidi="ar"/>
            </w:rPr>
            <w:t>地表水监测：根据实际需要对鲅鱼圈区区域内河流、湖泊等地表水开展不定期的监测。</w:t>
          </w:r>
        </w:p>
        <w:p>
          <w:pPr>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ascii="仿宋" w:hAnsi="仿宋" w:eastAsia="仿宋" w:cs="仿宋"/>
              <w:sz w:val="28"/>
              <w:szCs w:val="28"/>
              <w:lang w:val="en-US"/>
            </w:rPr>
          </w:pPr>
          <w:r>
            <w:rPr>
              <w:rFonts w:hint="eastAsia" w:ascii="仿宋" w:hAnsi="仿宋" w:cs="仿宋"/>
              <w:kern w:val="2"/>
              <w:sz w:val="28"/>
              <w:szCs w:val="28"/>
              <w:lang w:val="en-US" w:eastAsia="zh-CN" w:bidi="ar"/>
            </w:rPr>
            <w:t>（2）</w:t>
          </w:r>
          <w:r>
            <w:rPr>
              <w:rFonts w:hint="eastAsia" w:ascii="仿宋" w:hAnsi="仿宋" w:eastAsia="仿宋" w:cs="仿宋"/>
              <w:kern w:val="2"/>
              <w:sz w:val="28"/>
              <w:szCs w:val="28"/>
              <w:lang w:val="en-US" w:eastAsia="zh-CN" w:bidi="ar"/>
            </w:rPr>
            <w:t>环境空气监测：根据实际需要对鲅鱼圈区区域空气质量开展不定期的监测。</w:t>
          </w:r>
        </w:p>
        <w:p>
          <w:pPr>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ascii="仿宋" w:hAnsi="仿宋" w:eastAsia="仿宋" w:cs="仿宋"/>
              <w:sz w:val="28"/>
              <w:szCs w:val="28"/>
              <w:lang w:val="en-US"/>
            </w:rPr>
          </w:pPr>
          <w:r>
            <w:rPr>
              <w:rFonts w:hint="eastAsia" w:ascii="仿宋" w:hAnsi="仿宋" w:cs="仿宋"/>
              <w:kern w:val="2"/>
              <w:sz w:val="28"/>
              <w:szCs w:val="28"/>
              <w:lang w:val="en-US" w:eastAsia="zh-CN" w:bidi="ar"/>
            </w:rPr>
            <w:t>（3）</w:t>
          </w:r>
          <w:r>
            <w:rPr>
              <w:rFonts w:hint="eastAsia" w:ascii="仿宋" w:hAnsi="仿宋" w:eastAsia="仿宋" w:cs="仿宋"/>
              <w:kern w:val="2"/>
              <w:sz w:val="28"/>
              <w:szCs w:val="28"/>
              <w:lang w:val="en-US" w:eastAsia="zh-CN" w:bidi="ar"/>
            </w:rPr>
            <w:t>海水监测：根据实际需要对鲅鱼圈区区域海水开展不定期的监测。</w:t>
          </w:r>
        </w:p>
        <w:p>
          <w:pPr>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ascii="仿宋" w:hAnsi="仿宋" w:eastAsia="仿宋" w:cs="仿宋"/>
              <w:sz w:val="28"/>
              <w:szCs w:val="28"/>
              <w:lang w:val="en-US"/>
            </w:rPr>
          </w:pPr>
          <w:r>
            <w:rPr>
              <w:rFonts w:hint="eastAsia" w:ascii="仿宋" w:hAnsi="仿宋" w:cs="仿宋"/>
              <w:kern w:val="2"/>
              <w:sz w:val="28"/>
              <w:szCs w:val="28"/>
              <w:lang w:val="en-US" w:eastAsia="zh-CN" w:bidi="ar"/>
            </w:rPr>
            <w:t>2.</w:t>
          </w:r>
          <w:r>
            <w:rPr>
              <w:rFonts w:hint="eastAsia" w:ascii="仿宋" w:hAnsi="仿宋" w:eastAsia="仿宋" w:cs="仿宋"/>
              <w:kern w:val="2"/>
              <w:sz w:val="28"/>
              <w:szCs w:val="28"/>
              <w:lang w:val="en-US" w:eastAsia="zh-CN" w:bidi="ar"/>
            </w:rPr>
            <w:t>执法监测：根据实际需要对</w:t>
          </w:r>
          <w:r>
            <w:rPr>
              <w:rFonts w:hint="eastAsia" w:ascii="仿宋" w:hAnsi="仿宋" w:eastAsia="仿宋" w:cs="仿宋"/>
              <w:bCs/>
              <w:kern w:val="0"/>
              <w:sz w:val="28"/>
              <w:szCs w:val="28"/>
              <w:lang w:val="en-US" w:eastAsia="zh-CN" w:bidi="ar"/>
            </w:rPr>
            <w:t>双随机、信访、应急监测、在线比对监测专项整治涉及的监测工作以及临时性监测工作；</w:t>
          </w:r>
        </w:p>
        <w:p>
          <w:pPr>
            <w:keepNext w:val="0"/>
            <w:keepLines w:val="0"/>
            <w:widowControl w:val="0"/>
            <w:numPr>
              <w:ilvl w:val="0"/>
              <w:numId w:val="0"/>
            </w:numPr>
            <w:suppressLineNumbers w:val="0"/>
            <w:spacing w:before="0" w:beforeAutospacing="0" w:after="0" w:afterAutospacing="0" w:line="360" w:lineRule="auto"/>
            <w:ind w:leftChars="0" w:right="0" w:rightChars="0"/>
            <w:jc w:val="left"/>
            <w:rPr>
              <w:rFonts w:hint="eastAsia" w:ascii="仿宋" w:hAnsi="仿宋" w:eastAsia="仿宋" w:cs="仿宋"/>
              <w:sz w:val="28"/>
              <w:szCs w:val="28"/>
              <w:lang w:val="en-US"/>
            </w:rPr>
          </w:pPr>
          <w:r>
            <w:rPr>
              <w:rFonts w:hint="eastAsia" w:ascii="仿宋" w:hAnsi="仿宋" w:cs="仿宋"/>
              <w:bCs/>
              <w:kern w:val="0"/>
              <w:sz w:val="28"/>
              <w:szCs w:val="28"/>
              <w:lang w:val="en-US" w:eastAsia="zh-CN" w:bidi="ar"/>
            </w:rPr>
            <w:t>3.</w:t>
          </w:r>
          <w:r>
            <w:rPr>
              <w:rFonts w:hint="eastAsia" w:ascii="仿宋" w:hAnsi="仿宋" w:eastAsia="仿宋" w:cs="仿宋"/>
              <w:bCs/>
              <w:kern w:val="0"/>
              <w:sz w:val="28"/>
              <w:szCs w:val="28"/>
              <w:lang w:val="en-US" w:eastAsia="zh-CN" w:bidi="ar"/>
            </w:rPr>
            <w:t>监督性监测：对辖区内重点排污企业开展监督性监测工作；</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（二）工作要求：</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1.人员及设备要满足项目检测要求。行政执法工作主要是夜间、节假日错时执法，要保证检测人员随叫随到。</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2、中标供应商履行合同时，如有其未包括检测项目，可按照国家相关标准委托其他单位检测并出具相关检测报告，费用按中标价执行。</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3、如发生应急、突发等环境案件，中标供应商需在其承诺的基础上按甲方要求的时间内到达现场。</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4、一般性案件，中标供应商需按甲方要求的时间（最迟接到通知后2个小时）内到达现场。</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5、中标供应商需按甲方要求及时出具检测报告（包括纸质版和电子版）。</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(三) 涉及的标准：</w:t>
          </w:r>
        </w:p>
        <w:p>
          <w:pPr>
            <w:pStyle w:val="7"/>
            <w:keepNext w:val="0"/>
            <w:keepLines w:val="0"/>
            <w:widowControl/>
            <w:suppressLineNumbers w:val="0"/>
            <w:spacing w:before="0" w:beforeAutospacing="0" w:after="0" w:afterAutospacing="0"/>
            <w:ind w:leftChars="200" w:right="0"/>
            <w:rPr>
              <w:lang w:val="en-US"/>
            </w:rPr>
          </w:pPr>
          <w:r>
            <w:rPr>
              <w:rFonts w:hint="eastAsia" w:ascii="仿宋" w:hAnsi="仿宋" w:eastAsia="仿宋" w:cs="仿宋"/>
              <w:sz w:val="28"/>
              <w:szCs w:val="28"/>
              <w:lang w:eastAsia="zh-CN"/>
            </w:rPr>
            <w:t>包括但不限于以下标准：</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《固定源废气监测技术规范HJ/T397-2007》</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《大气污染物无组织排放监测技术导则HJ/T55-2000》</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《环境空气质量标准  GB/T 3095-2012》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《室内空气质量标准  GB/T 18883-2002》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《环境空气质量手工监测技术规范HJ194-2017》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《恶臭污染物排放标准GB14554-93》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《锅炉大气污染物排放标准GB13271-2014》</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《饮食业油烟排放标准GB18483-2001》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《工业炉窑大气污染物排放标准  GB9078-1996》</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《施工及堆料场地扬尘排放标准DB21/2642-2016》</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《生活垃圾填埋场污染控制标准 GB 16889-2008》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《镁制耐火材料工业大气污染物排放标准DB21/3011-2018》</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《大气污染物综合排放标准GB 16297—1996》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《水泥工业大气污染物排放标准GB 4915-2013》</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《钢铁烧结、球团工业大气污染物排放标准 GB 28662-2012》</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《挥发性有机物无组织排放控制标准 GB 37822-2019》</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《火电厂大气污染物排放标准 GB 13223-2011》</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《炼钢工业大气污染物排放标准 GB 28664-2012》</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《炼铁工业大气污染物排放标准 GB 128663-2012》</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《铝工业污染物排放标准 GB 16171-2012》</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《炼焦化学工业污染物排放标准 GB 16171-2012》</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《电镀污染物排放标准GB21900-2008》</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《污水监测技术规范 HJ91.1-2019》</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《地表水环境质量标准 GB3838-2002》</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《辽宁省污水综合排放标准DB21/1627-2008》</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《污水综合排放标准》（GB 8978-1996）</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《固定污染源监测质量保证与质量控制技术规范（试行）HJ/T 373-2007》</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《工业企业厂界环境噪声排放标准GB12348-2008》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《声环境质量标准GB3096-2008》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《土壤环境质量 建设用地土壤污染风险管控标准GB36600-2018》</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《主要污染物减排监测技术规定（暂行）》（总站源字[2007]148号）</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《地表水和污水监测技术规范》（HJ/T 91-2002）</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《水质 采样技术指导》（HJ 494-2009）</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《水质河流采样技术指导》（HJ/T 52-1999）</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《水质湖泊和水库采样技术指导》（GB/T 14581-93）</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《水质采样方案设计技术规定》（HJ 495-2009）</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《水质采样 样品的保存和管理技术规定》（HJ 493-2009）</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《环境空气质量手工监测技术规范》(HJ/T 194-2005)</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《环境空气质量监测规范（试行）》（国家环保总局公告 2007年第4号）</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《空气和废气监测分析方法》(第四版)</w:t>
          </w:r>
        </w:p>
        <w:p>
          <w:pPr>
            <w:keepNext w:val="0"/>
            <w:keepLines w:val="0"/>
            <w:widowControl w:val="0"/>
            <w:suppressLineNumbers w:val="0"/>
            <w:spacing w:before="0" w:beforeAutospacing="0" w:after="0" w:afterAutospacing="0" w:line="360" w:lineRule="auto"/>
            <w:ind w:left="0" w:right="0"/>
            <w:jc w:val="both"/>
            <w:rPr>
              <w:rFonts w:eastAsia="仿宋_GB2312"/>
              <w:color w:val="000000"/>
              <w:sz w:val="28"/>
              <w:szCs w:val="28"/>
              <w:lang w:val="en-US"/>
            </w:rPr>
          </w:pPr>
          <w:r>
            <w:rPr>
              <w:rFonts w:hint="eastAsia" w:ascii="仿宋" w:hAnsi="仿宋" w:eastAsia="仿宋" w:cs="仿宋"/>
              <w:kern w:val="2"/>
              <w:sz w:val="28"/>
              <w:szCs w:val="28"/>
              <w:lang w:val="en-US" w:eastAsia="zh-CN" w:bidi="ar"/>
            </w:rPr>
            <w:t>《海洋监测规范》（GB17378.1～7-2007）等行业其他相关规范</w:t>
          </w:r>
        </w:p>
        <w:p>
          <w:pPr>
            <w:keepNext w:val="0"/>
            <w:keepLines w:val="0"/>
            <w:widowControl/>
            <w:numPr>
              <w:ilvl w:val="0"/>
              <w:numId w:val="0"/>
            </w:numPr>
            <w:suppressLineNumbers w:val="0"/>
            <w:spacing w:before="0" w:beforeAutospacing="0" w:after="0" w:afterAutospacing="0" w:line="480" w:lineRule="exact"/>
            <w:ind w:leftChars="0" w:right="0" w:rightChars="0"/>
            <w:jc w:val="left"/>
            <w:rPr>
              <w:rFonts w:hint="eastAsia" w:ascii="仿宋" w:hAnsi="仿宋" w:eastAsia="仿宋" w:cs="仿宋"/>
              <w:b/>
              <w:bCs/>
              <w:color w:val="000000"/>
              <w:sz w:val="28"/>
              <w:szCs w:val="28"/>
              <w:lang w:val="en-US" w:bidi="ar"/>
            </w:rPr>
          </w:pPr>
          <w:r>
            <w:rPr>
              <w:rFonts w:hint="eastAsia" w:ascii="仿宋" w:hAnsi="仿宋" w:cs="仿宋"/>
              <w:b/>
              <w:bCs/>
              <w:color w:val="000000"/>
              <w:kern w:val="2"/>
              <w:sz w:val="28"/>
              <w:szCs w:val="28"/>
              <w:lang w:val="en-US" w:eastAsia="zh-CN" w:bidi="ar"/>
            </w:rPr>
            <w:t>三、</w:t>
          </w:r>
          <w:r>
            <w:rPr>
              <w:rFonts w:hint="eastAsia" w:ascii="仿宋" w:hAnsi="仿宋" w:eastAsia="仿宋" w:cs="仿宋"/>
              <w:b/>
              <w:bCs/>
              <w:color w:val="000000"/>
              <w:kern w:val="2"/>
              <w:sz w:val="28"/>
              <w:szCs w:val="28"/>
              <w:lang w:val="en-US" w:eastAsia="zh-CN" w:bidi="ar"/>
            </w:rPr>
            <w:t>特殊说明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2"/>
              <w:sz w:val="28"/>
              <w:szCs w:val="28"/>
              <w:lang w:val="en-US" w:eastAsia="zh-CN" w:bidi="ar"/>
            </w:rPr>
          </w:pPr>
          <w:r>
            <w:rPr>
              <w:lang w:val="en-US"/>
            </w:rPr>
            <w:t xml:space="preserve"> </w:t>
          </w:r>
          <w:r>
            <w:rPr>
              <w:rFonts w:hint="eastAsia" w:ascii="仿宋" w:hAnsi="仿宋" w:eastAsia="仿宋" w:cs="仿宋"/>
              <w:kern w:val="2"/>
              <w:sz w:val="28"/>
              <w:szCs w:val="28"/>
              <w:lang w:val="en-US" w:eastAsia="zh-CN" w:bidi="ar"/>
            </w:rPr>
            <w:t>本项目的特定资格要求：具备CMA检测资质。</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中标供应商中标后为采购单位所做的项目做好保密工作，不得与被测单位存在利益关系，不得透露检测内容等。（一经发现中标单位有以上行为，取消中标资格，采购单位保留对其追偿的权利）。</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fb3a67ee281742a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fb3a67ee281742a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BYQ-2022C001</vt:lpwstr>
  </property>
</Properties>
</file>