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盖州市太阳升办事处果园村垃圾填埋场整治工作采购项目——地下水、废气、及土壤</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GZC2019-074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盖州市住房和城乡建设局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983322" w:rsidRPr="00BF27C4" w:rsidRDefault="00983322" w:rsidP="00983322">
          <w:pPr>
            <w:spacing w:line="360" w:lineRule="auto"/>
            <w:ind w:firstLineChars="150" w:firstLine="360"/>
            <w:rPr>
              <w:rFonts w:asciiTheme="minorEastAsia" w:eastAsiaTheme="minorEastAsia" w:hAnsiTheme="minorEastAsia"/>
              <w:sz w:val="32"/>
              <w:szCs w:val="32"/>
            </w:rPr>
          </w:pPr>
          <w:r w:rsidRPr="00BF27C4">
            <w:rPr>
              <w:rFonts w:asciiTheme="minorEastAsia" w:eastAsiaTheme="minorEastAsia" w:hAnsiTheme="minorEastAsia" w:hint="eastAsia"/>
              <w:sz w:val="32"/>
              <w:szCs w:val="32"/>
            </w:rPr>
            <w:t>1、对投标单位要求</w:t>
          </w:r>
        </w:p>
        <w:p w:rsidR="00983322" w:rsidRDefault="00983322" w:rsidP="00983322">
          <w:pPr>
            <w:spacing w:line="360" w:lineRule="auto"/>
            <w:ind w:firstLineChars="100" w:firstLine="32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Pr="00831EC1">
            <w:rPr>
              <w:rFonts w:asciiTheme="minorEastAsia" w:eastAsiaTheme="minorEastAsia" w:hAnsiTheme="minorEastAsia" w:hint="eastAsia"/>
              <w:sz w:val="32"/>
              <w:szCs w:val="32"/>
            </w:rPr>
            <w:t>具有独立承担民事责任的能力；</w:t>
          </w:r>
        </w:p>
        <w:p w:rsidR="00983322" w:rsidRPr="00831EC1" w:rsidRDefault="00983322" w:rsidP="00983322">
          <w:pPr>
            <w:spacing w:line="360" w:lineRule="auto"/>
            <w:ind w:firstLineChars="100" w:firstLine="32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831EC1">
            <w:rPr>
              <w:rFonts w:asciiTheme="minorEastAsia" w:eastAsiaTheme="minorEastAsia" w:hAnsiTheme="minorEastAsia" w:hint="eastAsia"/>
              <w:sz w:val="32"/>
              <w:szCs w:val="32"/>
            </w:rPr>
            <w:t>具有良好的商业信誉和健全的财务会计制度；</w:t>
          </w:r>
        </w:p>
        <w:p w:rsidR="00983322" w:rsidRPr="00831EC1" w:rsidRDefault="00983322" w:rsidP="00983322">
          <w:pPr>
            <w:spacing w:line="360" w:lineRule="auto"/>
            <w:ind w:firstLineChars="100" w:firstLine="32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Pr="00831EC1">
            <w:rPr>
              <w:rFonts w:asciiTheme="minorEastAsia" w:eastAsiaTheme="minorEastAsia" w:hAnsiTheme="minorEastAsia" w:hint="eastAsia"/>
              <w:sz w:val="32"/>
              <w:szCs w:val="32"/>
            </w:rPr>
            <w:t>具有履行合同所必需的设备和专业技术能力；</w:t>
          </w:r>
        </w:p>
        <w:p w:rsidR="00983322" w:rsidRPr="00831EC1" w:rsidRDefault="00983322" w:rsidP="00983322">
          <w:pPr>
            <w:spacing w:line="360" w:lineRule="auto"/>
            <w:ind w:firstLineChars="100" w:firstLine="32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Pr="00831EC1">
            <w:rPr>
              <w:rFonts w:asciiTheme="minorEastAsia" w:eastAsiaTheme="minorEastAsia" w:hAnsiTheme="minorEastAsia" w:hint="eastAsia"/>
              <w:sz w:val="32"/>
              <w:szCs w:val="32"/>
            </w:rPr>
            <w:t>有依法缴纳税收和社会保障资金的良好记录；</w:t>
          </w:r>
        </w:p>
        <w:p w:rsidR="00983322" w:rsidRPr="00831EC1" w:rsidRDefault="00983322" w:rsidP="00983322">
          <w:pPr>
            <w:spacing w:line="360" w:lineRule="auto"/>
            <w:ind w:leftChars="130" w:left="913" w:hangingChars="200" w:hanging="64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Pr="00831EC1">
            <w:rPr>
              <w:rFonts w:asciiTheme="minorEastAsia" w:eastAsiaTheme="minorEastAsia" w:hAnsiTheme="minorEastAsia" w:hint="eastAsia"/>
              <w:sz w:val="32"/>
              <w:szCs w:val="32"/>
            </w:rPr>
            <w:t>参加政府采购活动前三年内，在经营活动中没有重大违法记录；</w:t>
          </w:r>
        </w:p>
        <w:p w:rsidR="00983322" w:rsidRPr="00831EC1" w:rsidRDefault="00983322" w:rsidP="00983322">
          <w:pPr>
            <w:spacing w:line="360" w:lineRule="auto"/>
            <w:ind w:firstLineChars="100" w:firstLine="32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Pr="00831EC1">
            <w:rPr>
              <w:rFonts w:asciiTheme="minorEastAsia" w:eastAsiaTheme="minorEastAsia" w:hAnsiTheme="minorEastAsia" w:hint="eastAsia"/>
              <w:sz w:val="32"/>
              <w:szCs w:val="32"/>
            </w:rPr>
            <w:t>本项目不允许联合体参与磋商；</w:t>
          </w:r>
        </w:p>
        <w:p w:rsidR="00983322" w:rsidRPr="00831EC1" w:rsidRDefault="00983322" w:rsidP="00983322">
          <w:pPr>
            <w:spacing w:line="360" w:lineRule="auto"/>
            <w:ind w:firstLineChars="100" w:firstLine="32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（7）</w:t>
          </w:r>
          <w:r w:rsidRPr="00831EC1">
            <w:rPr>
              <w:rFonts w:asciiTheme="minorEastAsia" w:eastAsiaTheme="minorEastAsia" w:hAnsiTheme="minorEastAsia" w:hint="eastAsia"/>
              <w:sz w:val="32"/>
              <w:szCs w:val="32"/>
            </w:rPr>
            <w:t>合格供应</w:t>
          </w:r>
          <w:proofErr w:type="gramStart"/>
          <w:r w:rsidRPr="00831EC1">
            <w:rPr>
              <w:rFonts w:asciiTheme="minorEastAsia" w:eastAsiaTheme="minorEastAsia" w:hAnsiTheme="minorEastAsia" w:hint="eastAsia"/>
              <w:sz w:val="32"/>
              <w:szCs w:val="32"/>
            </w:rPr>
            <w:t>商还要</w:t>
          </w:r>
          <w:proofErr w:type="gramEnd"/>
          <w:r w:rsidRPr="00831EC1">
            <w:rPr>
              <w:rFonts w:asciiTheme="minorEastAsia" w:eastAsiaTheme="minorEastAsia" w:hAnsiTheme="minorEastAsia" w:hint="eastAsia"/>
              <w:sz w:val="32"/>
              <w:szCs w:val="32"/>
            </w:rPr>
            <w:t>满足的其它资格条件：</w:t>
          </w:r>
        </w:p>
        <w:p w:rsidR="00983322" w:rsidRPr="00831EC1" w:rsidRDefault="00983322" w:rsidP="00983322">
          <w:pPr>
            <w:spacing w:line="360" w:lineRule="auto"/>
            <w:ind w:leftChars="365" w:left="926" w:hangingChars="50" w:hanging="16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a</w:t>
          </w:r>
          <w:r w:rsidRPr="00831EC1">
            <w:rPr>
              <w:rFonts w:asciiTheme="minorEastAsia" w:eastAsiaTheme="minorEastAsia" w:hAnsiTheme="minorEastAsia" w:hint="eastAsia"/>
              <w:sz w:val="32"/>
              <w:szCs w:val="32"/>
            </w:rPr>
            <w:t>投标人须为中国境内依法设立的具有独立法人资格的检测机构。</w:t>
          </w:r>
        </w:p>
        <w:p w:rsidR="00983322" w:rsidRPr="00831EC1" w:rsidRDefault="00983322" w:rsidP="00983322">
          <w:pPr>
            <w:spacing w:line="360" w:lineRule="auto"/>
            <w:ind w:leftChars="365" w:left="926" w:hangingChars="50" w:hanging="16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b</w:t>
          </w:r>
          <w:r w:rsidRPr="00831EC1">
            <w:rPr>
              <w:rFonts w:asciiTheme="minorEastAsia" w:eastAsiaTheme="minorEastAsia" w:hAnsiTheme="minorEastAsia" w:hint="eastAsia"/>
              <w:sz w:val="32"/>
              <w:szCs w:val="32"/>
            </w:rPr>
            <w:t>投标人须具有省级及以上质量技术监督部门颁发的在有效期内的资质认证计量认证证书（CMA）；投标人需自有实验室且在辽宁省生态环境厅备案</w:t>
          </w:r>
          <w:r>
            <w:rPr>
              <w:rFonts w:asciiTheme="minorEastAsia" w:eastAsiaTheme="minorEastAsia" w:hAnsiTheme="minorEastAsia" w:hint="eastAsia"/>
              <w:sz w:val="32"/>
              <w:szCs w:val="32"/>
            </w:rPr>
            <w:t>。</w:t>
          </w:r>
        </w:p>
        <w:p w:rsidR="00983322" w:rsidRPr="00BF27C4" w:rsidRDefault="00983322" w:rsidP="00983322">
          <w:pPr>
            <w:spacing w:line="360" w:lineRule="auto"/>
            <w:ind w:firstLineChars="150" w:firstLine="480"/>
            <w:outlineLvl w:val="0"/>
            <w:rPr>
              <w:rFonts w:asciiTheme="minorEastAsia" w:eastAsiaTheme="minorEastAsia" w:hAnsiTheme="minorEastAsia"/>
              <w:sz w:val="32"/>
              <w:szCs w:val="32"/>
            </w:rPr>
          </w:pPr>
          <w:r w:rsidRPr="00BF27C4">
            <w:rPr>
              <w:rFonts w:asciiTheme="minorEastAsia" w:eastAsiaTheme="minorEastAsia" w:hAnsiTheme="minorEastAsia" w:hint="eastAsia"/>
              <w:sz w:val="32"/>
              <w:szCs w:val="32"/>
            </w:rPr>
            <w:t>2、付款方式及条件</w:t>
          </w:r>
        </w:p>
        <w:p w:rsidR="00983322" w:rsidRPr="00BF27C4" w:rsidRDefault="00983322" w:rsidP="00983322">
          <w:pPr>
            <w:spacing w:line="360" w:lineRule="auto"/>
            <w:ind w:firstLineChars="150" w:firstLine="480"/>
            <w:outlineLvl w:val="0"/>
            <w:rPr>
              <w:rFonts w:asciiTheme="minorEastAsia" w:eastAsiaTheme="minorEastAsia" w:hAnsiTheme="minorEastAsia"/>
              <w:sz w:val="32"/>
              <w:szCs w:val="32"/>
            </w:rPr>
          </w:pPr>
          <w:r>
            <w:rPr>
              <w:rFonts w:asciiTheme="minorEastAsia" w:eastAsiaTheme="minorEastAsia" w:hAnsiTheme="minorEastAsia" w:hint="eastAsia"/>
              <w:sz w:val="32"/>
              <w:szCs w:val="32"/>
            </w:rPr>
            <w:t>验收合格后按盖州市财政局专项资金拨款进度支付。</w:t>
          </w:r>
        </w:p>
        <w:p w:rsidR="00983322" w:rsidRPr="00BF27C4" w:rsidRDefault="00983322" w:rsidP="00983322">
          <w:pPr>
            <w:spacing w:line="360" w:lineRule="auto"/>
            <w:ind w:firstLineChars="150" w:firstLine="480"/>
            <w:outlineLvl w:val="0"/>
            <w:rPr>
              <w:rFonts w:asciiTheme="minorEastAsia" w:eastAsiaTheme="minorEastAsia" w:hAnsiTheme="minorEastAsia"/>
              <w:sz w:val="32"/>
              <w:szCs w:val="32"/>
            </w:rPr>
          </w:pPr>
          <w:r w:rsidRPr="00BF27C4">
            <w:rPr>
              <w:rFonts w:asciiTheme="minorEastAsia" w:eastAsiaTheme="minorEastAsia" w:hAnsiTheme="minorEastAsia" w:hint="eastAsia"/>
              <w:sz w:val="32"/>
              <w:szCs w:val="32"/>
            </w:rPr>
            <w:t>3、交货时间和交货地点</w:t>
          </w:r>
        </w:p>
        <w:p w:rsidR="00983322" w:rsidRDefault="00983322" w:rsidP="00983322">
          <w:pPr>
            <w:spacing w:line="360" w:lineRule="auto"/>
            <w:ind w:firstLine="480"/>
            <w:outlineLvl w:val="0"/>
            <w:rPr>
              <w:rFonts w:asciiTheme="minorEastAsia" w:eastAsiaTheme="minorEastAsia" w:hAnsiTheme="minorEastAsia"/>
              <w:sz w:val="32"/>
              <w:szCs w:val="32"/>
            </w:rPr>
          </w:pPr>
          <w:r w:rsidRPr="00BF27C4">
            <w:rPr>
              <w:rFonts w:asciiTheme="minorEastAsia" w:eastAsiaTheme="minorEastAsia" w:hAnsiTheme="minorEastAsia" w:hint="eastAsia"/>
              <w:sz w:val="32"/>
              <w:szCs w:val="32"/>
            </w:rPr>
            <w:t>本次</w:t>
          </w:r>
          <w:r>
            <w:rPr>
              <w:rFonts w:asciiTheme="minorEastAsia" w:eastAsiaTheme="minorEastAsia" w:hAnsiTheme="minorEastAsia" w:hint="eastAsia"/>
              <w:sz w:val="32"/>
              <w:szCs w:val="32"/>
            </w:rPr>
            <w:t>政府</w:t>
          </w:r>
          <w:r w:rsidRPr="00BF27C4">
            <w:rPr>
              <w:rFonts w:asciiTheme="minorEastAsia" w:eastAsiaTheme="minorEastAsia" w:hAnsiTheme="minorEastAsia" w:hint="eastAsia"/>
              <w:sz w:val="32"/>
              <w:szCs w:val="32"/>
            </w:rPr>
            <w:t>采购</w:t>
          </w:r>
          <w:r>
            <w:rPr>
              <w:rFonts w:asciiTheme="minorEastAsia" w:eastAsiaTheme="minorEastAsia" w:hAnsiTheme="minorEastAsia" w:hint="eastAsia"/>
              <w:sz w:val="32"/>
              <w:szCs w:val="32"/>
            </w:rPr>
            <w:t>一次性</w:t>
          </w:r>
          <w:r w:rsidRPr="00BF27C4">
            <w:rPr>
              <w:rFonts w:asciiTheme="minorEastAsia" w:eastAsiaTheme="minorEastAsia" w:hAnsiTheme="minorEastAsia" w:hint="eastAsia"/>
              <w:sz w:val="32"/>
              <w:szCs w:val="32"/>
            </w:rPr>
            <w:t>交付。</w:t>
          </w:r>
          <w:r>
            <w:rPr>
              <w:rFonts w:asciiTheme="minorEastAsia" w:eastAsiaTheme="minorEastAsia" w:hAnsiTheme="minorEastAsia" w:hint="eastAsia"/>
              <w:sz w:val="32"/>
              <w:szCs w:val="32"/>
            </w:rPr>
            <w:t>交付地点为盖州市住房和城乡建设局。</w:t>
          </w:r>
        </w:p>
        <w:p w:rsidR="00983322" w:rsidRDefault="00983322" w:rsidP="00983322">
          <w:pPr>
            <w:spacing w:line="360" w:lineRule="auto"/>
            <w:jc w:val="center"/>
            <w:rPr>
              <w:rFonts w:asciiTheme="minorEastAsia" w:eastAsiaTheme="minorEastAsia" w:hAnsiTheme="minorEastAsia"/>
              <w:b/>
              <w:sz w:val="36"/>
              <w:szCs w:val="36"/>
            </w:rPr>
          </w:pPr>
        </w:p>
        <w:p w:rsidR="00983322" w:rsidRDefault="00983322" w:rsidP="00983322">
          <w:pPr>
            <w:spacing w:line="360" w:lineRule="auto"/>
            <w:jc w:val="center"/>
            <w:rPr>
              <w:rFonts w:asciiTheme="minorEastAsia" w:eastAsiaTheme="minorEastAsia" w:hAnsiTheme="minorEastAsia"/>
              <w:sz w:val="24"/>
            </w:rPr>
          </w:pPr>
          <w:r>
            <w:rPr>
              <w:rFonts w:asciiTheme="minorEastAsia" w:eastAsiaTheme="minorEastAsia" w:hAnsiTheme="minorEastAsia" w:hint="eastAsia"/>
              <w:b/>
              <w:sz w:val="36"/>
              <w:szCs w:val="36"/>
            </w:rPr>
            <w:lastRenderedPageBreak/>
            <w:t>监测方案</w:t>
          </w:r>
        </w:p>
        <w:p w:rsidR="00983322" w:rsidRDefault="00983322" w:rsidP="00983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本项目位于盖州市太阳升街道果树村。本监测方案监测对象为垃圾填埋场土壤、地下水、环境空气、废气排放情况。</w:t>
          </w:r>
        </w:p>
        <w:p w:rsidR="00983322" w:rsidRDefault="00983322" w:rsidP="0098332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1土壤监测内容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1.1监测因子</w:t>
          </w:r>
        </w:p>
        <w:p w:rsidR="00983322" w:rsidRDefault="00983322" w:rsidP="00983322">
          <w:pPr>
            <w:spacing w:line="360" w:lineRule="auto"/>
            <w:ind w:firstLineChars="300" w:firstLine="840"/>
            <w:rPr>
              <w:rFonts w:asciiTheme="minorEastAsia" w:eastAsiaTheme="minorEastAsia" w:hAnsiTheme="minorEastAsia"/>
              <w:sz w:val="28"/>
              <w:szCs w:val="28"/>
            </w:rPr>
          </w:pPr>
          <w:r>
            <w:rPr>
              <w:rFonts w:asciiTheme="minorEastAsia" w:eastAsiaTheme="minorEastAsia" w:hAnsiTheme="minorEastAsia" w:hint="eastAsia"/>
              <w:sz w:val="28"/>
              <w:szCs w:val="28"/>
            </w:rPr>
            <w:t>垃圾填埋场占地范围内及占地范围</w:t>
          </w:r>
          <w:proofErr w:type="gramStart"/>
          <w:r>
            <w:rPr>
              <w:rFonts w:asciiTheme="minorEastAsia" w:eastAsiaTheme="minorEastAsia" w:hAnsiTheme="minorEastAsia" w:hint="eastAsia"/>
              <w:sz w:val="28"/>
              <w:szCs w:val="28"/>
            </w:rPr>
            <w:t>外涉及</w:t>
          </w:r>
          <w:proofErr w:type="gramEnd"/>
          <w:r>
            <w:rPr>
              <w:rFonts w:asciiTheme="minorEastAsia" w:eastAsiaTheme="minorEastAsia" w:hAnsiTheme="minorEastAsia" w:hint="eastAsia"/>
              <w:sz w:val="28"/>
              <w:szCs w:val="28"/>
            </w:rPr>
            <w:t>建设用地的，执行《土壤环境质量  建设用地土壤污染风险管控标准（试行）》（GB36600-2018）</w:t>
          </w:r>
          <w:r>
            <w:rPr>
              <w:rFonts w:ascii="宋体" w:hAnsi="宋体" w:hint="eastAsia"/>
              <w:sz w:val="28"/>
              <w:szCs w:val="28"/>
            </w:rPr>
            <w:t>标准；占地范围</w:t>
          </w:r>
          <w:proofErr w:type="gramStart"/>
          <w:r>
            <w:rPr>
              <w:rFonts w:ascii="宋体" w:hAnsi="宋体" w:hint="eastAsia"/>
              <w:sz w:val="28"/>
              <w:szCs w:val="28"/>
            </w:rPr>
            <w:t>外涉及</w:t>
          </w:r>
          <w:proofErr w:type="gramEnd"/>
          <w:r>
            <w:rPr>
              <w:rFonts w:ascii="宋体" w:hAnsi="宋体" w:hint="eastAsia"/>
              <w:sz w:val="28"/>
              <w:szCs w:val="28"/>
            </w:rPr>
            <w:t>农用土地的，执行《土壤环境质量</w:t>
          </w:r>
          <w:r>
            <w:rPr>
              <w:rFonts w:asciiTheme="minorEastAsia" w:eastAsiaTheme="minorEastAsia" w:hAnsiTheme="minorEastAsia" w:hint="eastAsia"/>
              <w:sz w:val="28"/>
              <w:szCs w:val="28"/>
            </w:rPr>
            <w:t>农用地土壤污染风险筛选值（试行）》（GB15618-2018）标准。根据《场地环境调查技术导则》（HJ25.1-2018）、《场地环境监测技术导则》（HJ25.2-2018），确定本次土壤监测项目如下：</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1）占地范围内及占地范围</w:t>
          </w:r>
          <w:proofErr w:type="gramStart"/>
          <w:r>
            <w:rPr>
              <w:rFonts w:asciiTheme="minorEastAsia" w:eastAsiaTheme="minorEastAsia" w:hAnsiTheme="minorEastAsia" w:hint="eastAsia"/>
              <w:sz w:val="28"/>
              <w:szCs w:val="28"/>
            </w:rPr>
            <w:t>外涉及</w:t>
          </w:r>
          <w:proofErr w:type="gramEnd"/>
          <w:r>
            <w:rPr>
              <w:rFonts w:asciiTheme="minorEastAsia" w:eastAsiaTheme="minorEastAsia" w:hAnsiTheme="minorEastAsia" w:hint="eastAsia"/>
              <w:sz w:val="28"/>
              <w:szCs w:val="28"/>
            </w:rPr>
            <w:t>建设用地的采样点监测项目为砷、镉、铬（六价）、铜、铅、汞、镍；四氯化碳、氯仿、氯甲烷、1,1-二氯乙烷、1,2-二氯乙烷、1,1-二氯乙烯、顺1,2-二氯乙烯、反1,2-二氯乙烯、二氯甲烷、1,2-二氯丙烷、1,1,1,2-四氯乙烷、1,1,2,2-四氯乙烷、四氯乙烯、1,1,1-三氯乙烷、1,1,2-三氯乙烷、三氯乙烯、1,2,3-三氯丙烷、氯乙烯、苯、氯苯、1,2-二氯苯、1,4-二氯苯、乙苯、苯乙烯、甲苯、间二甲苯+ 对二甲苯、邻二甲苯、硝基苯、苯胺、2-氯酚、苯并【a】</w:t>
          </w:r>
          <w:proofErr w:type="gramStart"/>
          <w:r>
            <w:rPr>
              <w:rFonts w:asciiTheme="minorEastAsia" w:eastAsiaTheme="minorEastAsia" w:hAnsiTheme="minorEastAsia" w:hint="eastAsia"/>
              <w:sz w:val="28"/>
              <w:szCs w:val="28"/>
            </w:rPr>
            <w:t>蒽</w:t>
          </w:r>
          <w:proofErr w:type="gramEnd"/>
          <w:r>
            <w:rPr>
              <w:rFonts w:asciiTheme="minorEastAsia" w:eastAsiaTheme="minorEastAsia" w:hAnsiTheme="minorEastAsia" w:hint="eastAsia"/>
              <w:sz w:val="28"/>
              <w:szCs w:val="28"/>
            </w:rPr>
            <w:t>、苯并【a】</w:t>
          </w:r>
          <w:proofErr w:type="gramStart"/>
          <w:r>
            <w:rPr>
              <w:rFonts w:asciiTheme="minorEastAsia" w:eastAsiaTheme="minorEastAsia" w:hAnsiTheme="minorEastAsia" w:hint="eastAsia"/>
              <w:sz w:val="28"/>
              <w:szCs w:val="28"/>
            </w:rPr>
            <w:t>芘</w:t>
          </w:r>
          <w:proofErr w:type="gramEnd"/>
          <w:r>
            <w:rPr>
              <w:rFonts w:asciiTheme="minorEastAsia" w:eastAsiaTheme="minorEastAsia" w:hAnsiTheme="minorEastAsia" w:hint="eastAsia"/>
              <w:sz w:val="28"/>
              <w:szCs w:val="28"/>
            </w:rPr>
            <w:t>、苯并【b】</w:t>
          </w:r>
          <w:proofErr w:type="gramStart"/>
          <w:r>
            <w:rPr>
              <w:rFonts w:asciiTheme="minorEastAsia" w:eastAsiaTheme="minorEastAsia" w:hAnsiTheme="minorEastAsia" w:hint="eastAsia"/>
              <w:sz w:val="28"/>
              <w:szCs w:val="28"/>
            </w:rPr>
            <w:t>荧蒽</w:t>
          </w:r>
          <w:proofErr w:type="gramEnd"/>
          <w:r>
            <w:rPr>
              <w:rFonts w:asciiTheme="minorEastAsia" w:eastAsiaTheme="minorEastAsia" w:hAnsiTheme="minorEastAsia" w:hint="eastAsia"/>
              <w:sz w:val="28"/>
              <w:szCs w:val="28"/>
            </w:rPr>
            <w:t>、苯并【k】</w:t>
          </w:r>
          <w:proofErr w:type="gramStart"/>
          <w:r>
            <w:rPr>
              <w:rFonts w:asciiTheme="minorEastAsia" w:eastAsiaTheme="minorEastAsia" w:hAnsiTheme="minorEastAsia" w:hint="eastAsia"/>
              <w:sz w:val="28"/>
              <w:szCs w:val="28"/>
            </w:rPr>
            <w:t>荧蒽</w:t>
          </w:r>
          <w:proofErr w:type="gramEnd"/>
          <w:r>
            <w:rPr>
              <w:rFonts w:asciiTheme="minorEastAsia" w:eastAsiaTheme="minorEastAsia" w:hAnsiTheme="minorEastAsia" w:hint="eastAsia"/>
              <w:sz w:val="28"/>
              <w:szCs w:val="28"/>
            </w:rPr>
            <w:t>、</w:t>
          </w:r>
          <w:r>
            <w:rPr>
              <w:rFonts w:asciiTheme="minorEastAsia" w:eastAsiaTheme="minorEastAsia" w:hAnsiTheme="minorEastAsia" w:cs="Arial"/>
              <w:sz w:val="28"/>
              <w:szCs w:val="28"/>
              <w:shd w:val="clear" w:color="auto" w:fill="FFFFFF"/>
            </w:rPr>
            <w:t>䓛</w:t>
          </w:r>
          <w:r>
            <w:rPr>
              <w:rFonts w:asciiTheme="minorEastAsia" w:eastAsiaTheme="minorEastAsia" w:hAnsiTheme="minorEastAsia" w:hint="eastAsia"/>
              <w:sz w:val="28"/>
              <w:szCs w:val="28"/>
            </w:rPr>
            <w:t>、二苯并【</w:t>
          </w:r>
          <w:proofErr w:type="spellStart"/>
          <w:r>
            <w:rPr>
              <w:rFonts w:asciiTheme="minorEastAsia" w:eastAsiaTheme="minorEastAsia" w:hAnsiTheme="minorEastAsia" w:hint="eastAsia"/>
              <w:sz w:val="28"/>
              <w:szCs w:val="28"/>
            </w:rPr>
            <w:t>a,h</w:t>
          </w:r>
          <w:proofErr w:type="spellEnd"/>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蒽</w:t>
          </w:r>
          <w:proofErr w:type="gramEnd"/>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茚</w:t>
          </w:r>
          <w:proofErr w:type="gramEnd"/>
          <w:r>
            <w:rPr>
              <w:rFonts w:asciiTheme="minorEastAsia" w:eastAsiaTheme="minorEastAsia" w:hAnsiTheme="minorEastAsia" w:hint="eastAsia"/>
              <w:sz w:val="28"/>
              <w:szCs w:val="28"/>
            </w:rPr>
            <w:t>并【1,2,3-cd】</w:t>
          </w:r>
          <w:proofErr w:type="gramStart"/>
          <w:r>
            <w:rPr>
              <w:rFonts w:asciiTheme="minorEastAsia" w:eastAsiaTheme="minorEastAsia" w:hAnsiTheme="minorEastAsia" w:hint="eastAsia"/>
              <w:sz w:val="28"/>
              <w:szCs w:val="28"/>
            </w:rPr>
            <w:t>芘</w:t>
          </w:r>
          <w:proofErr w:type="gramEnd"/>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萘</w:t>
          </w:r>
          <w:proofErr w:type="gramEnd"/>
          <w:r>
            <w:rPr>
              <w:rFonts w:asciiTheme="minorEastAsia" w:eastAsiaTheme="minorEastAsia" w:hAnsiTheme="minorEastAsia" w:hint="eastAsia"/>
              <w:sz w:val="28"/>
              <w:szCs w:val="28"/>
            </w:rPr>
            <w:t>等45项。</w:t>
          </w:r>
        </w:p>
        <w:p w:rsidR="00983322" w:rsidRDefault="00983322" w:rsidP="00983322">
          <w:pPr>
            <w:spacing w:line="360" w:lineRule="auto"/>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宋体" w:hAnsi="宋体" w:hint="eastAsia"/>
              <w:sz w:val="28"/>
              <w:szCs w:val="28"/>
            </w:rPr>
            <w:t>占地范围</w:t>
          </w:r>
          <w:proofErr w:type="gramStart"/>
          <w:r>
            <w:rPr>
              <w:rFonts w:ascii="宋体" w:hAnsi="宋体" w:hint="eastAsia"/>
              <w:sz w:val="28"/>
              <w:szCs w:val="28"/>
            </w:rPr>
            <w:t>外涉及</w:t>
          </w:r>
          <w:proofErr w:type="gramEnd"/>
          <w:r>
            <w:rPr>
              <w:rFonts w:ascii="宋体" w:hAnsi="宋体" w:hint="eastAsia"/>
              <w:sz w:val="28"/>
              <w:szCs w:val="28"/>
            </w:rPr>
            <w:t>农用土地的</w:t>
          </w:r>
          <w:r>
            <w:rPr>
              <w:rFonts w:asciiTheme="minorEastAsia" w:eastAsiaTheme="minorEastAsia" w:hAnsiTheme="minorEastAsia" w:hint="eastAsia"/>
              <w:sz w:val="28"/>
              <w:szCs w:val="28"/>
            </w:rPr>
            <w:t>采样点设置在农用地，监测pH、镉、汞、砷、铅、铬、铜、镍、锌等9项。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1.2监测布点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4"/>
            </w:rPr>
            <w:t xml:space="preserve">   </w:t>
          </w:r>
          <w:r>
            <w:rPr>
              <w:rFonts w:asciiTheme="minorEastAsia" w:eastAsiaTheme="minorEastAsia" w:hAnsiTheme="minorEastAsia" w:hint="eastAsia"/>
              <w:sz w:val="28"/>
              <w:szCs w:val="28"/>
            </w:rPr>
            <w:t xml:space="preserve"> 根据《场地环境调查技术导则》（HJ25.1-2014）、《场地环境监测技术导则》（HJ25.2-2014），确定本项目土壤监测点位数（具体点位可根据现场状况确定）；占地范围外（场地周围0.2km范围内未经外界扰动的裸露土壤区域）4个表层采样点。共计20个采样点。</w:t>
          </w:r>
        </w:p>
        <w:p w:rsidR="00983322" w:rsidRDefault="00983322" w:rsidP="0098332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2地下水监测内容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2.1监测因子</w:t>
          </w:r>
        </w:p>
        <w:p w:rsidR="00983322" w:rsidRDefault="00983322" w:rsidP="00983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w:t>
          </w:r>
          <w:r>
            <w:rPr>
              <w:rFonts w:asciiTheme="minorEastAsia" w:eastAsiaTheme="minorEastAsia" w:hAnsiTheme="minorEastAsia"/>
              <w:sz w:val="28"/>
              <w:szCs w:val="28"/>
            </w:rPr>
            <w:t>《生活垃圾</w:t>
          </w:r>
          <w:r>
            <w:rPr>
              <w:rFonts w:asciiTheme="minorEastAsia" w:eastAsiaTheme="minorEastAsia" w:hAnsiTheme="minorEastAsia" w:hint="eastAsia"/>
              <w:sz w:val="28"/>
              <w:szCs w:val="28"/>
            </w:rPr>
            <w:t>卫生</w:t>
          </w:r>
          <w:r>
            <w:rPr>
              <w:rFonts w:asciiTheme="minorEastAsia" w:eastAsiaTheme="minorEastAsia" w:hAnsiTheme="minorEastAsia"/>
              <w:sz w:val="28"/>
              <w:szCs w:val="28"/>
            </w:rPr>
            <w:t>填埋场环境监测技术要求》(GB/T18772-20</w:t>
          </w:r>
          <w:r>
            <w:rPr>
              <w:rFonts w:asciiTheme="minorEastAsia" w:eastAsiaTheme="minorEastAsia" w:hAnsiTheme="minorEastAsia" w:hint="eastAsia"/>
              <w:sz w:val="28"/>
              <w:szCs w:val="28"/>
            </w:rPr>
            <w:t>17</w:t>
          </w:r>
          <w:r>
            <w:rPr>
              <w:rFonts w:asciiTheme="minorEastAsia" w:eastAsiaTheme="minorEastAsia" w:hAnsiTheme="minorEastAsia"/>
              <w:sz w:val="28"/>
              <w:szCs w:val="28"/>
            </w:rPr>
            <w:t>)</w:t>
          </w:r>
          <w:r>
            <w:rPr>
              <w:rFonts w:asciiTheme="minorEastAsia" w:eastAsiaTheme="minorEastAsia" w:hAnsiTheme="minorEastAsia" w:hint="eastAsia"/>
              <w:sz w:val="28"/>
              <w:szCs w:val="28"/>
            </w:rPr>
            <w:t>，</w:t>
          </w:r>
          <w:proofErr w:type="gramStart"/>
          <w:r>
            <w:rPr>
              <w:rFonts w:asciiTheme="minorEastAsia" w:eastAsiaTheme="minorEastAsia" w:hAnsiTheme="minorEastAsia" w:hint="eastAsia"/>
              <w:sz w:val="28"/>
              <w:szCs w:val="28"/>
            </w:rPr>
            <w:t>确定位</w:t>
          </w:r>
          <w:proofErr w:type="gramEnd"/>
          <w:r>
            <w:rPr>
              <w:rFonts w:asciiTheme="minorEastAsia" w:eastAsiaTheme="minorEastAsia" w:hAnsiTheme="minorEastAsia" w:hint="eastAsia"/>
              <w:sz w:val="28"/>
              <w:szCs w:val="28"/>
            </w:rPr>
            <w:t>地下水监测项目为pH、总硬度、溶解性总固体、耗氧量（在</w:t>
          </w:r>
          <w:r>
            <w:rPr>
              <w:rFonts w:asciiTheme="minorEastAsia" w:eastAsiaTheme="minorEastAsia" w:hAnsiTheme="minorEastAsia"/>
              <w:sz w:val="28"/>
              <w:szCs w:val="28"/>
            </w:rPr>
            <w:t>GB/T18772-20</w:t>
          </w:r>
          <w:r>
            <w:rPr>
              <w:rFonts w:asciiTheme="minorEastAsia" w:eastAsiaTheme="minorEastAsia" w:hAnsiTheme="minorEastAsia" w:hint="eastAsia"/>
              <w:sz w:val="28"/>
              <w:szCs w:val="28"/>
            </w:rPr>
            <w:t>17中为高锰酸盐指数）、氨氮、硝酸盐氮、亚硝酸盐氮、硫酸盐、氯化物、挥发性酚类、氰化物、砷、汞、六价铬、铅、氟、镉、铁、锰、铜、锌、总大肠菌群等22项。</w:t>
          </w:r>
        </w:p>
        <w:p w:rsidR="00983322" w:rsidRDefault="00983322" w:rsidP="00983322">
          <w:pPr>
            <w:spacing w:before="10" w:after="10"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2.2监测布点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根据《场地环境监测技术导则》（HJ25.2-2014）、</w:t>
          </w:r>
          <w:r>
            <w:rPr>
              <w:rFonts w:asciiTheme="minorEastAsia" w:eastAsiaTheme="minorEastAsia" w:hAnsiTheme="minorEastAsia"/>
              <w:snapToGrid w:val="0"/>
              <w:sz w:val="28"/>
              <w:szCs w:val="28"/>
            </w:rPr>
            <w:t>《环境影响评价技术导则—地下水环境》（HJ610-2016）</w:t>
          </w:r>
          <w:r>
            <w:rPr>
              <w:rFonts w:asciiTheme="minorEastAsia" w:eastAsiaTheme="minorEastAsia" w:hAnsiTheme="minorEastAsia" w:hint="eastAsia"/>
              <w:snapToGrid w:val="0"/>
              <w:sz w:val="28"/>
              <w:szCs w:val="28"/>
            </w:rPr>
            <w:t>及《生活垃圾填埋场污染控制标准》（GB16889-2008），确定本项目地下水监测点位数5个。</w:t>
          </w:r>
        </w:p>
        <w:p w:rsidR="00983322" w:rsidRDefault="00983322" w:rsidP="0098332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3环境空气质量监测内容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3.1监测因子</w:t>
          </w:r>
        </w:p>
        <w:p w:rsidR="00983322" w:rsidRDefault="00983322" w:rsidP="00983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根据《场地环境调查技术导则》（HJ25.1-2014）、《场地环境监测技术导则》（HJ25.2-2014）及</w:t>
          </w:r>
          <w:r>
            <w:rPr>
              <w:rFonts w:asciiTheme="minorEastAsia" w:eastAsiaTheme="minorEastAsia" w:hAnsiTheme="minorEastAsia" w:cs="宋体" w:hint="eastAsia"/>
              <w:sz w:val="28"/>
              <w:szCs w:val="28"/>
            </w:rPr>
            <w:t>《环境影响评价技术导则 大气环境》（HJ2.2-2018）</w:t>
          </w:r>
          <w:r>
            <w:rPr>
              <w:rFonts w:asciiTheme="minorEastAsia" w:eastAsiaTheme="minorEastAsia" w:hAnsiTheme="minorEastAsia" w:hint="eastAsia"/>
              <w:sz w:val="28"/>
              <w:szCs w:val="28"/>
            </w:rPr>
            <w:t>相关要求，确定项目所在地环境空气质量监测项目为H</w:t>
          </w:r>
          <w:r>
            <w:rPr>
              <w:rFonts w:asciiTheme="minorEastAsia" w:eastAsiaTheme="minorEastAsia" w:hAnsiTheme="minorEastAsia" w:hint="eastAsia"/>
              <w:sz w:val="28"/>
              <w:szCs w:val="28"/>
              <w:vertAlign w:val="subscript"/>
            </w:rPr>
            <w:t>2</w:t>
          </w:r>
          <w:r>
            <w:rPr>
              <w:rFonts w:asciiTheme="minorEastAsia" w:eastAsiaTheme="minorEastAsia" w:hAnsiTheme="minorEastAsia" w:hint="eastAsia"/>
              <w:sz w:val="28"/>
              <w:szCs w:val="28"/>
            </w:rPr>
            <w:t>S、NH</w:t>
          </w:r>
          <w:r>
            <w:rPr>
              <w:rFonts w:asciiTheme="minorEastAsia" w:eastAsiaTheme="minorEastAsia" w:hAnsiTheme="minorEastAsia" w:hint="eastAsia"/>
              <w:sz w:val="28"/>
              <w:szCs w:val="28"/>
              <w:vertAlign w:val="subscript"/>
            </w:rPr>
            <w:t>3</w:t>
          </w:r>
          <w:r>
            <w:rPr>
              <w:rFonts w:asciiTheme="minorEastAsia" w:eastAsiaTheme="minorEastAsia" w:hAnsiTheme="minorEastAsia" w:hint="eastAsia"/>
              <w:sz w:val="28"/>
              <w:szCs w:val="28"/>
            </w:rPr>
            <w:t>。</w:t>
          </w:r>
        </w:p>
        <w:p w:rsidR="00983322" w:rsidRDefault="00983322" w:rsidP="00983322">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采样时均观测并记录当时的风向、风速、气温、气压等条件。</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3.2监测布点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根据《场地环境监测技术导则》（HJ25.2-2014）“在场地中心和场地当时下风向主要环境敏感点布点”设置2个监测点位。一个点位为厂址处，另一个监测点位为下风向村子。</w:t>
          </w:r>
        </w:p>
        <w:p w:rsidR="00983322" w:rsidRDefault="00983322" w:rsidP="00983322">
          <w:pPr>
            <w:ind w:firstLineChars="83" w:firstLine="200"/>
            <w:jc w:val="center"/>
            <w:rPr>
              <w:rFonts w:asciiTheme="minorEastAsia" w:eastAsiaTheme="minorEastAsia" w:hAnsiTheme="minorEastAsia"/>
              <w:b/>
              <w:sz w:val="24"/>
            </w:rPr>
          </w:pPr>
          <w:r>
            <w:rPr>
              <w:rFonts w:asciiTheme="minorEastAsia" w:eastAsiaTheme="minorEastAsia" w:hAnsiTheme="minorEastAsia" w:hint="eastAsia"/>
              <w:b/>
              <w:sz w:val="24"/>
            </w:rPr>
            <w:t>表3.2-1  环境空气质量现状监测点位</w:t>
          </w:r>
        </w:p>
        <w:tbl>
          <w:tblPr>
            <w:tblW w:w="8176" w:type="dxa"/>
            <w:jc w:val="center"/>
            <w:tblInd w:w="-657"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56"/>
            <w:gridCol w:w="4332"/>
            <w:gridCol w:w="2288"/>
          </w:tblGrid>
          <w:tr w:rsidR="00983322" w:rsidTr="00FE1631">
            <w:trPr>
              <w:trHeight w:val="397"/>
              <w:jc w:val="center"/>
            </w:trPr>
            <w:tc>
              <w:tcPr>
                <w:tcW w:w="1556" w:type="dxa"/>
                <w:vAlign w:val="center"/>
              </w:tcPr>
              <w:p w:rsidR="00983322" w:rsidRDefault="00983322" w:rsidP="00FE1631">
                <w:pPr>
                  <w:pStyle w:val="af6"/>
                  <w:ind w:left="0"/>
                  <w:jc w:val="center"/>
                  <w:rPr>
                    <w:rFonts w:ascii="Times New Roman"/>
                    <w:b w:val="0"/>
                    <w:szCs w:val="21"/>
                  </w:rPr>
                </w:pPr>
                <w:r>
                  <w:rPr>
                    <w:rFonts w:ascii="Times New Roman" w:hint="eastAsia"/>
                    <w:b w:val="0"/>
                    <w:szCs w:val="21"/>
                  </w:rPr>
                  <w:t>编号</w:t>
                </w:r>
              </w:p>
            </w:tc>
            <w:tc>
              <w:tcPr>
                <w:tcW w:w="4332" w:type="dxa"/>
                <w:vAlign w:val="center"/>
              </w:tcPr>
              <w:p w:rsidR="00983322" w:rsidRDefault="00983322" w:rsidP="00FE1631">
                <w:pPr>
                  <w:pStyle w:val="af6"/>
                  <w:jc w:val="center"/>
                  <w:rPr>
                    <w:rFonts w:ascii="Times New Roman"/>
                    <w:b w:val="0"/>
                    <w:szCs w:val="21"/>
                  </w:rPr>
                </w:pPr>
                <w:r>
                  <w:rPr>
                    <w:rFonts w:ascii="Times New Roman" w:hint="eastAsia"/>
                    <w:b w:val="0"/>
                    <w:szCs w:val="21"/>
                  </w:rPr>
                  <w:t>具体点位</w:t>
                </w:r>
              </w:p>
            </w:tc>
            <w:tc>
              <w:tcPr>
                <w:tcW w:w="2288" w:type="dxa"/>
                <w:vAlign w:val="center"/>
              </w:tcPr>
              <w:p w:rsidR="00983322" w:rsidRDefault="00983322" w:rsidP="00FE1631">
                <w:pPr>
                  <w:pStyle w:val="af6"/>
                  <w:jc w:val="center"/>
                  <w:rPr>
                    <w:rFonts w:ascii="Times New Roman"/>
                    <w:b w:val="0"/>
                    <w:szCs w:val="21"/>
                  </w:rPr>
                </w:pPr>
                <w:r>
                  <w:rPr>
                    <w:rFonts w:ascii="Times New Roman" w:hint="eastAsia"/>
                    <w:b w:val="0"/>
                    <w:szCs w:val="21"/>
                  </w:rPr>
                  <w:t>备注</w:t>
                </w:r>
              </w:p>
            </w:tc>
          </w:tr>
          <w:tr w:rsidR="00983322" w:rsidTr="00FE1631">
            <w:trPr>
              <w:trHeight w:val="397"/>
              <w:jc w:val="center"/>
            </w:trPr>
            <w:tc>
              <w:tcPr>
                <w:tcW w:w="1556" w:type="dxa"/>
                <w:vAlign w:val="center"/>
              </w:tcPr>
              <w:p w:rsidR="00983322" w:rsidRDefault="00983322" w:rsidP="00FE1631">
                <w:pPr>
                  <w:pStyle w:val="af6"/>
                  <w:ind w:left="0"/>
                  <w:jc w:val="center"/>
                  <w:rPr>
                    <w:rFonts w:ascii="Times New Roman"/>
                    <w:b w:val="0"/>
                    <w:szCs w:val="21"/>
                  </w:rPr>
                </w:pPr>
                <w:r>
                  <w:rPr>
                    <w:rFonts w:ascii="Times New Roman" w:hint="eastAsia"/>
                    <w:b w:val="0"/>
                    <w:szCs w:val="21"/>
                  </w:rPr>
                  <w:t>1#</w:t>
                </w:r>
              </w:p>
            </w:tc>
            <w:tc>
              <w:tcPr>
                <w:tcW w:w="4332" w:type="dxa"/>
                <w:vAlign w:val="center"/>
              </w:tcPr>
              <w:p w:rsidR="00983322" w:rsidRDefault="00983322" w:rsidP="00FE1631">
                <w:pPr>
                  <w:pStyle w:val="af6"/>
                  <w:jc w:val="center"/>
                  <w:rPr>
                    <w:rFonts w:ascii="Times New Roman"/>
                    <w:b w:val="0"/>
                    <w:szCs w:val="21"/>
                  </w:rPr>
                </w:pPr>
                <w:r>
                  <w:rPr>
                    <w:rFonts w:ascii="Times New Roman" w:hint="eastAsia"/>
                    <w:b w:val="0"/>
                    <w:szCs w:val="21"/>
                  </w:rPr>
                  <w:t>厂址</w:t>
                </w:r>
              </w:p>
            </w:tc>
            <w:tc>
              <w:tcPr>
                <w:tcW w:w="2288" w:type="dxa"/>
                <w:vAlign w:val="center"/>
              </w:tcPr>
              <w:p w:rsidR="00983322" w:rsidRDefault="00983322" w:rsidP="00FE1631">
                <w:pPr>
                  <w:pStyle w:val="af6"/>
                  <w:jc w:val="center"/>
                  <w:rPr>
                    <w:rFonts w:ascii="Times New Roman"/>
                    <w:b w:val="0"/>
                    <w:szCs w:val="21"/>
                  </w:rPr>
                </w:pPr>
              </w:p>
            </w:tc>
          </w:tr>
          <w:tr w:rsidR="00983322" w:rsidTr="00FE1631">
            <w:trPr>
              <w:trHeight w:val="397"/>
              <w:jc w:val="center"/>
            </w:trPr>
            <w:tc>
              <w:tcPr>
                <w:tcW w:w="1556" w:type="dxa"/>
                <w:vAlign w:val="center"/>
              </w:tcPr>
              <w:p w:rsidR="00983322" w:rsidRDefault="00983322" w:rsidP="00FE1631">
                <w:pPr>
                  <w:pStyle w:val="af6"/>
                  <w:ind w:left="0"/>
                  <w:jc w:val="center"/>
                  <w:rPr>
                    <w:rFonts w:ascii="Times New Roman"/>
                    <w:b w:val="0"/>
                    <w:szCs w:val="21"/>
                  </w:rPr>
                </w:pPr>
                <w:r>
                  <w:rPr>
                    <w:rFonts w:ascii="Times New Roman" w:hint="eastAsia"/>
                    <w:b w:val="0"/>
                    <w:szCs w:val="21"/>
                  </w:rPr>
                  <w:t>2#</w:t>
                </w:r>
              </w:p>
            </w:tc>
            <w:tc>
              <w:tcPr>
                <w:tcW w:w="4332" w:type="dxa"/>
                <w:vAlign w:val="center"/>
              </w:tcPr>
              <w:p w:rsidR="00983322" w:rsidRDefault="00983322" w:rsidP="00FE1631">
                <w:pPr>
                  <w:pStyle w:val="af6"/>
                  <w:jc w:val="center"/>
                  <w:rPr>
                    <w:rFonts w:ascii="Times New Roman"/>
                    <w:b w:val="0"/>
                    <w:szCs w:val="21"/>
                  </w:rPr>
                </w:pPr>
                <w:r>
                  <w:rPr>
                    <w:rFonts w:ascii="Times New Roman" w:hint="eastAsia"/>
                    <w:b w:val="0"/>
                    <w:szCs w:val="21"/>
                  </w:rPr>
                  <w:t>厂址下风向村子</w:t>
                </w:r>
              </w:p>
            </w:tc>
            <w:tc>
              <w:tcPr>
                <w:tcW w:w="2288" w:type="dxa"/>
                <w:vAlign w:val="center"/>
              </w:tcPr>
              <w:p w:rsidR="00983322" w:rsidRDefault="00983322" w:rsidP="00FE1631">
                <w:pPr>
                  <w:pStyle w:val="af6"/>
                  <w:jc w:val="center"/>
                  <w:rPr>
                    <w:rFonts w:ascii="Times New Roman"/>
                    <w:b w:val="0"/>
                    <w:szCs w:val="21"/>
                  </w:rPr>
                </w:pPr>
              </w:p>
            </w:tc>
          </w:tr>
        </w:tbl>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3.3监测频次</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本次监测连续采样7天。</w:t>
          </w:r>
        </w:p>
        <w:p w:rsidR="00983322" w:rsidRDefault="00983322" w:rsidP="00983322">
          <w:pPr>
            <w:spacing w:line="360" w:lineRule="auto"/>
            <w:ind w:firstLine="465"/>
            <w:rPr>
              <w:rFonts w:asciiTheme="minorEastAsia" w:eastAsiaTheme="minorEastAsia" w:hAnsiTheme="minorEastAsia"/>
              <w:sz w:val="28"/>
              <w:szCs w:val="28"/>
            </w:rPr>
          </w:pPr>
          <w:r>
            <w:rPr>
              <w:rFonts w:asciiTheme="minorEastAsia" w:eastAsiaTheme="minorEastAsia" w:hAnsiTheme="minorEastAsia" w:hint="eastAsia"/>
              <w:sz w:val="28"/>
              <w:szCs w:val="28"/>
            </w:rPr>
            <w:t>NH</w:t>
          </w:r>
          <w:r>
            <w:rPr>
              <w:rFonts w:asciiTheme="minorEastAsia" w:eastAsiaTheme="minorEastAsia" w:hAnsiTheme="minorEastAsia" w:hint="eastAsia"/>
              <w:sz w:val="28"/>
              <w:szCs w:val="28"/>
              <w:vertAlign w:val="subscript"/>
            </w:rPr>
            <w:t>3</w:t>
          </w:r>
          <w:r>
            <w:rPr>
              <w:rFonts w:asciiTheme="minorEastAsia" w:eastAsiaTheme="minorEastAsia" w:hAnsiTheme="minorEastAsia" w:hint="eastAsia"/>
              <w:sz w:val="28"/>
              <w:szCs w:val="28"/>
            </w:rPr>
            <w:t>、H</w:t>
          </w:r>
          <w:r>
            <w:rPr>
              <w:rFonts w:asciiTheme="minorEastAsia" w:eastAsiaTheme="minorEastAsia" w:hAnsiTheme="minorEastAsia" w:hint="eastAsia"/>
              <w:sz w:val="28"/>
              <w:szCs w:val="28"/>
              <w:vertAlign w:val="subscript"/>
            </w:rPr>
            <w:t>2</w:t>
          </w:r>
          <w:r>
            <w:rPr>
              <w:rFonts w:asciiTheme="minorEastAsia" w:eastAsiaTheme="minorEastAsia" w:hAnsiTheme="minorEastAsia" w:hint="eastAsia"/>
              <w:sz w:val="28"/>
              <w:szCs w:val="28"/>
            </w:rPr>
            <w:t>S每日4次，每次45min。</w:t>
          </w:r>
        </w:p>
        <w:p w:rsidR="00983322" w:rsidRDefault="00983322" w:rsidP="00983322">
          <w:pPr>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t>4废气排放情况监测内容</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4.1监测因子</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根据《生活垃圾填埋场污染控制标准》（GB16889-2008）相关要求，对项目所在地无组织排放情况进行监测，监测项目为臭气浓度、硫化氢、氨、甲烷等共4项。</w:t>
          </w:r>
        </w:p>
        <w:p w:rsidR="00983322" w:rsidRDefault="00983322" w:rsidP="00983322">
          <w:pPr>
            <w:spacing w:line="360" w:lineRule="auto"/>
            <w:ind w:firstLineChars="200" w:firstLine="560"/>
            <w:rPr>
              <w:rFonts w:asciiTheme="minorEastAsia" w:eastAsiaTheme="minorEastAsia" w:hAnsiTheme="minorEastAsia"/>
              <w:sz w:val="24"/>
            </w:rPr>
          </w:pPr>
          <w:r>
            <w:rPr>
              <w:rFonts w:asciiTheme="minorEastAsia" w:eastAsiaTheme="minorEastAsia" w:hAnsiTheme="minorEastAsia"/>
              <w:sz w:val="28"/>
              <w:szCs w:val="28"/>
            </w:rPr>
            <w:t>采样时均观测并记录当时的风向、风速、气温、气压等条件。</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4.2监测布点</w:t>
          </w:r>
        </w:p>
        <w:p w:rsidR="00983322" w:rsidRDefault="00983322" w:rsidP="00983322">
          <w:pPr>
            <w:spacing w:line="360" w:lineRule="auto"/>
            <w:rPr>
              <w:rFonts w:asciiTheme="minorEastAsia" w:eastAsiaTheme="minorEastAsia" w:hAnsiTheme="minorEastAsia"/>
              <w:snapToGrid w:val="0"/>
              <w:sz w:val="28"/>
              <w:szCs w:val="28"/>
            </w:rPr>
          </w:pPr>
          <w:r>
            <w:rPr>
              <w:rFonts w:asciiTheme="minorEastAsia" w:eastAsiaTheme="minorEastAsia" w:hAnsiTheme="minorEastAsia" w:hint="eastAsia"/>
              <w:sz w:val="28"/>
              <w:szCs w:val="28"/>
            </w:rPr>
            <w:t xml:space="preserve">    根据</w:t>
          </w:r>
          <w:r>
            <w:rPr>
              <w:rFonts w:asciiTheme="minorEastAsia" w:eastAsiaTheme="minorEastAsia" w:hAnsiTheme="minorEastAsia" w:hint="eastAsia"/>
              <w:snapToGrid w:val="0"/>
              <w:sz w:val="28"/>
              <w:szCs w:val="28"/>
            </w:rPr>
            <w:t>《生活垃圾卫生填埋场环境监测技术要求》（GB/T18772-2017）、《大气污染物综合排放标准》（GB16297-1996）、《生活垃圾填埋场污染控制标准》（16889-2008），确定本项目厂界无组织排放监测点位如下：</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臭气浓度、硫化氢、氨、甲烷监测点</w:t>
          </w:r>
          <w:proofErr w:type="gramStart"/>
          <w:r>
            <w:rPr>
              <w:rFonts w:asciiTheme="minorEastAsia" w:eastAsiaTheme="minorEastAsia" w:hAnsiTheme="minorEastAsia" w:hint="eastAsia"/>
              <w:sz w:val="28"/>
              <w:szCs w:val="28"/>
            </w:rPr>
            <w:t>位设置</w:t>
          </w:r>
          <w:proofErr w:type="gramEnd"/>
          <w:r>
            <w:rPr>
              <w:rFonts w:asciiTheme="minorEastAsia" w:eastAsiaTheme="minorEastAsia" w:hAnsiTheme="minorEastAsia" w:hint="eastAsia"/>
              <w:sz w:val="28"/>
              <w:szCs w:val="28"/>
            </w:rPr>
            <w:t>填埋场边界10m范围内浓度最高点，设置3个监测点位。参照点设置在监测时日填埋场上风向2-50m</w:t>
          </w:r>
          <w:r>
            <w:rPr>
              <w:rFonts w:asciiTheme="minorEastAsia" w:eastAsiaTheme="minorEastAsia" w:hAnsiTheme="minorEastAsia" w:hint="eastAsia"/>
              <w:sz w:val="28"/>
              <w:szCs w:val="28"/>
            </w:rPr>
            <w:lastRenderedPageBreak/>
            <w:t>范围内，设置1个点位。</w:t>
          </w:r>
        </w:p>
        <w:p w:rsidR="00983322" w:rsidRDefault="00983322" w:rsidP="00983322">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4.3监测频次</w:t>
          </w:r>
        </w:p>
        <w:p w:rsidR="00983322" w:rsidRDefault="00983322" w:rsidP="00983322">
          <w:pPr>
            <w:spacing w:line="360" w:lineRule="auto"/>
            <w:ind w:firstLine="570"/>
            <w:rPr>
              <w:rFonts w:asciiTheme="minorEastAsia" w:eastAsiaTheme="minorEastAsia" w:hAnsiTheme="minorEastAsia"/>
              <w:sz w:val="28"/>
              <w:szCs w:val="28"/>
            </w:rPr>
          </w:pPr>
          <w:r>
            <w:rPr>
              <w:rFonts w:asciiTheme="minorEastAsia" w:eastAsiaTheme="minorEastAsia" w:hAnsiTheme="minorEastAsia" w:hint="eastAsia"/>
              <w:sz w:val="28"/>
              <w:szCs w:val="28"/>
            </w:rPr>
            <w:t>每两小时采样一次，共计采样四次，取其最大测定值。（类比城镇污水处理厂污染物排放标准（GB18918-2002）4.2.3条款）。</w:t>
          </w:r>
        </w:p>
        <w:p w:rsidR="00A72A2E" w:rsidRPr="00983322" w:rsidRDefault="00A72A2E" w:rsidP="00983322">
          <w:pPr>
            <w:spacing w:line="360" w:lineRule="auto"/>
            <w:ind w:firstLineChars="200" w:firstLine="420"/>
            <w:rPr>
              <w:rFonts w:ascii="仿宋_GB2312" w:eastAsia="仿宋_GB2312" w:hAnsi="仿宋_GB2312" w:cs="仿宋_GB2312"/>
              <w:bCs/>
              <w:kern w:val="0"/>
              <w:szCs w:val="21"/>
            </w:rPr>
          </w:pPr>
        </w:p>
        <w:p w:rsidR="0050268E" w:rsidRDefault="00B7686A"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GZC2019-074</vt:lpwstr>
  </property>
</Properties>
</file>