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盖州市绣龙公园设计项目采购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GZC2020（079）号</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盖州市自然资源局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rPr>
        <w:alias w:val="项目详细需求"/>
        <w:tag w:val="项目详细需求"/>
        <w:id w:val="-1361739487"/>
        <w:lock w:val="sdtLocked"/>
      </w:sdtPr>
      <w:sdtEndPr xmlns:w="http://schemas.openxmlformats.org/wordprocessingml/2006/main"/>
      <w:sdtContent xmlns:w="http://schemas.openxmlformats.org/wordprocessingml/2006/main">
        <w:p w:rsidR="0058629E" w:rsidRPr="0058629E" w:rsidRDefault="00CF1ED6"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CF1ED6" w:rsidP="00CF1ED6">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CF1ED6"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CF1ED6" w:rsidP="00CF1ED6">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CF1ED6" w:rsidP="00CF1ED6">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CF1ED6" w:rsidP="00CF1ED6">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CF1ED6" w:rsidP="00CF1ED6">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CF1ED6" w:rsidP="00CF1ED6">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CF1ED6" w:rsidP="00CF1ED6">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CF1ED6" w:rsidP="00CF1ED6">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0F79E1" w:rsidRDefault="00CF1ED6" w:rsidP="000F79E1">
          <w:pPr>
            <w:numPr>
              <w:ilvl w:val="0"/>
              <w:numId w:val="12"/>
            </w:numPr>
            <w:jc w:val="center"/>
            <w:rPr>
              <w:b/>
              <w:bCs/>
              <w:sz w:val="32"/>
              <w:szCs w:val="40"/>
            </w:rPr>
          </w:pPr>
          <w:r>
            <w:rPr>
              <w:rFonts w:hint="eastAsia"/>
              <w:b/>
              <w:bCs/>
              <w:sz w:val="32"/>
              <w:szCs w:val="40"/>
            </w:rPr>
            <w:t>项目需求</w:t>
          </w:r>
        </w:p>
        <w:tbl>
          <w:tblPr>
            <w:tblW w:w="9531" w:type="dxa"/>
            <w:tblInd w:w="-31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36"/>
            <w:gridCol w:w="1797"/>
            <w:gridCol w:w="6998"/>
          </w:tblGrid>
          <w:tr w:rsidR="000F79E1" w:rsidTr="00E559BE">
            <w:trPr>
              <w:trHeight w:val="736"/>
            </w:trPr>
            <w:tc>
              <w:tcPr>
                <w:tcW w:w="736" w:type="dxa"/>
                <w:tcBorders>
                  <w:right w:val="single" w:sz="4" w:space="0" w:color="auto"/>
                </w:tcBorders>
                <w:vAlign w:val="center"/>
              </w:tcPr>
              <w:p w:rsidR="000F79E1" w:rsidRDefault="00CF1ED6" w:rsidP="00E559BE">
                <w:pPr>
                  <w:widowControl/>
                  <w:jc w:val="center"/>
                  <w:rPr>
                    <w:rFonts w:ascii="仿宋" w:hAnsi="仿宋" w:cs="宋体"/>
                    <w:b/>
                    <w:kern w:val="0"/>
                  </w:rPr>
                </w:pPr>
                <w:r>
                  <w:rPr>
                    <w:rFonts w:ascii="仿宋" w:hAnsi="仿宋" w:cs="宋体" w:hint="eastAsia"/>
                    <w:b/>
                    <w:kern w:val="0"/>
                  </w:rPr>
                  <w:t>序号</w:t>
                </w:r>
              </w:p>
            </w:tc>
            <w:tc>
              <w:tcPr>
                <w:tcW w:w="1797" w:type="dxa"/>
                <w:tcBorders>
                  <w:left w:val="single" w:sz="4" w:space="0" w:color="auto"/>
                </w:tcBorders>
                <w:vAlign w:val="center"/>
              </w:tcPr>
              <w:p w:rsidR="000F79E1" w:rsidRDefault="00CF1ED6" w:rsidP="00E559BE">
                <w:pPr>
                  <w:widowControl/>
                  <w:jc w:val="center"/>
                  <w:rPr>
                    <w:rFonts w:ascii="仿宋" w:hAnsi="仿宋" w:cs="宋体"/>
                    <w:b/>
                    <w:kern w:val="0"/>
                  </w:rPr>
                </w:pPr>
                <w:r>
                  <w:rPr>
                    <w:rFonts w:ascii="仿宋" w:hAnsi="仿宋" w:cs="宋体" w:hint="eastAsia"/>
                    <w:b/>
                    <w:kern w:val="0"/>
                  </w:rPr>
                  <w:t>项</w:t>
                </w:r>
                <w:r>
                  <w:rPr>
                    <w:rFonts w:ascii="仿宋" w:hAnsi="仿宋" w:cs="宋体" w:hint="eastAsia"/>
                    <w:b/>
                    <w:kern w:val="0"/>
                  </w:rPr>
                  <w:t xml:space="preserve"> </w:t>
                </w:r>
                <w:r>
                  <w:rPr>
                    <w:rFonts w:ascii="仿宋" w:hAnsi="仿宋" w:cs="宋体" w:hint="eastAsia"/>
                    <w:b/>
                    <w:kern w:val="0"/>
                  </w:rPr>
                  <w:t>目</w:t>
                </w:r>
              </w:p>
            </w:tc>
            <w:tc>
              <w:tcPr>
                <w:tcW w:w="6998" w:type="dxa"/>
                <w:vAlign w:val="center"/>
              </w:tcPr>
              <w:p w:rsidR="000F79E1" w:rsidRDefault="00CF1ED6" w:rsidP="00E559BE">
                <w:pPr>
                  <w:widowControl/>
                  <w:jc w:val="center"/>
                  <w:rPr>
                    <w:rFonts w:ascii="仿宋" w:hAnsi="仿宋" w:cs="宋体"/>
                    <w:b/>
                    <w:kern w:val="0"/>
                  </w:rPr>
                </w:pPr>
                <w:r>
                  <w:rPr>
                    <w:rFonts w:ascii="仿宋" w:hAnsi="仿宋" w:cs="宋体" w:hint="eastAsia"/>
                    <w:b/>
                    <w:kern w:val="0"/>
                  </w:rPr>
                  <w:t>内</w:t>
                </w:r>
                <w:r>
                  <w:rPr>
                    <w:rFonts w:ascii="仿宋" w:hAnsi="仿宋" w:cs="宋体" w:hint="eastAsia"/>
                    <w:b/>
                    <w:kern w:val="0"/>
                  </w:rPr>
                  <w:t xml:space="preserve"> </w:t>
                </w:r>
                <w:r>
                  <w:rPr>
                    <w:rFonts w:ascii="仿宋" w:hAnsi="仿宋" w:cs="宋体" w:hint="eastAsia"/>
                    <w:b/>
                    <w:kern w:val="0"/>
                  </w:rPr>
                  <w:t>容</w:t>
                </w:r>
              </w:p>
            </w:tc>
          </w:tr>
          <w:tr w:rsidR="000F79E1" w:rsidTr="00E559BE">
            <w:trPr>
              <w:trHeight w:val="5642"/>
            </w:trPr>
            <w:tc>
              <w:tcPr>
                <w:tcW w:w="736" w:type="dxa"/>
                <w:tcBorders>
                  <w:right w:val="single" w:sz="4" w:space="0" w:color="auto"/>
                </w:tcBorders>
                <w:vAlign w:val="center"/>
              </w:tcPr>
              <w:p w:rsidR="000F79E1" w:rsidRDefault="00CF1ED6" w:rsidP="00E559BE">
                <w:pPr>
                  <w:widowControl/>
                  <w:jc w:val="center"/>
                  <w:rPr>
                    <w:rFonts w:ascii="仿宋" w:hAnsi="仿宋" w:cs="宋体"/>
                    <w:b/>
                    <w:kern w:val="0"/>
                  </w:rPr>
                </w:pPr>
                <w:r>
                  <w:rPr>
                    <w:rFonts w:ascii="仿宋" w:hAnsi="仿宋" w:cs="宋体" w:hint="eastAsia"/>
                    <w:b/>
                    <w:kern w:val="0"/>
                  </w:rPr>
                  <w:t>1</w:t>
                </w:r>
              </w:p>
            </w:tc>
            <w:tc>
              <w:tcPr>
                <w:tcW w:w="1797" w:type="dxa"/>
                <w:tcBorders>
                  <w:left w:val="single" w:sz="4" w:space="0" w:color="auto"/>
                </w:tcBorders>
                <w:vAlign w:val="center"/>
              </w:tcPr>
              <w:p w:rsidR="000F79E1" w:rsidRDefault="00CF1ED6" w:rsidP="00E559BE">
                <w:pPr>
                  <w:widowControl/>
                  <w:jc w:val="center"/>
                  <w:rPr>
                    <w:rFonts w:ascii="仿宋" w:hAnsi="仿宋" w:cs="宋体"/>
                    <w:b/>
                    <w:kern w:val="0"/>
                    <w:szCs w:val="21"/>
                  </w:rPr>
                </w:pPr>
                <w:r>
                  <w:rPr>
                    <w:rFonts w:ascii="仿宋" w:hAnsi="仿宋" w:cs="宋体" w:hint="eastAsia"/>
                    <w:b/>
                    <w:kern w:val="0"/>
                    <w:szCs w:val="21"/>
                  </w:rPr>
                  <w:t>项目概述</w:t>
                </w:r>
              </w:p>
            </w:tc>
            <w:tc>
              <w:tcPr>
                <w:tcW w:w="6998" w:type="dxa"/>
              </w:tcPr>
              <w:p w:rsidR="000F79E1" w:rsidRDefault="00CF1ED6" w:rsidP="00E559BE">
                <w:pPr>
                  <w:widowControl/>
                  <w:rPr>
                    <w:rFonts w:ascii="仿宋" w:hAnsi="仿宋"/>
                    <w:szCs w:val="21"/>
                  </w:rPr>
                </w:pPr>
                <w:r>
                  <w:rPr>
                    <w:rFonts w:ascii="仿宋" w:hAnsi="仿宋" w:hint="eastAsia"/>
                    <w:szCs w:val="21"/>
                  </w:rPr>
                  <w:t>采购项目名称：盖州</w:t>
                </w:r>
                <w:proofErr w:type="gramStart"/>
                <w:r>
                  <w:rPr>
                    <w:rFonts w:ascii="仿宋" w:hAnsi="仿宋" w:hint="eastAsia"/>
                    <w:szCs w:val="21"/>
                  </w:rPr>
                  <w:t>市绣龙公园</w:t>
                </w:r>
                <w:proofErr w:type="gramEnd"/>
                <w:r>
                  <w:rPr>
                    <w:rFonts w:ascii="仿宋" w:hAnsi="仿宋" w:hint="eastAsia"/>
                    <w:szCs w:val="21"/>
                  </w:rPr>
                  <w:t>设计</w:t>
                </w:r>
              </w:p>
              <w:p w:rsidR="000F79E1" w:rsidRDefault="00CF1ED6" w:rsidP="00E559BE">
                <w:pPr>
                  <w:widowControl/>
                  <w:rPr>
                    <w:rFonts w:ascii="仿宋" w:hAnsi="仿宋"/>
                    <w:szCs w:val="21"/>
                  </w:rPr>
                </w:pPr>
                <w:r>
                  <w:rPr>
                    <w:rFonts w:ascii="仿宋" w:hAnsi="仿宋" w:hint="eastAsia"/>
                    <w:szCs w:val="21"/>
                  </w:rPr>
                  <w:t>采购单位：盖州市自然资源局</w:t>
                </w:r>
              </w:p>
              <w:p w:rsidR="000F79E1" w:rsidRDefault="00CF1ED6" w:rsidP="00E559BE">
                <w:pPr>
                  <w:widowControl/>
                  <w:rPr>
                    <w:rFonts w:ascii="仿宋" w:hAnsi="仿宋"/>
                    <w:szCs w:val="21"/>
                  </w:rPr>
                </w:pPr>
                <w:r>
                  <w:rPr>
                    <w:rFonts w:ascii="仿宋" w:hAnsi="仿宋" w:hint="eastAsia"/>
                    <w:szCs w:val="21"/>
                  </w:rPr>
                  <w:t>采购方式：公开招标</w:t>
                </w:r>
              </w:p>
              <w:p w:rsidR="000F79E1" w:rsidRDefault="00CF1ED6" w:rsidP="00E559BE">
                <w:pPr>
                  <w:widowControl/>
                  <w:rPr>
                    <w:rFonts w:ascii="仿宋" w:hAnsi="仿宋"/>
                    <w:szCs w:val="21"/>
                  </w:rPr>
                </w:pPr>
                <w:r>
                  <w:rPr>
                    <w:rFonts w:ascii="仿宋" w:hAnsi="仿宋" w:hint="eastAsia"/>
                    <w:szCs w:val="21"/>
                  </w:rPr>
                  <w:t>资金来源：财政资金</w:t>
                </w:r>
              </w:p>
              <w:p w:rsidR="000F79E1" w:rsidRDefault="00CF1ED6" w:rsidP="00E559BE">
                <w:pPr>
                  <w:widowControl/>
                  <w:rPr>
                    <w:rFonts w:ascii="仿宋" w:hAnsi="仿宋"/>
                    <w:szCs w:val="21"/>
                  </w:rPr>
                </w:pPr>
                <w:r>
                  <w:rPr>
                    <w:rFonts w:ascii="仿宋" w:hAnsi="仿宋" w:hint="eastAsia"/>
                    <w:szCs w:val="21"/>
                  </w:rPr>
                  <w:t>服务地点：采购人指定地点</w:t>
                </w:r>
              </w:p>
              <w:p w:rsidR="000F79E1" w:rsidRDefault="00CF1ED6" w:rsidP="00E559BE">
                <w:pPr>
                  <w:widowControl/>
                  <w:rPr>
                    <w:rFonts w:ascii="仿宋" w:hAnsi="仿宋" w:cs="仿宋"/>
                  </w:rPr>
                </w:pPr>
                <w:r>
                  <w:rPr>
                    <w:rFonts w:ascii="仿宋" w:hAnsi="仿宋" w:hint="eastAsia"/>
                    <w:szCs w:val="21"/>
                  </w:rPr>
                  <w:t>项目概况：项目位于辽宁省盖州市北部的绣龙山。公园规划总用地面积约为</w:t>
                </w:r>
                <w:r>
                  <w:rPr>
                    <w:rFonts w:ascii="仿宋" w:hAnsi="仿宋" w:hint="eastAsia"/>
                    <w:szCs w:val="21"/>
                  </w:rPr>
                  <w:t>63000</w:t>
                </w:r>
                <w:r>
                  <w:rPr>
                    <w:rFonts w:ascii="仿宋" w:hAnsi="仿宋" w:hint="eastAsia"/>
                    <w:szCs w:val="21"/>
                  </w:rPr>
                  <w:t>平方米，建成后将提升周边市民的人居环境，提升片区的综合城市品质。设计应注重对文化元素和城市发展的结合，注重对传统文化的继承，要求公园布局合理，要善于利用基地原有的地理地貌、人文景观和植被等客观条件，使公园景观与城市空间相互融合、渗透、优势互补、</w:t>
                </w:r>
                <w:proofErr w:type="gramStart"/>
                <w:r>
                  <w:rPr>
                    <w:rFonts w:ascii="仿宋" w:hAnsi="仿宋" w:hint="eastAsia"/>
                    <w:szCs w:val="21"/>
                  </w:rPr>
                  <w:t>合谐</w:t>
                </w:r>
                <w:proofErr w:type="gramEnd"/>
                <w:r>
                  <w:rPr>
                    <w:rFonts w:ascii="仿宋" w:hAnsi="仿宋" w:hint="eastAsia"/>
                    <w:szCs w:val="21"/>
                  </w:rPr>
                  <w:t>统一。</w:t>
                </w:r>
              </w:p>
            </w:tc>
          </w:tr>
          <w:tr w:rsidR="000F79E1" w:rsidTr="00E559BE">
            <w:trPr>
              <w:trHeight w:val="4493"/>
            </w:trPr>
            <w:tc>
              <w:tcPr>
                <w:tcW w:w="736" w:type="dxa"/>
                <w:tcBorders>
                  <w:right w:val="single" w:sz="4" w:space="0" w:color="auto"/>
                </w:tcBorders>
                <w:vAlign w:val="center"/>
              </w:tcPr>
              <w:p w:rsidR="000F79E1" w:rsidRDefault="00CF1ED6" w:rsidP="00E559BE">
                <w:pPr>
                  <w:widowControl/>
                  <w:jc w:val="center"/>
                  <w:rPr>
                    <w:rFonts w:ascii="仿宋" w:hAnsi="仿宋" w:cs="宋体"/>
                    <w:b/>
                    <w:kern w:val="0"/>
                  </w:rPr>
                </w:pPr>
                <w:r>
                  <w:rPr>
                    <w:rFonts w:ascii="仿宋" w:hAnsi="仿宋" w:cs="宋体" w:hint="eastAsia"/>
                    <w:b/>
                    <w:kern w:val="0"/>
                  </w:rPr>
                  <w:t>2</w:t>
                </w:r>
              </w:p>
            </w:tc>
            <w:tc>
              <w:tcPr>
                <w:tcW w:w="1797" w:type="dxa"/>
                <w:tcBorders>
                  <w:left w:val="single" w:sz="4" w:space="0" w:color="auto"/>
                </w:tcBorders>
                <w:vAlign w:val="center"/>
              </w:tcPr>
              <w:p w:rsidR="000F79E1" w:rsidRDefault="00CF1ED6" w:rsidP="00E559BE">
                <w:pPr>
                  <w:jc w:val="center"/>
                  <w:rPr>
                    <w:rFonts w:ascii="仿宋" w:hAnsi="仿宋"/>
                    <w:b/>
                    <w:szCs w:val="21"/>
                  </w:rPr>
                </w:pPr>
                <w:r>
                  <w:rPr>
                    <w:rFonts w:ascii="仿宋" w:hAnsi="仿宋" w:hint="eastAsia"/>
                    <w:b/>
                    <w:szCs w:val="21"/>
                  </w:rPr>
                  <w:t>合格供应商</w:t>
                </w:r>
              </w:p>
              <w:p w:rsidR="000F79E1" w:rsidRDefault="00CF1ED6" w:rsidP="00E559BE">
                <w:pPr>
                  <w:jc w:val="center"/>
                  <w:rPr>
                    <w:rFonts w:ascii="仿宋" w:hAnsi="仿宋" w:cs="宋体"/>
                    <w:b/>
                    <w:kern w:val="0"/>
                    <w:szCs w:val="21"/>
                  </w:rPr>
                </w:pPr>
                <w:r>
                  <w:rPr>
                    <w:rFonts w:ascii="仿宋" w:hAnsi="仿宋" w:hint="eastAsia"/>
                    <w:b/>
                    <w:szCs w:val="21"/>
                  </w:rPr>
                  <w:t>的资格条件</w:t>
                </w:r>
              </w:p>
            </w:tc>
            <w:tc>
              <w:tcPr>
                <w:tcW w:w="6998" w:type="dxa"/>
                <w:vAlign w:val="center"/>
              </w:tcPr>
              <w:p w:rsidR="000F79E1" w:rsidRDefault="00CF1ED6" w:rsidP="00E559BE">
                <w:pPr>
                  <w:widowControl/>
                  <w:rPr>
                    <w:rFonts w:ascii="仿宋" w:hAnsi="仿宋"/>
                    <w:szCs w:val="21"/>
                  </w:rPr>
                </w:pPr>
                <w:r>
                  <w:rPr>
                    <w:rFonts w:ascii="仿宋" w:hAnsi="仿宋" w:hint="eastAsia"/>
                    <w:szCs w:val="21"/>
                  </w:rPr>
                  <w:t>1.</w:t>
                </w:r>
                <w:r>
                  <w:rPr>
                    <w:rFonts w:ascii="仿宋" w:hAnsi="仿宋" w:hint="eastAsia"/>
                    <w:szCs w:val="21"/>
                  </w:rPr>
                  <w:t>具有独立承担民事责任的能力</w:t>
                </w:r>
              </w:p>
              <w:p w:rsidR="000F79E1" w:rsidRDefault="00CF1ED6" w:rsidP="00E559BE">
                <w:pPr>
                  <w:widowControl/>
                  <w:rPr>
                    <w:rFonts w:ascii="仿宋" w:hAnsi="仿宋"/>
                    <w:szCs w:val="21"/>
                  </w:rPr>
                </w:pPr>
                <w:r>
                  <w:rPr>
                    <w:rFonts w:ascii="仿宋" w:hAnsi="仿宋" w:hint="eastAsia"/>
                    <w:szCs w:val="21"/>
                  </w:rPr>
                  <w:t>2.</w:t>
                </w:r>
                <w:r>
                  <w:rPr>
                    <w:rFonts w:ascii="仿宋" w:hAnsi="仿宋" w:hint="eastAsia"/>
                    <w:szCs w:val="21"/>
                  </w:rPr>
                  <w:t>具有良好的商业信誉和健全的财务会计制度</w:t>
                </w:r>
              </w:p>
              <w:p w:rsidR="000F79E1" w:rsidRDefault="00CF1ED6" w:rsidP="00E559BE">
                <w:pPr>
                  <w:widowControl/>
                  <w:rPr>
                    <w:rFonts w:ascii="仿宋" w:hAnsi="仿宋"/>
                    <w:szCs w:val="21"/>
                  </w:rPr>
                </w:pPr>
                <w:r>
                  <w:rPr>
                    <w:rFonts w:ascii="仿宋" w:hAnsi="仿宋" w:hint="eastAsia"/>
                    <w:szCs w:val="21"/>
                  </w:rPr>
                  <w:t>3.</w:t>
                </w:r>
                <w:r>
                  <w:rPr>
                    <w:rFonts w:ascii="仿宋" w:hAnsi="仿宋" w:hint="eastAsia"/>
                    <w:szCs w:val="21"/>
                  </w:rPr>
                  <w:t>具有履行合同所必需的设备和专业技术能力</w:t>
                </w:r>
              </w:p>
              <w:p w:rsidR="000F79E1" w:rsidRDefault="00CF1ED6" w:rsidP="00E559BE">
                <w:pPr>
                  <w:widowControl/>
                  <w:rPr>
                    <w:rFonts w:ascii="仿宋" w:hAnsi="仿宋"/>
                    <w:szCs w:val="21"/>
                  </w:rPr>
                </w:pPr>
                <w:r>
                  <w:rPr>
                    <w:rFonts w:ascii="仿宋" w:hAnsi="仿宋" w:hint="eastAsia"/>
                    <w:szCs w:val="21"/>
                  </w:rPr>
                  <w:t>4.</w:t>
                </w:r>
                <w:r>
                  <w:rPr>
                    <w:rFonts w:ascii="仿宋" w:hAnsi="仿宋" w:hint="eastAsia"/>
                    <w:szCs w:val="21"/>
                  </w:rPr>
                  <w:t>有依法缴纳税收和社会保障资金的良好记录</w:t>
                </w:r>
              </w:p>
              <w:p w:rsidR="000F79E1" w:rsidRDefault="00CF1ED6" w:rsidP="00E559BE">
                <w:pPr>
                  <w:widowControl/>
                  <w:rPr>
                    <w:rFonts w:ascii="仿宋" w:hAnsi="仿宋"/>
                    <w:szCs w:val="21"/>
                  </w:rPr>
                </w:pPr>
                <w:r>
                  <w:rPr>
                    <w:rFonts w:ascii="仿宋" w:hAnsi="仿宋" w:hint="eastAsia"/>
                    <w:szCs w:val="21"/>
                  </w:rPr>
                  <w:t>5.</w:t>
                </w:r>
                <w:r>
                  <w:rPr>
                    <w:rFonts w:ascii="仿宋" w:hAnsi="仿宋" w:hint="eastAsia"/>
                    <w:szCs w:val="21"/>
                  </w:rPr>
                  <w:t>参加政府采购活动前三年内，在经营活动中没有重大违法记录</w:t>
                </w:r>
              </w:p>
              <w:p w:rsidR="000F79E1" w:rsidRDefault="00CF1ED6" w:rsidP="00E559BE">
                <w:pPr>
                  <w:widowControl/>
                  <w:rPr>
                    <w:rFonts w:ascii="仿宋" w:hAnsi="仿宋"/>
                    <w:szCs w:val="21"/>
                  </w:rPr>
                </w:pPr>
                <w:r>
                  <w:rPr>
                    <w:rFonts w:ascii="仿宋" w:hAnsi="仿宋" w:hint="eastAsia"/>
                    <w:szCs w:val="21"/>
                  </w:rPr>
                  <w:t>6.</w:t>
                </w:r>
                <w:r>
                  <w:rPr>
                    <w:rFonts w:ascii="仿宋" w:hAnsi="仿宋" w:hint="eastAsia"/>
                    <w:szCs w:val="21"/>
                  </w:rPr>
                  <w:t>本项目不允许联合体投标</w:t>
                </w:r>
              </w:p>
              <w:p w:rsidR="000F79E1" w:rsidRDefault="00CF1ED6" w:rsidP="00E559BE">
                <w:pPr>
                  <w:widowControl/>
                  <w:rPr>
                    <w:rFonts w:ascii="仿宋" w:hAnsi="仿宋"/>
                    <w:szCs w:val="21"/>
                  </w:rPr>
                </w:pPr>
                <w:r>
                  <w:rPr>
                    <w:rFonts w:ascii="仿宋" w:hAnsi="仿宋" w:hint="eastAsia"/>
                    <w:szCs w:val="21"/>
                  </w:rPr>
                  <w:t>7.</w:t>
                </w:r>
                <w:r>
                  <w:rPr>
                    <w:rFonts w:ascii="仿宋" w:hAnsi="仿宋" w:hint="eastAsia"/>
                    <w:szCs w:val="21"/>
                  </w:rPr>
                  <w:t>合格供应</w:t>
                </w:r>
                <w:proofErr w:type="gramStart"/>
                <w:r>
                  <w:rPr>
                    <w:rFonts w:ascii="仿宋" w:hAnsi="仿宋" w:hint="eastAsia"/>
                    <w:szCs w:val="21"/>
                  </w:rPr>
                  <w:t>商还要</w:t>
                </w:r>
                <w:proofErr w:type="gramEnd"/>
                <w:r>
                  <w:rPr>
                    <w:rFonts w:ascii="仿宋" w:hAnsi="仿宋" w:hint="eastAsia"/>
                    <w:szCs w:val="21"/>
                  </w:rPr>
                  <w:t>满足的其它资格条件</w:t>
                </w:r>
              </w:p>
              <w:p w:rsidR="000F79E1" w:rsidRDefault="00CF1ED6" w:rsidP="00E559BE">
                <w:pPr>
                  <w:widowControl/>
                  <w:rPr>
                    <w:rFonts w:ascii="仿宋" w:hAnsi="仿宋"/>
                    <w:b/>
                    <w:bCs/>
                    <w:szCs w:val="21"/>
                  </w:rPr>
                </w:pPr>
                <w:r>
                  <w:rPr>
                    <w:rFonts w:ascii="仿宋" w:hAnsi="仿宋" w:hint="eastAsia"/>
                    <w:b/>
                    <w:bCs/>
                    <w:szCs w:val="21"/>
                  </w:rPr>
                  <w:t>（</w:t>
                </w:r>
                <w:r>
                  <w:rPr>
                    <w:rFonts w:ascii="仿宋" w:hAnsi="仿宋" w:hint="eastAsia"/>
                    <w:b/>
                    <w:bCs/>
                    <w:szCs w:val="21"/>
                  </w:rPr>
                  <w:t>1</w:t>
                </w:r>
                <w:r>
                  <w:rPr>
                    <w:rFonts w:ascii="仿宋" w:hAnsi="仿宋" w:hint="eastAsia"/>
                    <w:b/>
                    <w:bCs/>
                    <w:szCs w:val="21"/>
                  </w:rPr>
                  <w:t>）具有有效的营业执照。</w:t>
                </w:r>
              </w:p>
              <w:p w:rsidR="000F79E1" w:rsidRDefault="00CF1ED6" w:rsidP="00E559BE">
                <w:pPr>
                  <w:widowControl/>
                  <w:rPr>
                    <w:rFonts w:ascii="仿宋" w:hAnsi="仿宋"/>
                    <w:szCs w:val="21"/>
                  </w:rPr>
                </w:pPr>
                <w:r>
                  <w:rPr>
                    <w:rFonts w:ascii="仿宋" w:hAnsi="仿宋" w:hint="eastAsia"/>
                    <w:b/>
                    <w:bCs/>
                    <w:szCs w:val="21"/>
                  </w:rPr>
                  <w:t>（</w:t>
                </w:r>
                <w:r>
                  <w:rPr>
                    <w:rFonts w:ascii="仿宋" w:hAnsi="仿宋" w:hint="eastAsia"/>
                    <w:b/>
                    <w:bCs/>
                    <w:szCs w:val="21"/>
                  </w:rPr>
                  <w:t>2</w:t>
                </w:r>
                <w:r>
                  <w:rPr>
                    <w:rFonts w:ascii="仿宋" w:hAnsi="仿宋" w:hint="eastAsia"/>
                    <w:b/>
                    <w:bCs/>
                    <w:szCs w:val="21"/>
                  </w:rPr>
                  <w:t>）供应商须具备</w:t>
                </w:r>
                <w:proofErr w:type="gramStart"/>
                <w:r>
                  <w:rPr>
                    <w:rFonts w:ascii="仿宋" w:hAnsi="仿宋" w:hint="eastAsia"/>
                    <w:b/>
                    <w:bCs/>
                    <w:szCs w:val="21"/>
                  </w:rPr>
                  <w:t>园林甲级</w:t>
                </w:r>
                <w:proofErr w:type="gramEnd"/>
                <w:r>
                  <w:rPr>
                    <w:rFonts w:ascii="仿宋" w:hAnsi="仿宋" w:hint="eastAsia"/>
                    <w:b/>
                    <w:bCs/>
                    <w:szCs w:val="21"/>
                  </w:rPr>
                  <w:t>并且市政行业（城镇燃气、轨道交通除外）乙级</w:t>
                </w:r>
              </w:p>
            </w:tc>
          </w:tr>
        </w:tbl>
        <w:p w:rsidR="000F79E1" w:rsidRDefault="00CF1ED6" w:rsidP="000F79E1">
          <w:pPr>
            <w:rPr>
              <w:b/>
              <w:bCs/>
              <w:sz w:val="32"/>
              <w:szCs w:val="40"/>
            </w:rPr>
          </w:pPr>
        </w:p>
        <w:p w:rsidR="000F79E1" w:rsidRDefault="00CF1ED6" w:rsidP="000F79E1">
          <w:r>
            <w:rPr>
              <w:rFonts w:hint="eastAsia"/>
            </w:rPr>
            <w:br w:type="page"/>
          </w:r>
        </w:p>
        <w:p w:rsidR="000F79E1" w:rsidRDefault="00CF1ED6" w:rsidP="000F79E1">
          <w:pPr>
            <w:numPr>
              <w:ilvl w:val="0"/>
              <w:numId w:val="12"/>
            </w:numPr>
            <w:jc w:val="center"/>
            <w:rPr>
              <w:rFonts w:ascii="仿宋" w:hAnsi="仿宋" w:cs="仿宋"/>
            </w:rPr>
          </w:pPr>
          <w:r>
            <w:rPr>
              <w:rFonts w:hint="eastAsia"/>
              <w:b/>
              <w:bCs/>
              <w:sz w:val="32"/>
              <w:szCs w:val="40"/>
            </w:rPr>
            <w:t>服务内容</w:t>
          </w:r>
        </w:p>
        <w:p w:rsidR="000F79E1" w:rsidRDefault="00CF1ED6" w:rsidP="000F79E1">
          <w:pPr>
            <w:numPr>
              <w:ilvl w:val="0"/>
              <w:numId w:val="13"/>
            </w:numPr>
            <w:rPr>
              <w:rFonts w:ascii="仿宋" w:hAnsi="仿宋" w:cs="仿宋"/>
            </w:rPr>
          </w:pPr>
          <w:r>
            <w:rPr>
              <w:rFonts w:ascii="仿宋" w:hAnsi="仿宋" w:cs="仿宋" w:hint="eastAsia"/>
            </w:rPr>
            <w:t>整体设计</w:t>
          </w:r>
        </w:p>
        <w:p w:rsidR="000F79E1" w:rsidRDefault="00CF1ED6" w:rsidP="000F79E1">
          <w:pPr>
            <w:numPr>
              <w:ilvl w:val="0"/>
              <w:numId w:val="14"/>
            </w:numPr>
            <w:rPr>
              <w:rFonts w:ascii="仿宋" w:hAnsi="仿宋" w:cs="仿宋"/>
            </w:rPr>
          </w:pPr>
          <w:r>
            <w:rPr>
              <w:rFonts w:ascii="仿宋" w:hAnsi="仿宋" w:cs="仿宋" w:hint="eastAsia"/>
            </w:rPr>
            <w:t>了解项目背景，能够全面的提现整体的设计思路；</w:t>
          </w:r>
        </w:p>
        <w:p w:rsidR="000F79E1" w:rsidRDefault="00CF1ED6" w:rsidP="000F79E1">
          <w:pPr>
            <w:numPr>
              <w:ilvl w:val="0"/>
              <w:numId w:val="14"/>
            </w:numPr>
            <w:rPr>
              <w:rFonts w:ascii="仿宋" w:hAnsi="仿宋" w:cs="仿宋"/>
            </w:rPr>
          </w:pPr>
          <w:r>
            <w:rPr>
              <w:rFonts w:ascii="仿宋" w:hAnsi="仿宋" w:cs="仿宋" w:hint="eastAsia"/>
            </w:rPr>
            <w:t>整体布局合理</w:t>
          </w:r>
          <w:r>
            <w:rPr>
              <w:rFonts w:ascii="仿宋" w:hAnsi="仿宋" w:cs="仿宋" w:hint="eastAsia"/>
            </w:rPr>
            <w:t>,</w:t>
          </w:r>
          <w:r>
            <w:rPr>
              <w:rFonts w:ascii="仿宋" w:hAnsi="仿宋" w:cs="仿宋" w:hint="eastAsia"/>
            </w:rPr>
            <w:t>设计思路清晰；</w:t>
          </w:r>
        </w:p>
        <w:p w:rsidR="000F79E1" w:rsidRDefault="00CF1ED6" w:rsidP="000F79E1">
          <w:pPr>
            <w:numPr>
              <w:ilvl w:val="0"/>
              <w:numId w:val="14"/>
            </w:numPr>
            <w:rPr>
              <w:rFonts w:ascii="仿宋" w:hAnsi="仿宋" w:cs="仿宋"/>
            </w:rPr>
          </w:pPr>
          <w:r>
            <w:rPr>
              <w:rFonts w:ascii="仿宋" w:hAnsi="仿宋" w:cs="仿宋" w:hint="eastAsia"/>
            </w:rPr>
            <w:t>根据设计进度计划能够制定合理科学的设计周期，保证措施合理；</w:t>
          </w:r>
        </w:p>
        <w:p w:rsidR="000F79E1" w:rsidRDefault="00CF1ED6" w:rsidP="000F79E1">
          <w:pPr>
            <w:numPr>
              <w:ilvl w:val="0"/>
              <w:numId w:val="13"/>
            </w:numPr>
            <w:rPr>
              <w:rFonts w:ascii="仿宋" w:hAnsi="仿宋" w:cs="仿宋"/>
            </w:rPr>
          </w:pPr>
          <w:r>
            <w:rPr>
              <w:rFonts w:ascii="仿宋" w:hAnsi="仿宋" w:cs="仿宋" w:hint="eastAsia"/>
            </w:rPr>
            <w:t>现场服务方案及承诺</w:t>
          </w:r>
        </w:p>
        <w:p w:rsidR="000F79E1" w:rsidRDefault="00CF1ED6" w:rsidP="000F79E1">
          <w:pPr>
            <w:numPr>
              <w:ilvl w:val="0"/>
              <w:numId w:val="15"/>
            </w:numPr>
            <w:rPr>
              <w:rFonts w:ascii="仿宋" w:hAnsi="仿宋" w:cs="仿宋"/>
            </w:rPr>
          </w:pPr>
          <w:r>
            <w:rPr>
              <w:rFonts w:ascii="仿宋" w:hAnsi="仿宋" w:cs="仿宋" w:hint="eastAsia"/>
            </w:rPr>
            <w:t>承诺有良好的后续及增值服务，有相关说明；</w:t>
          </w:r>
        </w:p>
        <w:p w:rsidR="000F79E1" w:rsidRDefault="00CF1ED6" w:rsidP="000F79E1">
          <w:pPr>
            <w:numPr>
              <w:ilvl w:val="0"/>
              <w:numId w:val="15"/>
            </w:numPr>
            <w:rPr>
              <w:rFonts w:ascii="仿宋" w:hAnsi="仿宋" w:cs="仿宋"/>
            </w:rPr>
          </w:pPr>
          <w:r>
            <w:rPr>
              <w:rFonts w:ascii="仿宋" w:hAnsi="仿宋" w:cs="仿宋" w:hint="eastAsia"/>
            </w:rPr>
            <w:t>积极配合现场实际情况，配备指定项目负责人及现场服务人员；</w:t>
          </w:r>
        </w:p>
        <w:p w:rsidR="000F79E1" w:rsidRDefault="00CF1ED6" w:rsidP="000F79E1">
          <w:pPr>
            <w:rPr>
              <w:rFonts w:ascii="仿宋" w:hAnsi="仿宋" w:cs="仿宋"/>
            </w:rPr>
          </w:pPr>
          <w:r>
            <w:rPr>
              <w:rFonts w:ascii="仿宋" w:hAnsi="仿宋" w:cs="仿宋" w:hint="eastAsia"/>
            </w:rPr>
            <w:t>3</w:t>
          </w:r>
          <w:r>
            <w:rPr>
              <w:rFonts w:ascii="仿宋" w:hAnsi="仿宋" w:cs="仿宋" w:hint="eastAsia"/>
            </w:rPr>
            <w:t>、设计质量保证措施、及承诺</w:t>
          </w:r>
        </w:p>
        <w:p w:rsidR="000F79E1" w:rsidRDefault="00CF1ED6" w:rsidP="000F79E1">
          <w:r>
            <w:rPr>
              <w:rFonts w:ascii="仿宋" w:hAnsi="仿宋" w:cs="仿宋" w:hint="eastAsia"/>
            </w:rPr>
            <w:t>（</w:t>
          </w:r>
          <w:r>
            <w:rPr>
              <w:rFonts w:ascii="仿宋" w:hAnsi="仿宋" w:cs="仿宋" w:hint="eastAsia"/>
            </w:rPr>
            <w:t>1</w:t>
          </w:r>
          <w:r>
            <w:rPr>
              <w:rFonts w:ascii="仿宋" w:hAnsi="仿宋" w:cs="仿宋" w:hint="eastAsia"/>
            </w:rPr>
            <w:t>）针对本工程质量进度保证措施得当、有针对性、切实可行。</w:t>
          </w:r>
        </w:p>
        <w:p w:rsidR="000F79E1" w:rsidRPr="000E52B7" w:rsidRDefault="00CF1ED6" w:rsidP="000F79E1">
          <w:pPr>
            <w:widowControl/>
            <w:rPr>
              <w:rFonts w:ascii="仿宋" w:hAnsi="仿宋"/>
              <w:szCs w:val="21"/>
            </w:rPr>
          </w:pPr>
        </w:p>
        <w:p w:rsidR="0050268E" w:rsidRDefault="00CF1ED6"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fbc9212a38fd4c3a"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fbc9212a38fd4c3a"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GZC2020（079）号</vt:lpwstr>
  </property>
</Properties>
</file>