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盖州市环境卫生服务中心压缩车采购项目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GZC2021-009</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盖州市环境卫生服务中心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F561CB"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F561CB"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F561C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p>
        <w:p w:rsidR="00B07492" w:rsidRPr="00B07492" w:rsidRDefault="00F561C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p>
        <w:p w:rsidR="00B07492" w:rsidRPr="00B07492" w:rsidRDefault="00F561C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F561C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F561C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F561C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F561C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F561C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F561C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F561C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p w:rsidR="002F0041" w:rsidRDefault="00F561CB" w:rsidP="002F0041">
          <w:pPr>
            <w:jc w:val="center"/>
            <w:rPr>
              <w:rFonts w:ascii="宋体" w:hAnsi="宋体"/>
              <w:b/>
              <w:sz w:val="32"/>
              <w:szCs w:val="32"/>
            </w:rPr>
          </w:pPr>
          <w:r>
            <w:rPr>
              <w:rFonts w:ascii="宋体" w:hAnsi="宋体" w:hint="eastAsia"/>
              <w:b/>
              <w:sz w:val="32"/>
              <w:szCs w:val="32"/>
            </w:rPr>
            <w:t>7</w:t>
          </w:r>
          <w:r>
            <w:rPr>
              <w:rFonts w:ascii="宋体" w:hAnsi="宋体" w:hint="eastAsia"/>
              <w:b/>
              <w:sz w:val="32"/>
              <w:szCs w:val="32"/>
            </w:rPr>
            <w:t>方压缩车（国六）主要技术参数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4005"/>
            <w:gridCol w:w="3533"/>
          </w:tblGrid>
          <w:tr w:rsidR="002F0041" w:rsidTr="00AF261D">
            <w:trPr>
              <w:trHeight w:val="363"/>
            </w:trPr>
            <w:tc>
              <w:tcPr>
                <w:tcW w:w="881" w:type="dxa"/>
              </w:tcPr>
              <w:p w:rsidR="002F0041" w:rsidRDefault="00F561CB" w:rsidP="00AF261D">
                <w:pPr>
                  <w:jc w:val="center"/>
                  <w:rPr>
                    <w:rFonts w:ascii="宋体" w:hAnsi="宋体"/>
                    <w:b/>
                    <w:sz w:val="24"/>
                  </w:rPr>
                </w:pPr>
                <w:r>
                  <w:rPr>
                    <w:rFonts w:ascii="宋体" w:hAnsi="宋体" w:hint="eastAsia"/>
                    <w:b/>
                    <w:sz w:val="24"/>
                  </w:rPr>
                  <w:t>序号</w:t>
                </w:r>
              </w:p>
            </w:tc>
            <w:tc>
              <w:tcPr>
                <w:tcW w:w="4005" w:type="dxa"/>
              </w:tcPr>
              <w:p w:rsidR="002F0041" w:rsidRDefault="00F561CB" w:rsidP="00AF261D">
                <w:pPr>
                  <w:jc w:val="center"/>
                  <w:rPr>
                    <w:rFonts w:ascii="宋体" w:hAnsi="宋体"/>
                    <w:b/>
                    <w:sz w:val="24"/>
                  </w:rPr>
                </w:pPr>
                <w:r>
                  <w:rPr>
                    <w:rFonts w:ascii="宋体" w:hAnsi="宋体" w:hint="eastAsia"/>
                    <w:b/>
                    <w:sz w:val="24"/>
                  </w:rPr>
                  <w:t>项目名称</w:t>
                </w:r>
              </w:p>
            </w:tc>
            <w:tc>
              <w:tcPr>
                <w:tcW w:w="3533" w:type="dxa"/>
              </w:tcPr>
              <w:p w:rsidR="002F0041" w:rsidRDefault="00F561CB" w:rsidP="00AF261D">
                <w:pPr>
                  <w:jc w:val="center"/>
                  <w:rPr>
                    <w:rFonts w:ascii="宋体" w:hAnsi="宋体"/>
                    <w:b/>
                    <w:sz w:val="24"/>
                  </w:rPr>
                </w:pPr>
                <w:r>
                  <w:rPr>
                    <w:rFonts w:ascii="宋体" w:hAnsi="宋体" w:hint="eastAsia"/>
                    <w:b/>
                    <w:sz w:val="24"/>
                  </w:rPr>
                  <w:t>技术参数</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底盘型号</w:t>
                </w:r>
              </w:p>
            </w:tc>
            <w:tc>
              <w:tcPr>
                <w:tcW w:w="3533" w:type="dxa"/>
              </w:tcPr>
              <w:p w:rsidR="002F0041" w:rsidRDefault="00F561CB" w:rsidP="00AF261D">
                <w:pPr>
                  <w:jc w:val="left"/>
                  <w:rPr>
                    <w:rFonts w:ascii="宋体" w:hAnsi="宋体"/>
                    <w:sz w:val="24"/>
                  </w:rPr>
                </w:pPr>
                <w:r>
                  <w:rPr>
                    <w:rFonts w:ascii="宋体" w:hAnsi="宋体" w:hint="eastAsia"/>
                    <w:sz w:val="24"/>
                  </w:rPr>
                  <w:t>HFC1081P31K1C7ZS</w:t>
                </w:r>
                <w:r>
                  <w:rPr>
                    <w:rFonts w:ascii="宋体" w:hAnsi="宋体" w:hint="eastAsia"/>
                    <w:sz w:val="24"/>
                  </w:rPr>
                  <w:t>或优于</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发动机型号</w:t>
                </w:r>
              </w:p>
            </w:tc>
            <w:tc>
              <w:tcPr>
                <w:tcW w:w="3533" w:type="dxa"/>
              </w:tcPr>
              <w:p w:rsidR="002F0041" w:rsidRDefault="00F561CB" w:rsidP="00AF261D">
                <w:pPr>
                  <w:jc w:val="left"/>
                  <w:rPr>
                    <w:rFonts w:ascii="宋体" w:hAnsi="宋体"/>
                    <w:sz w:val="24"/>
                  </w:rPr>
                </w:pPr>
                <w:r>
                  <w:rPr>
                    <w:rFonts w:ascii="宋体" w:hAnsi="宋体" w:hint="eastAsia"/>
                    <w:sz w:val="24"/>
                  </w:rPr>
                  <w:t xml:space="preserve">D30TCIF2 </w:t>
                </w:r>
                <w:r>
                  <w:rPr>
                    <w:rFonts w:ascii="宋体" w:hAnsi="宋体" w:hint="eastAsia"/>
                    <w:sz w:val="24"/>
                  </w:rPr>
                  <w:t>或优于</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 xml:space="preserve"> </w:t>
                </w:r>
                <w:r>
                  <w:rPr>
                    <w:rFonts w:ascii="宋体" w:hAnsi="宋体" w:hint="eastAsia"/>
                    <w:sz w:val="24"/>
                  </w:rPr>
                  <w:t>发动机排量和功率</w:t>
                </w:r>
                <w:r>
                  <w:rPr>
                    <w:rFonts w:ascii="宋体" w:hAnsi="宋体" w:hint="eastAsia"/>
                    <w:sz w:val="24"/>
                  </w:rPr>
                  <w:t>(ml/kw)</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2977/120</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r>
                  <w:rPr>
                    <w:rFonts w:ascii="Arial" w:hAnsi="Arial" w:cs="Arial"/>
                    <w:sz w:val="24"/>
                    <w:szCs w:val="24"/>
                  </w:rPr>
                  <w:t>▲</w:t>
                </w:r>
              </w:p>
            </w:tc>
            <w:tc>
              <w:tcPr>
                <w:tcW w:w="4005" w:type="dxa"/>
              </w:tcPr>
              <w:p w:rsidR="002F0041" w:rsidRDefault="00F561CB" w:rsidP="00AF261D">
                <w:pPr>
                  <w:jc w:val="left"/>
                  <w:rPr>
                    <w:rFonts w:ascii="宋体" w:hAnsi="宋体"/>
                    <w:sz w:val="24"/>
                  </w:rPr>
                </w:pPr>
                <w:r>
                  <w:rPr>
                    <w:rFonts w:ascii="宋体" w:hAnsi="宋体" w:hint="eastAsia"/>
                    <w:sz w:val="24"/>
                  </w:rPr>
                  <w:t>外形尺寸（长×宽×高）</w:t>
                </w:r>
                <w:r>
                  <w:rPr>
                    <w:rFonts w:ascii="宋体" w:hAnsi="宋体" w:hint="eastAsia"/>
                    <w:sz w:val="24"/>
                  </w:rPr>
                  <w:t>mm</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6585</w:t>
                </w:r>
                <w:r>
                  <w:rPr>
                    <w:rFonts w:ascii="宋体" w:hAnsi="宋体" w:hint="eastAsia"/>
                    <w:sz w:val="24"/>
                  </w:rPr>
                  <w:t>×</w:t>
                </w:r>
                <w:r>
                  <w:rPr>
                    <w:rFonts w:ascii="宋体" w:hAnsi="宋体" w:hint="eastAsia"/>
                    <w:sz w:val="24"/>
                  </w:rPr>
                  <w:t>2170</w:t>
                </w:r>
                <w:r>
                  <w:rPr>
                    <w:rFonts w:ascii="宋体" w:hAnsi="宋体" w:hint="eastAsia"/>
                    <w:sz w:val="24"/>
                  </w:rPr>
                  <w:t>×</w:t>
                </w:r>
                <w:r>
                  <w:rPr>
                    <w:rFonts w:ascii="宋体" w:hAnsi="宋体" w:hint="eastAsia"/>
                    <w:sz w:val="24"/>
                  </w:rPr>
                  <w:t>2620</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r>
                  <w:rPr>
                    <w:rFonts w:ascii="Arial" w:hAnsi="Arial" w:cs="Arial"/>
                    <w:sz w:val="24"/>
                    <w:szCs w:val="24"/>
                  </w:rPr>
                  <w:t>▲</w:t>
                </w:r>
              </w:p>
            </w:tc>
            <w:tc>
              <w:tcPr>
                <w:tcW w:w="4005" w:type="dxa"/>
              </w:tcPr>
              <w:p w:rsidR="002F0041" w:rsidRDefault="00F561CB" w:rsidP="00AF261D">
                <w:pPr>
                  <w:jc w:val="left"/>
                  <w:rPr>
                    <w:rFonts w:ascii="宋体" w:hAnsi="宋体"/>
                    <w:sz w:val="24"/>
                  </w:rPr>
                </w:pPr>
                <w:r>
                  <w:rPr>
                    <w:rFonts w:ascii="宋体" w:hAnsi="宋体" w:hint="eastAsia"/>
                    <w:sz w:val="24"/>
                  </w:rPr>
                  <w:t>箱体有效容积（</w:t>
                </w:r>
                <w:r>
                  <w:rPr>
                    <w:rFonts w:ascii="宋体" w:hAnsi="宋体" w:hint="eastAsia"/>
                    <w:sz w:val="24"/>
                  </w:rPr>
                  <w:t>m</w:t>
                </w:r>
                <w:r>
                  <w:rPr>
                    <w:rFonts w:ascii="宋体" w:hAnsi="宋体"/>
                    <w:sz w:val="24"/>
                    <w:vertAlign w:val="superscript"/>
                  </w:rPr>
                  <w:t>3</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7</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填装器容积（</w:t>
                </w:r>
                <w:r>
                  <w:rPr>
                    <w:rFonts w:ascii="宋体" w:hAnsi="宋体" w:hint="eastAsia"/>
                    <w:sz w:val="24"/>
                  </w:rPr>
                  <w:t>m</w:t>
                </w:r>
                <w:r>
                  <w:rPr>
                    <w:rFonts w:ascii="宋体" w:hAnsi="宋体"/>
                    <w:sz w:val="24"/>
                    <w:vertAlign w:val="superscript"/>
                  </w:rPr>
                  <w:t>3</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1.2</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翻斗容积（</w:t>
                </w:r>
                <w:r>
                  <w:rPr>
                    <w:rFonts w:ascii="宋体" w:hAnsi="宋体" w:hint="eastAsia"/>
                    <w:sz w:val="24"/>
                  </w:rPr>
                  <w:t>m</w:t>
                </w:r>
                <w:r>
                  <w:rPr>
                    <w:rFonts w:ascii="宋体" w:hAnsi="宋体"/>
                    <w:sz w:val="24"/>
                    <w:vertAlign w:val="superscript"/>
                  </w:rPr>
                  <w:t>3</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0.65</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填装口宽度（</w:t>
                </w:r>
                <w:r>
                  <w:rPr>
                    <w:rFonts w:ascii="宋体" w:hAnsi="宋体" w:hint="eastAsia"/>
                    <w:sz w:val="24"/>
                  </w:rPr>
                  <w:t>mm</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1820</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填入口下沿离地高度（</w:t>
                </w:r>
                <w:r>
                  <w:rPr>
                    <w:rFonts w:ascii="宋体" w:hAnsi="宋体" w:hint="eastAsia"/>
                    <w:sz w:val="24"/>
                  </w:rPr>
                  <w:t>mm</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1180</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箱体结构</w:t>
                </w:r>
              </w:p>
            </w:tc>
            <w:tc>
              <w:tcPr>
                <w:tcW w:w="3533" w:type="dxa"/>
              </w:tcPr>
              <w:p w:rsidR="002F0041" w:rsidRDefault="00F561CB" w:rsidP="00AF261D">
                <w:pPr>
                  <w:jc w:val="left"/>
                  <w:rPr>
                    <w:rFonts w:ascii="宋体" w:hAnsi="宋体"/>
                    <w:sz w:val="24"/>
                  </w:rPr>
                </w:pPr>
                <w:r>
                  <w:rPr>
                    <w:rFonts w:ascii="宋体" w:hAnsi="宋体" w:hint="eastAsia"/>
                    <w:sz w:val="24"/>
                  </w:rPr>
                  <w:t>流线型加框架</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轴距（</w:t>
                </w:r>
                <w:r>
                  <w:rPr>
                    <w:rFonts w:ascii="宋体" w:hAnsi="宋体" w:hint="eastAsia"/>
                    <w:sz w:val="24"/>
                  </w:rPr>
                  <w:t>mm</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3365</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r>
                  <w:rPr>
                    <w:rFonts w:ascii="Arial" w:hAnsi="Arial" w:cs="Arial"/>
                    <w:sz w:val="24"/>
                    <w:szCs w:val="24"/>
                  </w:rPr>
                  <w:t>▲</w:t>
                </w:r>
              </w:p>
            </w:tc>
            <w:tc>
              <w:tcPr>
                <w:tcW w:w="4005" w:type="dxa"/>
              </w:tcPr>
              <w:p w:rsidR="002F0041" w:rsidRDefault="00F561CB" w:rsidP="00AF261D">
                <w:pPr>
                  <w:jc w:val="left"/>
                  <w:rPr>
                    <w:rFonts w:ascii="宋体" w:hAnsi="宋体"/>
                    <w:sz w:val="24"/>
                  </w:rPr>
                </w:pPr>
                <w:r>
                  <w:rPr>
                    <w:rFonts w:ascii="宋体" w:hAnsi="宋体" w:hint="eastAsia"/>
                    <w:sz w:val="24"/>
                  </w:rPr>
                  <w:t>车总质量（</w:t>
                </w:r>
                <w:r>
                  <w:rPr>
                    <w:rFonts w:ascii="宋体" w:hAnsi="宋体" w:hint="eastAsia"/>
                    <w:sz w:val="24"/>
                  </w:rPr>
                  <w:t>kg</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8280</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r>
                  <w:rPr>
                    <w:rFonts w:ascii="Arial" w:hAnsi="Arial" w:cs="Arial"/>
                    <w:sz w:val="24"/>
                    <w:szCs w:val="24"/>
                  </w:rPr>
                  <w:t>▲</w:t>
                </w:r>
              </w:p>
            </w:tc>
            <w:tc>
              <w:tcPr>
                <w:tcW w:w="4005" w:type="dxa"/>
              </w:tcPr>
              <w:p w:rsidR="002F0041" w:rsidRDefault="00F561CB" w:rsidP="00AF261D">
                <w:pPr>
                  <w:jc w:val="left"/>
                  <w:rPr>
                    <w:rFonts w:ascii="宋体" w:hAnsi="宋体"/>
                    <w:sz w:val="24"/>
                  </w:rPr>
                </w:pPr>
                <w:r>
                  <w:rPr>
                    <w:rFonts w:ascii="宋体" w:hAnsi="宋体" w:hint="eastAsia"/>
                    <w:sz w:val="24"/>
                  </w:rPr>
                  <w:t>整备质量（</w:t>
                </w:r>
                <w:r>
                  <w:rPr>
                    <w:rFonts w:ascii="宋体" w:hAnsi="宋体" w:hint="eastAsia"/>
                    <w:sz w:val="24"/>
                  </w:rPr>
                  <w:t>kg</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6245</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装载质量（</w:t>
                </w:r>
                <w:r>
                  <w:rPr>
                    <w:rFonts w:ascii="宋体" w:hAnsi="宋体" w:hint="eastAsia"/>
                    <w:sz w:val="24"/>
                  </w:rPr>
                  <w:t>kg</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1830</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最高车速</w:t>
                </w:r>
                <w:r>
                  <w:rPr>
                    <w:rFonts w:ascii="宋体" w:hAnsi="宋体" w:hint="eastAsia"/>
                    <w:sz w:val="24"/>
                  </w:rPr>
                  <w:t>(Km/h)</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100</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接近角</w:t>
                </w:r>
                <w:r>
                  <w:rPr>
                    <w:rFonts w:ascii="宋体" w:hAnsi="宋体" w:hint="eastAsia"/>
                    <w:sz w:val="24"/>
                  </w:rPr>
                  <w:t>/</w:t>
                </w:r>
                <w:r>
                  <w:rPr>
                    <w:rFonts w:ascii="宋体" w:hAnsi="宋体" w:hint="eastAsia"/>
                    <w:sz w:val="24"/>
                  </w:rPr>
                  <w:t>离去角（°）</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25/17</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前</w:t>
                </w:r>
                <w:r>
                  <w:rPr>
                    <w:rFonts w:ascii="宋体" w:hAnsi="宋体" w:hint="eastAsia"/>
                    <w:sz w:val="24"/>
                  </w:rPr>
                  <w:t>/</w:t>
                </w:r>
                <w:r>
                  <w:rPr>
                    <w:rFonts w:ascii="宋体" w:hAnsi="宋体" w:hint="eastAsia"/>
                    <w:sz w:val="24"/>
                  </w:rPr>
                  <w:t>后悬</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1050/2172</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r>
                  <w:rPr>
                    <w:rFonts w:ascii="Arial" w:hAnsi="Arial" w:cs="Arial"/>
                    <w:sz w:val="24"/>
                    <w:szCs w:val="24"/>
                  </w:rPr>
                  <w:t>▲</w:t>
                </w:r>
              </w:p>
            </w:tc>
            <w:tc>
              <w:tcPr>
                <w:tcW w:w="4005" w:type="dxa"/>
              </w:tcPr>
              <w:p w:rsidR="002F0041" w:rsidRDefault="00F561CB" w:rsidP="00AF261D">
                <w:pPr>
                  <w:jc w:val="left"/>
                  <w:rPr>
                    <w:rFonts w:ascii="宋体" w:hAnsi="宋体"/>
                    <w:sz w:val="24"/>
                  </w:rPr>
                </w:pPr>
                <w:r>
                  <w:rPr>
                    <w:rFonts w:ascii="宋体" w:hAnsi="宋体" w:hint="eastAsia"/>
                    <w:sz w:val="24"/>
                  </w:rPr>
                  <w:t>燃油种类</w:t>
                </w:r>
              </w:p>
            </w:tc>
            <w:tc>
              <w:tcPr>
                <w:tcW w:w="3533" w:type="dxa"/>
              </w:tcPr>
              <w:p w:rsidR="002F0041" w:rsidRDefault="00F561CB" w:rsidP="00AF261D">
                <w:pPr>
                  <w:jc w:val="left"/>
                  <w:rPr>
                    <w:rFonts w:ascii="宋体" w:hAnsi="宋体"/>
                    <w:sz w:val="24"/>
                  </w:rPr>
                </w:pPr>
                <w:r>
                  <w:rPr>
                    <w:rFonts w:ascii="宋体" w:hAnsi="宋体" w:hint="eastAsia"/>
                    <w:sz w:val="24"/>
                  </w:rPr>
                  <w:t>柴油</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轮胎规格</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7.50R16LT 14PR</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前</w:t>
                </w:r>
                <w:r>
                  <w:rPr>
                    <w:rFonts w:ascii="宋体" w:hAnsi="宋体" w:hint="eastAsia"/>
                    <w:sz w:val="24"/>
                  </w:rPr>
                  <w:t>/</w:t>
                </w:r>
                <w:r>
                  <w:rPr>
                    <w:rFonts w:ascii="宋体" w:hAnsi="宋体" w:hint="eastAsia"/>
                    <w:sz w:val="24"/>
                  </w:rPr>
                  <w:t>后污水箱</w:t>
                </w:r>
                <w:r>
                  <w:rPr>
                    <w:rFonts w:ascii="宋体" w:hAnsi="宋体" w:hint="eastAsia"/>
                    <w:sz w:val="24"/>
                  </w:rPr>
                  <w:t xml:space="preserve"> </w:t>
                </w:r>
                <w:r>
                  <w:rPr>
                    <w:rFonts w:ascii="宋体" w:hAnsi="宋体" w:hint="eastAsia"/>
                    <w:sz w:val="24"/>
                  </w:rPr>
                  <w:t>（</w:t>
                </w:r>
                <w:r>
                  <w:rPr>
                    <w:rFonts w:ascii="宋体" w:hAnsi="宋体" w:hint="eastAsia"/>
                    <w:sz w:val="24"/>
                  </w:rPr>
                  <w:t>L</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80/220</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液压系统额定压力（</w:t>
                </w:r>
                <w:r>
                  <w:rPr>
                    <w:rFonts w:ascii="宋体" w:hAnsi="宋体" w:hint="eastAsia"/>
                    <w:sz w:val="24"/>
                  </w:rPr>
                  <w:t>MPa</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18</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滤油器精度（μ</w:t>
                </w:r>
                <w:r>
                  <w:rPr>
                    <w:rFonts w:ascii="宋体" w:hAnsi="宋体"/>
                    <w:sz w:val="24"/>
                  </w:rPr>
                  <w:t>M</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25</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液压油箱容积（</w:t>
                </w:r>
                <w:r>
                  <w:rPr>
                    <w:rFonts w:ascii="宋体" w:hAnsi="宋体" w:hint="eastAsia"/>
                    <w:sz w:val="24"/>
                  </w:rPr>
                  <w:t>L</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100</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系统压力（</w:t>
                </w:r>
                <w:r>
                  <w:rPr>
                    <w:rFonts w:ascii="宋体" w:hAnsi="宋体" w:hint="eastAsia"/>
                    <w:sz w:val="24"/>
                  </w:rPr>
                  <w:t>MPa</w:t>
                </w:r>
                <w:r>
                  <w:rPr>
                    <w:rFonts w:ascii="宋体" w:hAnsi="宋体" w:hint="eastAsia"/>
                    <w:sz w:val="24"/>
                  </w:rPr>
                  <w:t>）</w:t>
                </w:r>
              </w:p>
            </w:tc>
            <w:tc>
              <w:tcPr>
                <w:tcW w:w="3533" w:type="dxa"/>
              </w:tcPr>
              <w:p w:rsidR="002F0041" w:rsidRDefault="00F561CB" w:rsidP="00AF261D">
                <w:pPr>
                  <w:jc w:val="left"/>
                  <w:rPr>
                    <w:rFonts w:ascii="宋体" w:hAnsi="宋体"/>
                    <w:sz w:val="24"/>
                  </w:rPr>
                </w:pPr>
                <w:r>
                  <w:rPr>
                    <w:rFonts w:ascii="宋体" w:hAnsi="宋体" w:hint="eastAsia"/>
                    <w:sz w:val="24"/>
                  </w:rPr>
                  <w:t>≥</w:t>
                </w:r>
                <w:r>
                  <w:rPr>
                    <w:rFonts w:ascii="宋体" w:hAnsi="宋体" w:hint="eastAsia"/>
                    <w:sz w:val="24"/>
                  </w:rPr>
                  <w:t>18</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电源电压</w:t>
                </w:r>
                <w:r>
                  <w:rPr>
                    <w:rFonts w:ascii="宋体" w:hAnsi="宋体" w:hint="eastAsia"/>
                    <w:sz w:val="24"/>
                  </w:rPr>
                  <w:t>(V)</w:t>
                </w:r>
              </w:p>
            </w:tc>
            <w:tc>
              <w:tcPr>
                <w:tcW w:w="3533" w:type="dxa"/>
              </w:tcPr>
              <w:p w:rsidR="002F0041" w:rsidRDefault="00F561CB" w:rsidP="00AF261D">
                <w:pPr>
                  <w:jc w:val="left"/>
                  <w:rPr>
                    <w:rFonts w:ascii="宋体" w:hAnsi="宋体"/>
                    <w:sz w:val="24"/>
                  </w:rPr>
                </w:pPr>
                <w:r>
                  <w:rPr>
                    <w:rFonts w:ascii="宋体" w:hAnsi="宋体" w:hint="eastAsia"/>
                    <w:sz w:val="24"/>
                  </w:rPr>
                  <w:t>直流</w:t>
                </w:r>
                <w:r>
                  <w:rPr>
                    <w:rFonts w:ascii="宋体" w:hAnsi="宋体" w:hint="eastAsia"/>
                    <w:sz w:val="24"/>
                  </w:rPr>
                  <w:t>24</w:t>
                </w:r>
              </w:p>
            </w:tc>
          </w:tr>
          <w:tr w:rsidR="002F0041" w:rsidTr="00AF261D">
            <w:trPr>
              <w:trHeight w:val="363"/>
            </w:trPr>
            <w:tc>
              <w:tcPr>
                <w:tcW w:w="881" w:type="dxa"/>
              </w:tcPr>
              <w:p w:rsidR="002F0041" w:rsidRDefault="00F561CB" w:rsidP="002F0041">
                <w:pPr>
                  <w:pStyle w:val="af1"/>
                  <w:numPr>
                    <w:ilvl w:val="0"/>
                    <w:numId w:val="14"/>
                  </w:numPr>
                  <w:ind w:firstLineChars="0"/>
                  <w:jc w:val="left"/>
                  <w:rPr>
                    <w:rFonts w:ascii="宋体" w:hAnsi="宋体"/>
                    <w:sz w:val="24"/>
                    <w:szCs w:val="24"/>
                  </w:rPr>
                </w:pPr>
              </w:p>
            </w:tc>
            <w:tc>
              <w:tcPr>
                <w:tcW w:w="4005" w:type="dxa"/>
              </w:tcPr>
              <w:p w:rsidR="002F0041" w:rsidRDefault="00F561CB" w:rsidP="00AF261D">
                <w:pPr>
                  <w:jc w:val="left"/>
                  <w:rPr>
                    <w:rFonts w:ascii="宋体" w:hAnsi="宋体"/>
                    <w:sz w:val="24"/>
                  </w:rPr>
                </w:pPr>
                <w:r>
                  <w:rPr>
                    <w:rFonts w:ascii="宋体" w:hAnsi="宋体" w:hint="eastAsia"/>
                    <w:sz w:val="24"/>
                  </w:rPr>
                  <w:t>作业方式</w:t>
                </w:r>
                <w:r>
                  <w:rPr>
                    <w:rFonts w:ascii="宋体" w:hAnsi="宋体" w:hint="eastAsia"/>
                    <w:sz w:val="24"/>
                  </w:rPr>
                  <w:tab/>
                </w:r>
              </w:p>
            </w:tc>
            <w:tc>
              <w:tcPr>
                <w:tcW w:w="3533" w:type="dxa"/>
              </w:tcPr>
              <w:p w:rsidR="002F0041" w:rsidRDefault="00F561CB" w:rsidP="00AF261D">
                <w:pPr>
                  <w:jc w:val="left"/>
                  <w:rPr>
                    <w:rFonts w:ascii="宋体" w:hAnsi="宋体"/>
                    <w:sz w:val="24"/>
                  </w:rPr>
                </w:pPr>
                <w:r>
                  <w:rPr>
                    <w:rFonts w:ascii="宋体" w:hAnsi="宋体" w:hint="eastAsia"/>
                    <w:sz w:val="24"/>
                  </w:rPr>
                  <w:t>手动、电动两种作业方式</w:t>
                </w:r>
              </w:p>
            </w:tc>
          </w:tr>
        </w:tbl>
        <w:p w:rsidR="002F0041" w:rsidRPr="00C67A41" w:rsidRDefault="00F561CB" w:rsidP="002F0041">
          <w:pPr>
            <w:widowControl/>
            <w:shd w:val="clear" w:color="auto" w:fill="FFFFFF"/>
            <w:spacing w:before="100" w:beforeAutospacing="1" w:after="100" w:afterAutospacing="1" w:line="500" w:lineRule="atLeast"/>
            <w:ind w:firstLine="435"/>
            <w:jc w:val="left"/>
            <w:rPr>
              <w:rFonts w:ascii="宋体" w:hAnsi="宋体" w:cs="宋体"/>
              <w:color w:val="000000"/>
              <w:kern w:val="0"/>
              <w:sz w:val="30"/>
              <w:szCs w:val="30"/>
            </w:rPr>
          </w:pPr>
          <w:r w:rsidRPr="00C67A41">
            <w:rPr>
              <w:rFonts w:ascii="宋体" w:hAnsi="宋体" w:cs="宋体" w:hint="eastAsia"/>
              <w:color w:val="000000"/>
              <w:kern w:val="0"/>
              <w:sz w:val="30"/>
              <w:szCs w:val="30"/>
            </w:rPr>
            <w:t>27</w:t>
          </w:r>
          <w:r w:rsidRPr="00C67A41">
            <w:rPr>
              <w:rFonts w:ascii="宋体" w:hAnsi="宋体" w:cs="宋体" w:hint="eastAsia"/>
              <w:color w:val="000000"/>
              <w:kern w:val="0"/>
              <w:sz w:val="30"/>
              <w:szCs w:val="30"/>
            </w:rPr>
            <w:t>、交货日期：合同签订后</w:t>
          </w:r>
          <w:r>
            <w:rPr>
              <w:rFonts w:ascii="宋体" w:hAnsi="宋体" w:cs="宋体" w:hint="eastAsia"/>
              <w:color w:val="000000"/>
              <w:kern w:val="0"/>
              <w:sz w:val="30"/>
              <w:szCs w:val="30"/>
            </w:rPr>
            <w:t>20</w:t>
          </w:r>
          <w:r w:rsidRPr="00C67A41">
            <w:rPr>
              <w:rFonts w:ascii="宋体" w:hAnsi="宋体" w:cs="宋体" w:hint="eastAsia"/>
              <w:color w:val="000000"/>
              <w:kern w:val="0"/>
              <w:sz w:val="30"/>
              <w:szCs w:val="30"/>
            </w:rPr>
            <w:t>个工作日内。</w:t>
          </w:r>
        </w:p>
        <w:p w:rsidR="002F0041" w:rsidRPr="00C67A41" w:rsidRDefault="00F561CB" w:rsidP="002F0041">
          <w:pPr>
            <w:widowControl/>
            <w:shd w:val="clear" w:color="auto" w:fill="FFFFFF"/>
            <w:spacing w:before="100" w:beforeAutospacing="1" w:after="100" w:afterAutospacing="1" w:line="500" w:lineRule="atLeast"/>
            <w:ind w:firstLine="435"/>
            <w:jc w:val="left"/>
            <w:rPr>
              <w:rFonts w:ascii="宋体" w:hAnsi="宋体" w:cs="宋体"/>
              <w:color w:val="000000"/>
              <w:kern w:val="0"/>
              <w:sz w:val="30"/>
              <w:szCs w:val="30"/>
            </w:rPr>
          </w:pPr>
          <w:r w:rsidRPr="00C67A41">
            <w:rPr>
              <w:rFonts w:ascii="宋体" w:hAnsi="宋体" w:cs="宋体" w:hint="eastAsia"/>
              <w:color w:val="000000"/>
              <w:kern w:val="0"/>
              <w:sz w:val="30"/>
              <w:szCs w:val="30"/>
            </w:rPr>
            <w:t>28</w:t>
          </w:r>
          <w:r w:rsidRPr="00C67A41">
            <w:rPr>
              <w:rFonts w:ascii="宋体" w:hAnsi="宋体" w:cs="宋体" w:hint="eastAsia"/>
              <w:color w:val="000000"/>
              <w:kern w:val="0"/>
              <w:sz w:val="30"/>
              <w:szCs w:val="30"/>
            </w:rPr>
            <w:t>、交货地点：盖州市环境卫生服务中心</w:t>
          </w:r>
        </w:p>
        <w:p w:rsidR="002F0041" w:rsidRPr="00C67A41" w:rsidRDefault="00F561CB" w:rsidP="002F0041">
          <w:pPr>
            <w:widowControl/>
            <w:shd w:val="clear" w:color="auto" w:fill="FFFFFF"/>
            <w:spacing w:before="100" w:beforeAutospacing="1" w:after="100" w:afterAutospacing="1" w:line="500" w:lineRule="atLeast"/>
            <w:ind w:firstLine="435"/>
            <w:jc w:val="left"/>
            <w:rPr>
              <w:rFonts w:ascii="宋体" w:hAnsi="宋体" w:cs="宋体"/>
              <w:color w:val="000000"/>
              <w:kern w:val="0"/>
              <w:sz w:val="30"/>
              <w:szCs w:val="30"/>
            </w:rPr>
          </w:pPr>
          <w:r w:rsidRPr="00C67A41">
            <w:rPr>
              <w:rFonts w:ascii="宋体" w:hAnsi="宋体" w:cs="宋体" w:hint="eastAsia"/>
              <w:color w:val="000000"/>
              <w:kern w:val="0"/>
              <w:sz w:val="30"/>
              <w:szCs w:val="30"/>
            </w:rPr>
            <w:t>29</w:t>
          </w:r>
          <w:r w:rsidRPr="00C67A41">
            <w:rPr>
              <w:rFonts w:ascii="宋体" w:hAnsi="宋体" w:cs="宋体" w:hint="eastAsia"/>
              <w:color w:val="000000"/>
              <w:kern w:val="0"/>
              <w:sz w:val="30"/>
              <w:szCs w:val="30"/>
            </w:rPr>
            <w:t>、付款方式：</w:t>
          </w:r>
          <w:r>
            <w:rPr>
              <w:rFonts w:ascii="宋体" w:hAnsi="宋体" w:cs="宋体" w:hint="eastAsia"/>
              <w:color w:val="000000"/>
              <w:kern w:val="0"/>
              <w:sz w:val="30"/>
              <w:szCs w:val="30"/>
            </w:rPr>
            <w:t>车辆验收合格、财政拨款后</w:t>
          </w:r>
          <w:proofErr w:type="gramStart"/>
          <w:r>
            <w:rPr>
              <w:rFonts w:ascii="宋体" w:hAnsi="宋体" w:cs="宋体" w:hint="eastAsia"/>
              <w:color w:val="000000"/>
              <w:kern w:val="0"/>
              <w:sz w:val="30"/>
              <w:szCs w:val="30"/>
            </w:rPr>
            <w:t>付合同</w:t>
          </w:r>
          <w:proofErr w:type="gramEnd"/>
          <w:r>
            <w:rPr>
              <w:rFonts w:ascii="宋体" w:hAnsi="宋体" w:cs="宋体" w:hint="eastAsia"/>
              <w:color w:val="000000"/>
              <w:kern w:val="0"/>
              <w:sz w:val="30"/>
              <w:szCs w:val="30"/>
            </w:rPr>
            <w:t>总金额的</w:t>
          </w:r>
          <w:r>
            <w:rPr>
              <w:rFonts w:ascii="宋体" w:hAnsi="宋体" w:cs="宋体" w:hint="eastAsia"/>
              <w:color w:val="000000"/>
              <w:kern w:val="0"/>
              <w:sz w:val="30"/>
              <w:szCs w:val="30"/>
            </w:rPr>
            <w:t>95%</w:t>
          </w:r>
          <w:r>
            <w:rPr>
              <w:rFonts w:ascii="宋体" w:hAnsi="宋体" w:cs="宋体" w:hint="eastAsia"/>
              <w:color w:val="000000"/>
              <w:kern w:val="0"/>
              <w:sz w:val="30"/>
              <w:szCs w:val="30"/>
            </w:rPr>
            <w:t>，剩余</w:t>
          </w:r>
          <w:r>
            <w:rPr>
              <w:rFonts w:ascii="宋体" w:hAnsi="宋体" w:cs="宋体" w:hint="eastAsia"/>
              <w:color w:val="000000"/>
              <w:kern w:val="0"/>
              <w:sz w:val="30"/>
              <w:szCs w:val="30"/>
            </w:rPr>
            <w:t>5%</w:t>
          </w:r>
          <w:r>
            <w:rPr>
              <w:rFonts w:ascii="宋体" w:hAnsi="宋体" w:cs="宋体" w:hint="eastAsia"/>
              <w:color w:val="000000"/>
              <w:kern w:val="0"/>
              <w:sz w:val="30"/>
              <w:szCs w:val="30"/>
            </w:rPr>
            <w:t>作为质保金，</w:t>
          </w:r>
          <w:proofErr w:type="gramStart"/>
          <w:r>
            <w:rPr>
              <w:rFonts w:ascii="宋体" w:hAnsi="宋体" w:cs="宋体" w:hint="eastAsia"/>
              <w:color w:val="000000"/>
              <w:kern w:val="0"/>
              <w:sz w:val="30"/>
              <w:szCs w:val="30"/>
            </w:rPr>
            <w:t>待质保期</w:t>
          </w:r>
          <w:proofErr w:type="gramEnd"/>
          <w:r>
            <w:rPr>
              <w:rFonts w:ascii="宋体" w:hAnsi="宋体" w:cs="宋体" w:hint="eastAsia"/>
              <w:color w:val="000000"/>
              <w:kern w:val="0"/>
              <w:sz w:val="30"/>
              <w:szCs w:val="30"/>
            </w:rPr>
            <w:t>结束后</w:t>
          </w:r>
          <w:r>
            <w:rPr>
              <w:rFonts w:ascii="宋体" w:hAnsi="宋体" w:cs="宋体" w:hint="eastAsia"/>
              <w:color w:val="000000"/>
              <w:kern w:val="0"/>
              <w:sz w:val="30"/>
              <w:szCs w:val="30"/>
            </w:rPr>
            <w:t>5</w:t>
          </w:r>
          <w:r>
            <w:rPr>
              <w:rFonts w:ascii="宋体" w:hAnsi="宋体" w:cs="宋体" w:hint="eastAsia"/>
              <w:color w:val="000000"/>
              <w:kern w:val="0"/>
              <w:sz w:val="30"/>
              <w:szCs w:val="30"/>
            </w:rPr>
            <w:t>个工作日内无息返还。</w:t>
          </w:r>
        </w:p>
        <w:p w:rsidR="002F0041" w:rsidRPr="00C67A41" w:rsidRDefault="00F561CB" w:rsidP="002F0041">
          <w:pPr>
            <w:widowControl/>
            <w:shd w:val="clear" w:color="auto" w:fill="FFFFFF"/>
            <w:spacing w:before="100" w:beforeAutospacing="1" w:after="100" w:afterAutospacing="1" w:line="500" w:lineRule="atLeast"/>
            <w:ind w:firstLine="435"/>
            <w:jc w:val="left"/>
            <w:rPr>
              <w:rFonts w:ascii="宋体" w:hAnsi="宋体" w:cs="宋体"/>
              <w:color w:val="000000"/>
              <w:kern w:val="0"/>
              <w:sz w:val="30"/>
              <w:szCs w:val="30"/>
            </w:rPr>
          </w:pPr>
          <w:r w:rsidRPr="00C67A41">
            <w:rPr>
              <w:rFonts w:ascii="宋体" w:hAnsi="宋体" w:cs="宋体" w:hint="eastAsia"/>
              <w:color w:val="000000"/>
              <w:kern w:val="0"/>
              <w:sz w:val="30"/>
              <w:szCs w:val="30"/>
            </w:rPr>
            <w:t>30</w:t>
          </w:r>
          <w:r w:rsidRPr="00C67A41">
            <w:rPr>
              <w:rFonts w:ascii="宋体" w:hAnsi="宋体" w:cs="宋体" w:hint="eastAsia"/>
              <w:color w:val="000000"/>
              <w:kern w:val="0"/>
              <w:sz w:val="30"/>
              <w:szCs w:val="30"/>
            </w:rPr>
            <w:t>、保修期：</w:t>
          </w:r>
          <w:r>
            <w:rPr>
              <w:rFonts w:ascii="宋体" w:hAnsi="宋体" w:cs="宋体" w:hint="eastAsia"/>
              <w:color w:val="000000"/>
              <w:kern w:val="0"/>
              <w:sz w:val="30"/>
              <w:szCs w:val="30"/>
            </w:rPr>
            <w:t>1</w:t>
          </w:r>
          <w:r w:rsidRPr="00C67A41">
            <w:rPr>
              <w:rFonts w:ascii="宋体" w:hAnsi="宋体" w:cs="宋体" w:hint="eastAsia"/>
              <w:color w:val="000000"/>
              <w:kern w:val="0"/>
              <w:sz w:val="30"/>
              <w:szCs w:val="30"/>
            </w:rPr>
            <w:t>年，维修响应时间：</w:t>
          </w:r>
          <w:r w:rsidRPr="00C67A41">
            <w:rPr>
              <w:rFonts w:ascii="宋体" w:hAnsi="宋体" w:cs="宋体" w:hint="eastAsia"/>
              <w:color w:val="000000"/>
              <w:kern w:val="0"/>
              <w:sz w:val="30"/>
              <w:szCs w:val="30"/>
            </w:rPr>
            <w:t>2</w:t>
          </w:r>
          <w:r w:rsidRPr="00C67A41">
            <w:rPr>
              <w:rFonts w:ascii="宋体" w:hAnsi="宋体" w:cs="宋体" w:hint="eastAsia"/>
              <w:color w:val="000000"/>
              <w:kern w:val="0"/>
              <w:sz w:val="30"/>
              <w:szCs w:val="30"/>
            </w:rPr>
            <w:t>小时内到达。</w:t>
          </w:r>
        </w:p>
        <w:p w:rsidR="0090203E" w:rsidRDefault="00F561CB"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b4dcc96b14584a4e"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b4dcc96b14584a4e"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GZC2021-009</vt:lpwstr>
  </property>
</Properties>
</file>