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警戒潮位现场标志物设置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YKSGZC2020021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营口市自然资源事务中心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rPr>
        <w:alias w:val="项目详细需求"/>
        <w:tag w:val="项目详细需求"/>
        <w:id w:val="-1361739487"/>
        <w:lock w:val="sdtLocked"/>
      </w:sdtPr>
      <w:sdtEndPr xmlns:w="http://schemas.openxmlformats.org/wordprocessingml/2006/main"/>
      <w:sdtContent xmlns:w="http://schemas.openxmlformats.org/wordprocessingml/2006/main">
        <w:p w:rsidR="00852839" w:rsidRDefault="00852839" w:rsidP="00852839">
          <w:pPr>
            <w:jc w:val="center"/>
            <w:rPr>
              <w:rFonts w:asciiTheme="minorEastAsia" w:hAnsiTheme="minorEastAsia"/>
              <w:b/>
              <w:sz w:val="44"/>
              <w:szCs w:val="44"/>
            </w:rPr>
          </w:pPr>
          <w:r>
            <w:rPr>
              <w:rFonts w:asciiTheme="minorEastAsia" w:hAnsiTheme="minorEastAsia" w:hint="eastAsia"/>
              <w:b/>
              <w:sz w:val="44"/>
              <w:szCs w:val="44"/>
            </w:rPr>
            <w:t>采购需求清单（服务类）</w:t>
          </w:r>
        </w:p>
        <w:p w:rsidR="00852839" w:rsidRDefault="00852839" w:rsidP="00852839">
          <w:pPr>
            <w:ind w:firstLineChars="200" w:firstLine="640"/>
            <w:rPr>
              <w:rFonts w:ascii="仿宋" w:hAnsi="仿宋"/>
              <w:sz w:val="32"/>
              <w:szCs w:val="32"/>
            </w:rPr>
          </w:pPr>
          <w:r>
            <w:rPr>
              <w:rFonts w:ascii="仿宋" w:hAnsi="仿宋" w:hint="eastAsia"/>
              <w:sz w:val="32"/>
              <w:szCs w:val="32"/>
            </w:rPr>
            <w:t>采购人应对服务提出详细的内容、标准及相关要求。</w:t>
          </w:r>
        </w:p>
        <w:p w:rsidR="00852839" w:rsidRDefault="00852839" w:rsidP="00852839">
          <w:pPr>
            <w:ind w:firstLineChars="200" w:firstLine="640"/>
            <w:rPr>
              <w:rFonts w:ascii="仿宋" w:hAnsi="仿宋"/>
              <w:sz w:val="32"/>
              <w:szCs w:val="32"/>
            </w:rPr>
          </w:pPr>
          <w:r>
            <w:rPr>
              <w:rFonts w:ascii="仿宋" w:hAnsi="仿宋" w:hint="eastAsia"/>
              <w:sz w:val="32"/>
              <w:szCs w:val="32"/>
            </w:rPr>
            <w:t>本部分一般应包含但不限于如下主要内容：</w:t>
          </w:r>
        </w:p>
        <w:p w:rsidR="00852839" w:rsidRDefault="00852839" w:rsidP="00852839">
          <w:pPr>
            <w:numPr>
              <w:ilvl w:val="0"/>
              <w:numId w:val="46"/>
            </w:numPr>
            <w:spacing w:line="240" w:lineRule="auto"/>
            <w:ind w:firstLineChars="200" w:firstLine="640"/>
            <w:rPr>
              <w:rFonts w:ascii="仿宋" w:hAnsi="仿宋"/>
              <w:sz w:val="32"/>
              <w:szCs w:val="32"/>
            </w:rPr>
          </w:pPr>
          <w:r>
            <w:rPr>
              <w:rFonts w:ascii="仿宋" w:hAnsi="仿宋" w:hint="eastAsia"/>
              <w:sz w:val="32"/>
              <w:szCs w:val="32"/>
            </w:rPr>
            <w:t>履约期限及履约地点</w:t>
          </w:r>
        </w:p>
        <w:p w:rsidR="00852839" w:rsidRDefault="00852839" w:rsidP="00852839">
          <w:pPr>
            <w:rPr>
              <w:rFonts w:ascii="仿宋" w:hAnsi="仿宋"/>
              <w:sz w:val="32"/>
              <w:szCs w:val="32"/>
            </w:rPr>
          </w:pPr>
          <w:r>
            <w:rPr>
              <w:rFonts w:ascii="仿宋" w:hAnsi="仿宋" w:hint="eastAsia"/>
              <w:sz w:val="32"/>
              <w:szCs w:val="32"/>
            </w:rPr>
            <w:t xml:space="preserve">    履约期限：开工之日起6个月内完成。履约地点：营口市范围内海域附近。</w:t>
          </w:r>
        </w:p>
        <w:p w:rsidR="00852839" w:rsidRDefault="00852839" w:rsidP="00852839">
          <w:pPr>
            <w:numPr>
              <w:ilvl w:val="0"/>
              <w:numId w:val="46"/>
            </w:numPr>
            <w:spacing w:line="240" w:lineRule="auto"/>
            <w:ind w:firstLineChars="200" w:firstLine="640"/>
            <w:rPr>
              <w:rFonts w:ascii="仿宋" w:hAnsi="仿宋"/>
              <w:sz w:val="32"/>
              <w:szCs w:val="32"/>
            </w:rPr>
          </w:pPr>
          <w:r>
            <w:rPr>
              <w:rFonts w:ascii="仿宋" w:hAnsi="仿宋" w:hint="eastAsia"/>
              <w:sz w:val="32"/>
              <w:szCs w:val="32"/>
            </w:rPr>
            <w:t>付款方式</w:t>
          </w:r>
        </w:p>
        <w:p w:rsidR="00852839" w:rsidRDefault="00852839" w:rsidP="00852839">
          <w:pPr>
            <w:rPr>
              <w:rFonts w:ascii="仿宋" w:hAnsi="仿宋"/>
              <w:sz w:val="32"/>
              <w:szCs w:val="32"/>
            </w:rPr>
          </w:pPr>
          <w:r>
            <w:rPr>
              <w:rFonts w:ascii="仿宋" w:hAnsi="仿宋" w:hint="eastAsia"/>
              <w:sz w:val="32"/>
              <w:szCs w:val="32"/>
            </w:rPr>
            <w:t xml:space="preserve">    签订合同15日内</w:t>
          </w:r>
          <w:proofErr w:type="gramStart"/>
          <w:r>
            <w:rPr>
              <w:rFonts w:ascii="仿宋" w:hAnsi="仿宋" w:hint="eastAsia"/>
              <w:sz w:val="32"/>
              <w:szCs w:val="32"/>
            </w:rPr>
            <w:t>付项目</w:t>
          </w:r>
          <w:proofErr w:type="gramEnd"/>
          <w:r>
            <w:rPr>
              <w:rFonts w:ascii="仿宋" w:hAnsi="仿宋" w:hint="eastAsia"/>
              <w:sz w:val="32"/>
              <w:szCs w:val="32"/>
            </w:rPr>
            <w:t>总金额的50%，开工15日内</w:t>
          </w:r>
          <w:proofErr w:type="gramStart"/>
          <w:r>
            <w:rPr>
              <w:rFonts w:ascii="仿宋" w:hAnsi="仿宋" w:hint="eastAsia"/>
              <w:sz w:val="32"/>
              <w:szCs w:val="32"/>
            </w:rPr>
            <w:t>付项目</w:t>
          </w:r>
          <w:proofErr w:type="gramEnd"/>
          <w:r>
            <w:rPr>
              <w:rFonts w:ascii="仿宋" w:hAnsi="仿宋" w:hint="eastAsia"/>
              <w:sz w:val="32"/>
              <w:szCs w:val="32"/>
            </w:rPr>
            <w:t>总金额20%，项目完成验收合格后</w:t>
          </w:r>
          <w:proofErr w:type="gramStart"/>
          <w:r>
            <w:rPr>
              <w:rFonts w:ascii="仿宋" w:hAnsi="仿宋" w:hint="eastAsia"/>
              <w:sz w:val="32"/>
              <w:szCs w:val="32"/>
            </w:rPr>
            <w:t>付项目</w:t>
          </w:r>
          <w:proofErr w:type="gramEnd"/>
          <w:r>
            <w:rPr>
              <w:rFonts w:ascii="仿宋" w:hAnsi="仿宋" w:hint="eastAsia"/>
              <w:sz w:val="32"/>
              <w:szCs w:val="32"/>
            </w:rPr>
            <w:t>总金额的30%。</w:t>
          </w:r>
        </w:p>
        <w:p w:rsidR="00852839" w:rsidRDefault="00852839" w:rsidP="00852839">
          <w:pPr>
            <w:numPr>
              <w:ilvl w:val="0"/>
              <w:numId w:val="46"/>
            </w:numPr>
            <w:spacing w:line="240" w:lineRule="auto"/>
            <w:ind w:firstLineChars="200" w:firstLine="640"/>
            <w:rPr>
              <w:rFonts w:ascii="仿宋" w:hAnsi="仿宋"/>
              <w:sz w:val="32"/>
              <w:szCs w:val="32"/>
            </w:rPr>
          </w:pPr>
          <w:r>
            <w:rPr>
              <w:rFonts w:ascii="仿宋" w:hAnsi="仿宋" w:hint="eastAsia"/>
              <w:sz w:val="32"/>
              <w:szCs w:val="32"/>
            </w:rPr>
            <w:t>服务内容，包括数量、需实现的功能或者目标，以及为落实政府采购政策需满足的要求</w:t>
          </w:r>
        </w:p>
        <w:p w:rsidR="00852839" w:rsidRDefault="00852839" w:rsidP="00852839">
          <w:pPr>
            <w:ind w:firstLineChars="200" w:firstLine="640"/>
            <w:rPr>
              <w:rFonts w:ascii="仿宋" w:hAnsi="仿宋"/>
              <w:sz w:val="32"/>
              <w:szCs w:val="32"/>
            </w:rPr>
          </w:pPr>
          <w:r>
            <w:rPr>
              <w:rFonts w:ascii="仿宋" w:hAnsi="仿宋" w:hint="eastAsia"/>
              <w:sz w:val="32"/>
              <w:szCs w:val="32"/>
            </w:rPr>
            <w:t>服务内容：标志物布设选址的原则：从核定岸段重要性等级出发，以重要岸段为主，兼顾一般岸段，同时考虑核定岸段范围内行政区域划分、</w:t>
          </w:r>
          <w:proofErr w:type="gramStart"/>
          <w:r>
            <w:rPr>
              <w:rFonts w:ascii="仿宋" w:hAnsi="仿宋" w:hint="eastAsia"/>
              <w:sz w:val="32"/>
              <w:szCs w:val="32"/>
            </w:rPr>
            <w:t>承灾体</w:t>
          </w:r>
          <w:proofErr w:type="gramEnd"/>
          <w:r>
            <w:rPr>
              <w:rFonts w:ascii="仿宋" w:hAnsi="仿宋" w:hint="eastAsia"/>
              <w:sz w:val="32"/>
              <w:szCs w:val="32"/>
            </w:rPr>
            <w:t>现状及未来发展规划，具有一定的前瞻性；尽量布设在人口密集、交通便利沿海醒目位置，适当时可与沿海已建的海洋观测设施相结合。</w:t>
          </w:r>
        </w:p>
        <w:p w:rsidR="00852839" w:rsidRDefault="00852839" w:rsidP="00852839">
          <w:pPr>
            <w:ind w:firstLineChars="200" w:firstLine="640"/>
            <w:rPr>
              <w:rFonts w:ascii="仿宋" w:hAnsi="仿宋"/>
              <w:sz w:val="32"/>
              <w:szCs w:val="32"/>
            </w:rPr>
          </w:pPr>
          <w:r>
            <w:rPr>
              <w:rFonts w:ascii="仿宋" w:hAnsi="仿宋" w:hint="eastAsia"/>
              <w:sz w:val="32"/>
              <w:szCs w:val="32"/>
            </w:rPr>
            <w:t>在鲅鱼圈区的营口港、山海公园浴场和盖州市的白沙湾公园、北海公园、辽河口等5处布设警戒潮位标志物，每个区域设置1个警戒潮位标志物。由供应</w:t>
          </w:r>
          <w:proofErr w:type="gramStart"/>
          <w:r>
            <w:rPr>
              <w:rFonts w:ascii="仿宋" w:hAnsi="仿宋" w:hint="eastAsia"/>
              <w:sz w:val="32"/>
              <w:szCs w:val="32"/>
            </w:rPr>
            <w:t>商现场</w:t>
          </w:r>
          <w:proofErr w:type="gramEnd"/>
          <w:r>
            <w:rPr>
              <w:rFonts w:ascii="仿宋" w:hAnsi="仿宋" w:hint="eastAsia"/>
              <w:sz w:val="32"/>
              <w:szCs w:val="32"/>
            </w:rPr>
            <w:t>踏勘后参照水平高度规划具体位置。</w:t>
          </w:r>
        </w:p>
        <w:p w:rsidR="00852839" w:rsidRDefault="00852839" w:rsidP="00852839">
          <w:pPr>
            <w:numPr>
              <w:ilvl w:val="0"/>
              <w:numId w:val="46"/>
            </w:numPr>
            <w:spacing w:line="240" w:lineRule="auto"/>
            <w:ind w:firstLineChars="200" w:firstLine="640"/>
            <w:rPr>
              <w:rFonts w:ascii="仿宋" w:hAnsi="仿宋"/>
              <w:sz w:val="32"/>
              <w:szCs w:val="32"/>
            </w:rPr>
          </w:pPr>
          <w:r w:rsidRPr="00686F48">
            <w:rPr>
              <w:rFonts w:ascii="仿宋" w:hAnsi="仿宋" w:hint="eastAsia"/>
              <w:color w:val="FF0000"/>
              <w:sz w:val="32"/>
              <w:szCs w:val="32"/>
            </w:rPr>
            <w:lastRenderedPageBreak/>
            <w:t>*</w:t>
          </w:r>
          <w:r>
            <w:rPr>
              <w:rFonts w:ascii="仿宋" w:hAnsi="仿宋" w:hint="eastAsia"/>
              <w:sz w:val="32"/>
              <w:szCs w:val="32"/>
            </w:rPr>
            <w:t>需满足的质量、安全、技术规格等要求</w:t>
          </w:r>
        </w:p>
        <w:p w:rsidR="00852839" w:rsidRDefault="00852839" w:rsidP="00852839">
          <w:pPr>
            <w:ind w:firstLineChars="200" w:firstLine="640"/>
            <w:rPr>
              <w:rFonts w:ascii="仿宋" w:hAnsi="仿宋"/>
              <w:sz w:val="32"/>
              <w:szCs w:val="32"/>
            </w:rPr>
          </w:pPr>
          <w:r>
            <w:rPr>
              <w:rFonts w:ascii="仿宋" w:hAnsi="仿宋" w:hint="eastAsia"/>
              <w:sz w:val="32"/>
              <w:szCs w:val="32"/>
            </w:rPr>
            <w:t>按照国家海洋局《警戒潮位现场标志物设置规范》（以下简称《规范》）开展该项工作。</w:t>
          </w:r>
        </w:p>
        <w:p w:rsidR="00852839" w:rsidRDefault="00852839" w:rsidP="00852839">
          <w:pPr>
            <w:ind w:firstLineChars="200" w:firstLine="640"/>
            <w:rPr>
              <w:rFonts w:ascii="仿宋" w:hAnsi="仿宋"/>
              <w:sz w:val="32"/>
              <w:szCs w:val="32"/>
            </w:rPr>
          </w:pPr>
          <w:r>
            <w:rPr>
              <w:rFonts w:ascii="仿宋" w:hAnsi="仿宋" w:hint="eastAsia"/>
              <w:sz w:val="32"/>
              <w:szCs w:val="32"/>
            </w:rPr>
            <w:t>根据《规范》规定，标志物共分为三种，分别是</w:t>
          </w:r>
          <w:proofErr w:type="gramStart"/>
          <w:r>
            <w:rPr>
              <w:rFonts w:ascii="仿宋" w:hAnsi="仿宋" w:hint="eastAsia"/>
              <w:sz w:val="32"/>
              <w:szCs w:val="32"/>
            </w:rPr>
            <w:t>直涂式</w:t>
          </w:r>
          <w:proofErr w:type="gramEnd"/>
          <w:r>
            <w:rPr>
              <w:rFonts w:ascii="仿宋" w:hAnsi="仿宋" w:hint="eastAsia"/>
              <w:sz w:val="32"/>
              <w:szCs w:val="32"/>
            </w:rPr>
            <w:t>警示柱/牌、直观式警示柱、亮化式警示柱。</w:t>
          </w:r>
        </w:p>
        <w:p w:rsidR="00852839" w:rsidRDefault="00852839" w:rsidP="00852839">
          <w:pPr>
            <w:ind w:firstLineChars="200" w:firstLine="640"/>
            <w:rPr>
              <w:rFonts w:ascii="仿宋" w:hAnsi="仿宋"/>
              <w:sz w:val="32"/>
              <w:szCs w:val="32"/>
            </w:rPr>
          </w:pPr>
          <w:proofErr w:type="gramStart"/>
          <w:r>
            <w:rPr>
              <w:rFonts w:ascii="仿宋" w:hAnsi="仿宋" w:hint="eastAsia"/>
              <w:sz w:val="32"/>
              <w:szCs w:val="32"/>
            </w:rPr>
            <w:t>直涂式</w:t>
          </w:r>
          <w:proofErr w:type="gramEnd"/>
          <w:r>
            <w:rPr>
              <w:rFonts w:ascii="仿宋" w:hAnsi="仿宋" w:hint="eastAsia"/>
              <w:sz w:val="32"/>
              <w:szCs w:val="32"/>
            </w:rPr>
            <w:t>警示柱/牌：针对安装条件较好的点位，表面平整，特点是简明直观、费用低，适合安装在码头、垂直防波堤等处。</w:t>
          </w:r>
        </w:p>
        <w:p w:rsidR="00852839" w:rsidRDefault="00852839" w:rsidP="00852839">
          <w:pPr>
            <w:ind w:firstLineChars="200" w:firstLine="640"/>
            <w:rPr>
              <w:rFonts w:ascii="仿宋" w:hAnsi="仿宋"/>
              <w:sz w:val="32"/>
              <w:szCs w:val="32"/>
            </w:rPr>
          </w:pPr>
          <w:proofErr w:type="gramStart"/>
          <w:r>
            <w:rPr>
              <w:rFonts w:ascii="仿宋" w:hAnsi="仿宋" w:hint="eastAsia"/>
              <w:sz w:val="32"/>
              <w:szCs w:val="32"/>
            </w:rPr>
            <w:t>直涂式</w:t>
          </w:r>
          <w:proofErr w:type="gramEnd"/>
          <w:r>
            <w:rPr>
              <w:rFonts w:ascii="仿宋" w:hAnsi="仿宋" w:hint="eastAsia"/>
              <w:sz w:val="32"/>
              <w:szCs w:val="32"/>
            </w:rPr>
            <w:t>警示柱/牌可采用不锈钢材料或直接在堤坝喷涂</w:t>
          </w:r>
        </w:p>
        <w:p w:rsidR="00852839" w:rsidRDefault="00852839" w:rsidP="00852839">
          <w:pPr>
            <w:ind w:firstLineChars="200" w:firstLine="640"/>
            <w:rPr>
              <w:rFonts w:ascii="仿宋" w:hAnsi="仿宋"/>
              <w:sz w:val="32"/>
              <w:szCs w:val="32"/>
            </w:rPr>
          </w:pPr>
          <w:r>
            <w:rPr>
              <w:rFonts w:ascii="仿宋" w:hAnsi="仿宋" w:hint="eastAsia"/>
              <w:sz w:val="32"/>
              <w:szCs w:val="32"/>
            </w:rPr>
            <w:t>直观式警示柱：为</w:t>
          </w:r>
          <w:bookmarkStart w:id="103" w:name="_Hlk38285862"/>
          <w:r>
            <w:rPr>
              <w:rFonts w:ascii="仿宋" w:hAnsi="仿宋" w:hint="eastAsia"/>
              <w:sz w:val="32"/>
              <w:szCs w:val="32"/>
            </w:rPr>
            <w:t>直径40cm，高400cm</w:t>
          </w:r>
          <w:bookmarkEnd w:id="103"/>
          <w:r>
            <w:rPr>
              <w:rFonts w:ascii="仿宋" w:hAnsi="仿宋" w:hint="eastAsia"/>
              <w:sz w:val="32"/>
              <w:szCs w:val="32"/>
            </w:rPr>
            <w:t>实心圆柱体，主要针对岸上地质基础较好的点位，特点是安装比较困难，费用较高，适合安装在海水浴场等自然岸线的海滩。</w:t>
          </w:r>
        </w:p>
        <w:p w:rsidR="00852839" w:rsidRDefault="00852839" w:rsidP="00852839">
          <w:pPr>
            <w:ind w:firstLineChars="200" w:firstLine="640"/>
            <w:rPr>
              <w:rFonts w:ascii="仿宋" w:hAnsi="仿宋"/>
              <w:sz w:val="32"/>
              <w:szCs w:val="32"/>
            </w:rPr>
          </w:pPr>
          <w:r>
            <w:rPr>
              <w:rFonts w:ascii="仿宋" w:hAnsi="仿宋" w:hint="eastAsia"/>
              <w:sz w:val="32"/>
              <w:szCs w:val="32"/>
            </w:rPr>
            <w:t>直观式</w:t>
          </w:r>
          <w:proofErr w:type="gramStart"/>
          <w:r>
            <w:rPr>
              <w:rFonts w:ascii="仿宋" w:hAnsi="仿宋" w:hint="eastAsia"/>
              <w:sz w:val="32"/>
              <w:szCs w:val="32"/>
            </w:rPr>
            <w:t>警示柱可优先</w:t>
          </w:r>
          <w:proofErr w:type="gramEnd"/>
          <w:r>
            <w:rPr>
              <w:rFonts w:ascii="仿宋" w:hAnsi="仿宋" w:hint="eastAsia"/>
              <w:sz w:val="32"/>
              <w:szCs w:val="32"/>
            </w:rPr>
            <w:t>采用水泥材料制作。</w:t>
          </w:r>
        </w:p>
        <w:p w:rsidR="00852839" w:rsidRDefault="00852839" w:rsidP="00852839">
          <w:pPr>
            <w:ind w:firstLineChars="200" w:firstLine="640"/>
            <w:rPr>
              <w:rFonts w:ascii="仿宋" w:hAnsi="仿宋"/>
              <w:sz w:val="32"/>
              <w:szCs w:val="32"/>
            </w:rPr>
          </w:pPr>
          <w:r>
            <w:rPr>
              <w:rFonts w:ascii="仿宋" w:hAnsi="仿宋" w:hint="eastAsia"/>
              <w:sz w:val="32"/>
              <w:szCs w:val="32"/>
            </w:rPr>
            <w:t>亮化式警示柱：为直径40cm，高450cm空心圆柱体，内部安装浮力开关，顶部安装太阳能发电设施，可根据水位变化而变换颜色，可在夜间发挥警示作用，特点是醒目美观，费用高，适合安装在沿海大型工程目标、人口密集区。</w:t>
          </w:r>
        </w:p>
        <w:p w:rsidR="00852839" w:rsidRDefault="00852839" w:rsidP="00852839">
          <w:pPr>
            <w:ind w:firstLineChars="200" w:firstLine="640"/>
            <w:rPr>
              <w:rFonts w:ascii="仿宋" w:hAnsi="仿宋"/>
              <w:sz w:val="32"/>
              <w:szCs w:val="32"/>
            </w:rPr>
          </w:pPr>
          <w:r>
            <w:rPr>
              <w:rFonts w:ascii="仿宋" w:hAnsi="仿宋" w:hint="eastAsia"/>
              <w:sz w:val="32"/>
              <w:szCs w:val="32"/>
            </w:rPr>
            <w:t>亮化式</w:t>
          </w:r>
          <w:proofErr w:type="gramStart"/>
          <w:r>
            <w:rPr>
              <w:rFonts w:ascii="仿宋" w:hAnsi="仿宋" w:hint="eastAsia"/>
              <w:sz w:val="32"/>
              <w:szCs w:val="32"/>
            </w:rPr>
            <w:t>警示柱可优先</w:t>
          </w:r>
          <w:proofErr w:type="gramEnd"/>
          <w:r>
            <w:rPr>
              <w:rFonts w:ascii="仿宋" w:hAnsi="仿宋" w:hint="eastAsia"/>
              <w:sz w:val="32"/>
              <w:szCs w:val="32"/>
            </w:rPr>
            <w:t>采用水泥材料制作。</w:t>
          </w:r>
        </w:p>
        <w:p w:rsidR="00852839" w:rsidRDefault="00852839" w:rsidP="00852839">
          <w:pPr>
            <w:ind w:firstLineChars="200" w:firstLine="640"/>
            <w:rPr>
              <w:rFonts w:ascii="仿宋" w:hAnsi="仿宋"/>
              <w:sz w:val="32"/>
              <w:szCs w:val="32"/>
            </w:rPr>
          </w:pPr>
          <w:r>
            <w:rPr>
              <w:rFonts w:ascii="仿宋" w:hAnsi="仿宋" w:hint="eastAsia"/>
              <w:sz w:val="32"/>
              <w:szCs w:val="32"/>
            </w:rPr>
            <w:t>附属标识牌：采用铝合金、不锈钢或玻璃钢复合材料制作，包括标识牌名称、四色警戒潮位值和落款单位名称等，可根据需要标注应急联系方式。</w:t>
          </w:r>
        </w:p>
        <w:p w:rsidR="00852839" w:rsidRDefault="00852839" w:rsidP="00852839">
          <w:pPr>
            <w:numPr>
              <w:ilvl w:val="0"/>
              <w:numId w:val="47"/>
            </w:numPr>
            <w:spacing w:line="240" w:lineRule="auto"/>
            <w:ind w:firstLineChars="200" w:firstLine="640"/>
            <w:rPr>
              <w:rFonts w:ascii="仿宋" w:hAnsi="仿宋"/>
              <w:sz w:val="32"/>
              <w:szCs w:val="32"/>
            </w:rPr>
          </w:pPr>
          <w:r>
            <w:rPr>
              <w:rFonts w:ascii="仿宋" w:hAnsi="仿宋" w:hint="eastAsia"/>
              <w:sz w:val="32"/>
              <w:szCs w:val="32"/>
            </w:rPr>
            <w:t>需执行的国家相关标准、行业标准、地方标准或者其他标准、规范</w:t>
          </w:r>
        </w:p>
        <w:p w:rsidR="00852839" w:rsidRDefault="00852839" w:rsidP="00852839">
          <w:pPr>
            <w:rPr>
              <w:rFonts w:ascii="仿宋" w:hAnsi="仿宋"/>
              <w:sz w:val="32"/>
              <w:szCs w:val="32"/>
            </w:rPr>
          </w:pPr>
          <w:r>
            <w:rPr>
              <w:rFonts w:ascii="仿宋" w:hAnsi="仿宋" w:hint="eastAsia"/>
              <w:sz w:val="32"/>
              <w:szCs w:val="32"/>
            </w:rPr>
            <w:t xml:space="preserve">    根据《海洋预报管理条例》、《中华人民共和国国务院令第615</w:t>
          </w:r>
          <w:r>
            <w:rPr>
              <w:rFonts w:ascii="仿宋" w:hAnsi="仿宋" w:hint="eastAsia"/>
              <w:sz w:val="32"/>
              <w:szCs w:val="32"/>
            </w:rPr>
            <w:lastRenderedPageBreak/>
            <w:t>号》、《警戒潮位核定规范》、《GB/T 17839-2011》、《警戒潮位核定管理办法》（</w:t>
          </w:r>
          <w:proofErr w:type="gramStart"/>
          <w:r>
            <w:rPr>
              <w:rFonts w:ascii="仿宋" w:hAnsi="仿宋" w:hint="eastAsia"/>
              <w:sz w:val="32"/>
              <w:szCs w:val="32"/>
            </w:rPr>
            <w:t>国海预字</w:t>
          </w:r>
          <w:proofErr w:type="gramEnd"/>
          <w:r>
            <w:rPr>
              <w:rFonts w:ascii="仿宋" w:hAnsi="仿宋" w:hint="eastAsia"/>
              <w:sz w:val="32"/>
              <w:szCs w:val="32"/>
            </w:rPr>
            <w:t>（2013）25号）、《警戒潮位现场标识物设置规范》等法律法规和相关文件。</w:t>
          </w:r>
        </w:p>
        <w:p w:rsidR="00852839" w:rsidRDefault="00852839" w:rsidP="00852839">
          <w:pPr>
            <w:numPr>
              <w:ilvl w:val="0"/>
              <w:numId w:val="47"/>
            </w:numPr>
            <w:spacing w:line="240" w:lineRule="auto"/>
            <w:ind w:firstLineChars="200" w:firstLine="640"/>
            <w:rPr>
              <w:rFonts w:ascii="仿宋" w:hAnsi="仿宋"/>
              <w:sz w:val="32"/>
              <w:szCs w:val="32"/>
            </w:rPr>
          </w:pPr>
          <w:r>
            <w:rPr>
              <w:rFonts w:ascii="仿宋" w:hAnsi="仿宋" w:hint="eastAsia"/>
              <w:sz w:val="32"/>
              <w:szCs w:val="32"/>
            </w:rPr>
            <w:t>其他技术、服务要求</w:t>
          </w:r>
        </w:p>
        <w:p w:rsidR="00852839" w:rsidRDefault="00852839" w:rsidP="00852839">
          <w:pPr>
            <w:ind w:firstLineChars="200" w:firstLine="640"/>
            <w:rPr>
              <w:rFonts w:ascii="仿宋" w:hAnsi="仿宋"/>
              <w:sz w:val="32"/>
              <w:szCs w:val="32"/>
            </w:rPr>
          </w:pPr>
          <w:r>
            <w:rPr>
              <w:rFonts w:ascii="仿宋" w:hAnsi="仿宋" w:hint="eastAsia"/>
              <w:sz w:val="32"/>
              <w:szCs w:val="32"/>
            </w:rPr>
            <w:t>（1）设备布设</w:t>
          </w:r>
        </w:p>
        <w:p w:rsidR="00852839" w:rsidRDefault="00852839" w:rsidP="00852839">
          <w:pPr>
            <w:ind w:firstLineChars="200" w:firstLine="640"/>
            <w:rPr>
              <w:rFonts w:ascii="仿宋" w:hAnsi="仿宋"/>
              <w:sz w:val="32"/>
              <w:szCs w:val="32"/>
            </w:rPr>
          </w:pPr>
          <w:r>
            <w:rPr>
              <w:rFonts w:ascii="仿宋" w:hAnsi="仿宋" w:hint="eastAsia"/>
              <w:sz w:val="32"/>
              <w:szCs w:val="32"/>
            </w:rPr>
            <w:t>标志物的布设保持规范、统一、协调、安全、醒目、无阻挡的原则，布设方式根据现场实际情况可选择以下适宜的方式：</w:t>
          </w:r>
        </w:p>
        <w:p w:rsidR="00852839" w:rsidRDefault="00852839" w:rsidP="00852839">
          <w:pPr>
            <w:ind w:firstLineChars="200" w:firstLine="640"/>
            <w:rPr>
              <w:rFonts w:ascii="仿宋" w:hAnsi="仿宋"/>
              <w:sz w:val="32"/>
              <w:szCs w:val="32"/>
            </w:rPr>
          </w:pPr>
          <w:r>
            <w:rPr>
              <w:rFonts w:ascii="仿宋" w:hAnsi="仿宋" w:hint="eastAsia"/>
              <w:sz w:val="32"/>
              <w:szCs w:val="32"/>
            </w:rPr>
            <w:t>——附着式，标志物背面直接固定在物体上的设置方式；</w:t>
          </w:r>
        </w:p>
        <w:p w:rsidR="00852839" w:rsidRDefault="00852839" w:rsidP="00852839">
          <w:pPr>
            <w:ind w:firstLineChars="200" w:firstLine="640"/>
            <w:rPr>
              <w:rFonts w:ascii="仿宋" w:hAnsi="仿宋"/>
              <w:sz w:val="32"/>
              <w:szCs w:val="32"/>
            </w:rPr>
          </w:pPr>
          <w:r>
            <w:rPr>
              <w:rFonts w:ascii="仿宋" w:hAnsi="仿宋" w:hint="eastAsia"/>
              <w:sz w:val="32"/>
              <w:szCs w:val="32"/>
            </w:rPr>
            <w:t>——埋设式，直接埋设在地面以下的设置方式。埋设主体标志物时采取相关防沉降措施，遵循先勘察后施工的原则，详细勘察埋设地附近土质情况、分布范围、承载力大小、地下水位情况等水文地质条件，做好主体标志物垫层设计。</w:t>
          </w:r>
        </w:p>
        <w:p w:rsidR="00852839" w:rsidRDefault="00852839" w:rsidP="00852839">
          <w:pPr>
            <w:ind w:firstLineChars="200" w:firstLine="640"/>
            <w:rPr>
              <w:rFonts w:ascii="仿宋" w:hAnsi="仿宋"/>
              <w:sz w:val="32"/>
              <w:szCs w:val="32"/>
            </w:rPr>
          </w:pPr>
          <w:r>
            <w:rPr>
              <w:rFonts w:ascii="仿宋" w:hAnsi="仿宋" w:hint="eastAsia"/>
              <w:sz w:val="32"/>
              <w:szCs w:val="32"/>
            </w:rPr>
            <w:t>主体标志物的设置高度要与警戒潮位值的水准高程保持一致，附属标识牌的设置高度尽量与人眼视线高度一致。</w:t>
          </w:r>
        </w:p>
        <w:p w:rsidR="00852839" w:rsidRDefault="00852839" w:rsidP="00852839">
          <w:pPr>
            <w:ind w:firstLineChars="200" w:firstLine="640"/>
            <w:rPr>
              <w:rFonts w:ascii="仿宋" w:hAnsi="仿宋"/>
              <w:sz w:val="32"/>
              <w:szCs w:val="32"/>
            </w:rPr>
          </w:pPr>
          <w:r>
            <w:rPr>
              <w:rFonts w:ascii="仿宋" w:hAnsi="仿宋" w:hint="eastAsia"/>
              <w:sz w:val="32"/>
              <w:szCs w:val="32"/>
            </w:rPr>
            <w:t>（2）水准点设置、高程测量</w:t>
          </w:r>
        </w:p>
        <w:p w:rsidR="00852839" w:rsidRDefault="00852839" w:rsidP="00852839">
          <w:pPr>
            <w:ind w:firstLineChars="200" w:firstLine="640"/>
            <w:rPr>
              <w:rFonts w:ascii="仿宋" w:hAnsi="仿宋"/>
              <w:sz w:val="32"/>
              <w:szCs w:val="32"/>
            </w:rPr>
          </w:pPr>
          <w:bookmarkStart w:id="104" w:name="_Hlk38286408"/>
          <w:r>
            <w:rPr>
              <w:rFonts w:ascii="仿宋" w:hAnsi="仿宋" w:hint="eastAsia"/>
              <w:sz w:val="32"/>
              <w:szCs w:val="32"/>
            </w:rPr>
            <w:t>&lt;1&gt;标志物150米范围内有四等或以上水准点</w:t>
          </w:r>
          <w:bookmarkEnd w:id="104"/>
          <w:r>
            <w:rPr>
              <w:rFonts w:ascii="仿宋" w:hAnsi="仿宋" w:hint="eastAsia"/>
              <w:sz w:val="32"/>
              <w:szCs w:val="32"/>
            </w:rPr>
            <w:t>，</w:t>
          </w:r>
          <w:bookmarkStart w:id="105" w:name="_Hlk38286430"/>
          <w:r>
            <w:rPr>
              <w:rFonts w:ascii="仿宋" w:hAnsi="仿宋" w:hint="eastAsia"/>
              <w:sz w:val="32"/>
              <w:szCs w:val="32"/>
            </w:rPr>
            <w:t>采用四等水准测量方法布设水准路线</w:t>
          </w:r>
          <w:bookmarkEnd w:id="105"/>
          <w:r>
            <w:rPr>
              <w:rFonts w:ascii="仿宋" w:hAnsi="仿宋" w:hint="eastAsia"/>
              <w:sz w:val="32"/>
              <w:szCs w:val="32"/>
            </w:rPr>
            <w:t>，将</w:t>
          </w:r>
          <w:proofErr w:type="gramStart"/>
          <w:r>
            <w:rPr>
              <w:rFonts w:ascii="仿宋" w:hAnsi="仿宋" w:hint="eastAsia"/>
              <w:sz w:val="32"/>
              <w:szCs w:val="32"/>
            </w:rPr>
            <w:t>高程引测至</w:t>
          </w:r>
          <w:proofErr w:type="gramEnd"/>
          <w:r>
            <w:rPr>
              <w:rFonts w:ascii="仿宋" w:hAnsi="仿宋" w:hint="eastAsia"/>
              <w:sz w:val="32"/>
              <w:szCs w:val="32"/>
            </w:rPr>
            <w:t>选点位置。</w:t>
          </w:r>
        </w:p>
        <w:p w:rsidR="00852839" w:rsidRDefault="00852839" w:rsidP="00852839">
          <w:pPr>
            <w:ind w:firstLineChars="200" w:firstLine="640"/>
            <w:rPr>
              <w:rFonts w:ascii="仿宋" w:hAnsi="仿宋"/>
              <w:sz w:val="32"/>
              <w:szCs w:val="32"/>
            </w:rPr>
          </w:pPr>
          <w:r>
            <w:rPr>
              <w:rFonts w:ascii="仿宋" w:hAnsi="仿宋" w:hint="eastAsia"/>
              <w:sz w:val="32"/>
              <w:szCs w:val="32"/>
            </w:rPr>
            <w:t>&lt;2&gt; 标志物150米范围内无四等或以上水准点，采用网络RTK方法测量高程，高程均需转化为85高程。</w:t>
          </w:r>
        </w:p>
        <w:p w:rsidR="00852839" w:rsidRDefault="00852839" w:rsidP="00852839">
          <w:pPr>
            <w:numPr>
              <w:ilvl w:val="0"/>
              <w:numId w:val="47"/>
            </w:numPr>
            <w:spacing w:line="240" w:lineRule="auto"/>
            <w:ind w:firstLineChars="200" w:firstLine="640"/>
            <w:rPr>
              <w:rFonts w:ascii="仿宋" w:hAnsi="仿宋"/>
              <w:sz w:val="32"/>
              <w:szCs w:val="32"/>
            </w:rPr>
          </w:pPr>
          <w:r>
            <w:rPr>
              <w:rFonts w:ascii="仿宋" w:hAnsi="仿宋" w:hint="eastAsia"/>
              <w:sz w:val="32"/>
              <w:szCs w:val="32"/>
            </w:rPr>
            <w:t>验收标准及方法</w:t>
          </w:r>
        </w:p>
        <w:p w:rsidR="00852839" w:rsidRDefault="00852839" w:rsidP="00852839">
          <w:pPr>
            <w:rPr>
              <w:rFonts w:ascii="仿宋" w:hAnsi="仿宋"/>
              <w:sz w:val="32"/>
              <w:szCs w:val="32"/>
            </w:rPr>
          </w:pPr>
          <w:r>
            <w:rPr>
              <w:rFonts w:ascii="仿宋" w:hAnsi="仿宋" w:hint="eastAsia"/>
              <w:sz w:val="32"/>
              <w:szCs w:val="32"/>
            </w:rPr>
            <w:t xml:space="preserve">    供应商须按国家有关规定及标准完成本次采购服务的供货、运输、装卸、就位、安装、调试、技术培训、检验、通过有关部门验收、维保期服务、维修等各项工作，并保证投标产品使用的</w:t>
          </w:r>
          <w:r>
            <w:rPr>
              <w:rFonts w:ascii="仿宋" w:hAnsi="仿宋" w:hint="eastAsia"/>
              <w:sz w:val="32"/>
              <w:szCs w:val="32"/>
            </w:rPr>
            <w:lastRenderedPageBreak/>
            <w:t>安全性能与检测结果的可靠性。中标供应商须随产品提供使用说明书</w:t>
          </w:r>
          <w:proofErr w:type="gramStart"/>
          <w:r>
            <w:rPr>
              <w:rFonts w:ascii="仿宋" w:hAnsi="仿宋" w:hint="eastAsia"/>
              <w:sz w:val="32"/>
              <w:szCs w:val="32"/>
            </w:rPr>
            <w:t>与维保卡</w:t>
          </w:r>
          <w:proofErr w:type="gramEnd"/>
          <w:r>
            <w:rPr>
              <w:rFonts w:ascii="仿宋" w:hAnsi="仿宋" w:hint="eastAsia"/>
              <w:sz w:val="32"/>
              <w:szCs w:val="32"/>
            </w:rPr>
            <w:t>。</w:t>
          </w:r>
        </w:p>
        <w:p w:rsidR="00852839" w:rsidRDefault="00852839" w:rsidP="00852839">
          <w:pPr>
            <w:numPr>
              <w:ilvl w:val="0"/>
              <w:numId w:val="47"/>
            </w:numPr>
            <w:spacing w:line="240" w:lineRule="auto"/>
            <w:ind w:firstLineChars="200" w:firstLine="640"/>
            <w:rPr>
              <w:rFonts w:ascii="仿宋" w:hAnsi="仿宋"/>
              <w:sz w:val="32"/>
              <w:szCs w:val="32"/>
            </w:rPr>
          </w:pPr>
          <w:r>
            <w:rPr>
              <w:rFonts w:ascii="仿宋" w:hAnsi="仿宋" w:hint="eastAsia"/>
              <w:sz w:val="32"/>
              <w:szCs w:val="32"/>
            </w:rPr>
            <w:t>质量保证和售后服务要求，需满足的服务标准、期限、效率等</w:t>
          </w:r>
        </w:p>
        <w:p w:rsidR="007A204B" w:rsidRDefault="00852839" w:rsidP="00852839">
          <w:pPr>
            <w:jc w:val="center"/>
            <w:rPr>
              <w:rFonts w:ascii="仿宋" w:hAnsi="仿宋"/>
              <w:b/>
              <w:sz w:val="32"/>
              <w:szCs w:val="32"/>
            </w:rPr>
          </w:pPr>
          <w:r>
            <w:rPr>
              <w:rFonts w:ascii="仿宋" w:hAnsi="仿宋" w:hint="eastAsia"/>
              <w:sz w:val="32"/>
              <w:szCs w:val="32"/>
            </w:rPr>
            <w:t>警戒潮位现场标志</w:t>
          </w:r>
          <w:proofErr w:type="gramStart"/>
          <w:r>
            <w:rPr>
              <w:rFonts w:ascii="仿宋" w:hAnsi="仿宋" w:hint="eastAsia"/>
              <w:sz w:val="32"/>
              <w:szCs w:val="32"/>
            </w:rPr>
            <w:t>物维护</w:t>
          </w:r>
          <w:proofErr w:type="gramEnd"/>
          <w:r>
            <w:rPr>
              <w:rFonts w:ascii="仿宋" w:hAnsi="仿宋" w:hint="eastAsia"/>
              <w:sz w:val="32"/>
              <w:szCs w:val="32"/>
            </w:rPr>
            <w:t>每年不少于1次。维护内容包括查看周边区域地面沉降情况，复核标志物高程信息，检查标志物外观等，如发现异常情况应及时采取相关措施。必要时应对主体标志物进行沉降监测，在标志物埋设地附近设置不受其影响的观测点，定期测量观测点标高即可，并根据沉降监测数值及时调整四色警戒潮位标志带的高度位置。</w:t>
          </w:r>
        </w:p>
        <w:p w:rsidR="007A204B" w:rsidRDefault="00127646" w:rsidP="007A204B"/>
        <w:p w:rsidR="0058629E" w:rsidRPr="007A204B" w:rsidRDefault="00127646" w:rsidP="007A204B">
          <w:pPr>
            <w:rPr>
              <w:rFonts w:ascii="仿宋_GB2312" w:eastAsia="仿宋_GB2312" w:hAnsi="仿宋_GB2312" w:cs="仿宋_GB2312"/>
              <w:szCs w:val="21"/>
            </w:rPr>
          </w:pPr>
        </w:p>
        <w:p w:rsidR="0050268E" w:rsidRDefault="00127646"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YKSGZC2020021</vt:lpwstr>
  </property>
</Properties>
</file>