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营口市水利局前期资料库管理系统项目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营口市水利局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ascii="仿宋" w:hAnsi="仿宋" w:eastAsia="仿宋"/>
              <w:b/>
              <w:color w:val="000000" w:themeColor="text1"/>
              <w:sz w:val="32"/>
              <w:szCs w:val="32"/>
              <w14:textFill xmlns:w14="http://schemas.microsoft.com/office/word/2010/wordml">
                <w14:solidFill>
                  <w14:schemeClr w14:val="tx1"/>
                </w14:solidFill>
              </w14:textFill>
            </w:rPr>
          </w:pPr>
          <w:r>
            <w:rPr>
              <w:rFonts w:hint="eastAsia" w:ascii="仿宋" w:hAnsi="仿宋" w:eastAsia="仿宋"/>
              <w:b/>
              <w:color w:val="000000" w:themeColor="text1"/>
              <w:sz w:val="32"/>
              <w:szCs w:val="32"/>
              <w14:textFill xmlns:w14="http://schemas.microsoft.com/office/word/2010/wordml">
                <w14:solidFill>
                  <w14:schemeClr w14:val="tx1"/>
                </w14:solidFill>
              </w14:textFill>
            </w:rPr>
            <w:t>营口市水利前期工作资料库管理系统参数表</w:t>
          </w:r>
        </w:p>
        <w:tbl>
          <w:tblPr>
            <w:tblStyle w:val="16"/>
            <w:tblW w:w="10110" w:type="dxa"/>
            <w:jc w:val="center"/>
            <w:tblLayout w:type="autofit"/>
            <w:tblCellMar>
              <w:top w:w="0" w:type="dxa"/>
              <w:left w:w="108" w:type="dxa"/>
              <w:bottom w:w="0" w:type="dxa"/>
              <w:right w:w="108" w:type="dxa"/>
            </w:tblCellMar>
          </w:tblPr>
          <w:tblGrid>
            <w:gridCol w:w="678"/>
            <w:gridCol w:w="990"/>
            <w:gridCol w:w="7484"/>
            <w:gridCol w:w="519"/>
            <w:gridCol w:w="439"/>
          </w:tblGrid>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序号</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名称</w:t>
                </w:r>
              </w:p>
            </w:tc>
            <w:tc>
              <w:tcPr>
                <w:tcW w:w="74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功能参数</w:t>
                </w:r>
              </w:p>
            </w:tc>
            <w:tc>
              <w:tcPr>
                <w:tcW w:w="5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单位</w:t>
                </w:r>
              </w:p>
            </w:tc>
            <w:tc>
              <w:tcPr>
                <w:tcW w:w="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数量</w:t>
                </w:r>
              </w:p>
            </w:tc>
          </w:tr>
          <w:tr>
            <w:tblPrEx>
              <w:tblCellMar>
                <w:top w:w="0" w:type="dxa"/>
                <w:left w:w="108" w:type="dxa"/>
                <w:bottom w:w="0" w:type="dxa"/>
                <w:right w:w="108" w:type="dxa"/>
              </w:tblCellMar>
            </w:tblPrEx>
            <w:trPr>
              <w:trHeight w:val="5802"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资料库管理系统</w:t>
                </w:r>
              </w:p>
            </w:tc>
            <w:tc>
              <w:tcPr>
                <w:tcW w:w="74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bl>
                <w:tblPr>
                  <w:tblStyle w:val="16"/>
                  <w:tblW w:w="7201" w:type="dxa"/>
                  <w:tblInd w:w="0" w:type="dxa"/>
                  <w:tblLayout w:type="autofit"/>
                  <w:tblCellMar>
                    <w:top w:w="0" w:type="dxa"/>
                    <w:left w:w="108" w:type="dxa"/>
                    <w:bottom w:w="0" w:type="dxa"/>
                    <w:right w:w="108" w:type="dxa"/>
                  </w:tblCellMar>
                </w:tblPr>
                <w:tblGrid>
                  <w:gridCol w:w="1480"/>
                  <w:gridCol w:w="5721"/>
                </w:tblGrid>
                <w:tr>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仿宋" w:hAnsi="仿宋" w:eastAsia="仿宋" w:cs="宋体"/>
                          <w:b/>
                          <w:bCs/>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b/>
                          <w:bCs/>
                          <w:color w:val="000000" w:themeColor="text1"/>
                          <w:kern w:val="0"/>
                          <w:sz w:val="20"/>
                          <w:szCs w:val="20"/>
                          <w14:textFill xmlns:w14="http://schemas.microsoft.com/office/word/2010/wordml">
                            <w14:solidFill>
                              <w14:schemeClr w14:val="tx1"/>
                            </w14:solidFill>
                          </w14:textFill>
                        </w:rPr>
                        <w:t>功能点</w:t>
                      </w:r>
                    </w:p>
                  </w:tc>
                  <w:tc>
                    <w:tcPr>
                      <w:tcW w:w="57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b/>
                          <w:bCs/>
                          <w:color w:val="000000" w:themeColor="text1"/>
                          <w:kern w:val="0"/>
                          <w:sz w:val="20"/>
                          <w:szCs w:val="20"/>
                          <w14:textFill xmlns:w14="http://schemas.microsoft.com/office/word/2010/wordml">
                            <w14:solidFill>
                              <w14:schemeClr w14:val="tx1"/>
                            </w14:solidFill>
                          </w14:textFill>
                        </w:rPr>
                        <w:t>功能点说明</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提供对系统信息设置和配置的管理</w:t>
                      </w:r>
                    </w:p>
                  </w:tc>
                </w:tr>
                <w:tr>
                  <w:tblPrEx>
                    <w:tblCellMar>
                      <w:top w:w="0" w:type="dxa"/>
                      <w:left w:w="108" w:type="dxa"/>
                      <w:bottom w:w="0" w:type="dxa"/>
                      <w:right w:w="108" w:type="dxa"/>
                    </w:tblCellMar>
                  </w:tblPrEx>
                  <w:trPr>
                    <w:trHeight w:val="108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介质管理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为系统提供存储电子文件的具体位置，介质存储方式分为磁盘、ftp、数据库和http，并提供预警设置功能，可以提示，对介质使用情况进行报警</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日志管理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提供对日志信息的统计、导出、检索和清空的操作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操作日志</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记录各种对象的业务操作的日志</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安全日志</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记录登录口令出错、做没有权限的操作等的日志</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系统日志</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记录程序出错、介质满等的日志</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用户监控</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监控所有访问此服务器的用户。可以对用户进行强制签出操作和手动刷新、自动刷新的设置。</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提供对用户的个人信息、组织机构信息的管理。</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个人信息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查看和修改当前登录用户的个人详细信息。</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组织机构</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提供对组织机构信息和机构下所属人员信息的管理。</w:t>
                      </w:r>
                    </w:p>
                  </w:tc>
                </w:tr>
                <w:tr>
                  <w:tblPrEx>
                    <w:tblCellMar>
                      <w:top w:w="0" w:type="dxa"/>
                      <w:left w:w="108" w:type="dxa"/>
                      <w:bottom w:w="0" w:type="dxa"/>
                      <w:right w:w="108" w:type="dxa"/>
                    </w:tblCellMar>
                  </w:tblPrEx>
                  <w:trPr>
                    <w:trHeight w:val="108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人员</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查看当前组织机构下所有的人员信息。包括新增人员，将其他组织机构下的人员移入当前组织机构，以及对人员进行激活、删除和查询的操作。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属性</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当前组织机构的属性。组织机构的属性包括机构名称、主管领导和负责人一些信息。</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下属机构</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当前组织机构下的所有下属机构信息。可以在当前组织机构下新建机构、角色和执行删除操作。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系统设置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对是否允许自注册和信息的排序进行设置。</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档案管理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提供对档案数据的管理</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收集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打开</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打开指定的文档库或记录</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新增记录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录入各种文档类型的文件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编辑</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可以对文档库、分类、记录进行复制、剪切操作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批量挂接</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可以根据文号对应关系批量上传电子文件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批量扫描</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根据条码字段对批量的电子文件进行扫描挂接</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检索</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检索</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提供对文件类型、字段内容的检索操作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整理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数据接收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将txt、mdb、dbf、xls、ods、xml、eep等类型的数据导入到系统</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数据导出</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将数据从系统中导出</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组卷</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将若干文件按形成规律和有机联系组成案卷，包括自动组卷和手动组卷</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拆卷</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将案卷拆分成文件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批量修改</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对指定类型下指定字段的内容，然后进行批量的替换操作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排序</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对数据信息进行排序管理</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编号</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对流水号字段进行重新编号的操作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关联</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建立记录之间的一种关联关系，它的功能为方便查找、操作相关的记录</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电子文件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上载</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为记录上载电子文件</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下载</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将系统中的记录的原件保存到本地</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浏览</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浏览电子文件,提供放大、缩小、适应窗体大小等操作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打印</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打印电子文件</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修改电子文件</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删除</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删除电子文件</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统计打印</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统计</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对已经录入的数据进行统计，然后把统计的结果按照分组的条件进行显示。</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报表打印</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根据报表模板匹配后的内容直接输出到打印机打印。</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移交归档</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接收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接收移交的数据，将待接收状态的数据置为已接收状态</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移交</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将整理好的文件库的数据根据移交规则移交到预归档库</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不移交</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将不准备移交的数据的状态置为不移交</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归档</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将整理好的档案数据进行归档操作，归档到正式档案库中</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退回</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将已经移交或归档的档案数据进行退回操作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鉴定销毁</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保管期限鉴定</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根据保管期限鉴定，可以对过期的对象进行“重新归档”， “升级保管”，“ 销毁”，“ 打印目录”等操作。</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销毁</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将记录及其下层的所有子记录设置为销毁状态，并在销毁库中生成一条与之关联的销毁记录。</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保管</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入库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对没有在库房中保管的档案数据进行入库的操作和对已经在库房中保管的数据进行出库操作</w:t>
                      </w:r>
                    </w:p>
                  </w:tc>
                </w:tr>
                <w:tr>
                  <w:tblPrEx>
                    <w:tblCellMar>
                      <w:top w:w="0" w:type="dxa"/>
                      <w:left w:w="108" w:type="dxa"/>
                      <w:bottom w:w="0" w:type="dxa"/>
                      <w:right w:w="108" w:type="dxa"/>
                    </w:tblCellMar>
                  </w:tblPrEx>
                  <w:trPr>
                    <w:trHeight w:val="108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脱机管理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将文件脱机保存在不同的介质当中，同时对保存的文件可以脱机浏览的功能。提供给用户在脱离系统的环境中对导出的脱机文件进行查阅的功能。</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借阅</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实物借阅登记</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对借阅流程中产生的信息进行登记</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在线借阅申请</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通过该工作流程申请对记录操作的权限，审批人审批通过后，该用户即可获得申请的相关功能。</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借阅管理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查询借阅情况</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用户可通过此功能查看实物借阅者的借阅次数和未归档数</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借阅期限设置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用户可通过此功能设置实物借阅者的允许借阅期限</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收藏</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添加到专题库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将档案数据手动添加到专题库中</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添加到收藏夹</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将记录手动添加到收藏夹</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授权</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提供对对象的各种权限的授予和取消</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报表模板</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对文档库中的文档类型对象进行模板化打印、预览和生成文档的操作</w:t>
                      </w:r>
                    </w:p>
                  </w:tc>
                </w:tr>
                <w:tr>
                  <w:tblPrEx>
                    <w:tblCellMar>
                      <w:top w:w="0" w:type="dxa"/>
                      <w:left w:w="108" w:type="dxa"/>
                      <w:bottom w:w="0" w:type="dxa"/>
                      <w:right w:w="108" w:type="dxa"/>
                    </w:tblCellMar>
                  </w:tblPrEx>
                  <w:trPr>
                    <w:trHeight w:val="108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修改文档库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对文档库的信息进行修改，可以对原库结构进行更改，向库中添加与删除文档类型，但不能改变原有文档类型的结构，如果文档类型下有记录文档类型不能进行删除操作。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修改类型</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对文档类型的信息进行修改，包括文档类型名称，描述信息等信息</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代码管理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针对库的文档类型中的枚举值字段与目录文件添加本模块将本模块加入到库或者目录上。</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模块配置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维护其它模块的功能模块。利用它为文档对象或文档类型添加、删除或修改相关功能。</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个性设置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显示配置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对显示的字段，字段的宽度，字段的顺序进行定制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定制导航</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通过可视化界面定义显示的树结构，方便用户通过文档树快捷的查找到需要的信息</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还原</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回收站与销毁库中的功能。将删除或销毁的记录恢复到原文件中</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清除</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销毁库中功能，将还原的记录清楚</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清空</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回收站中的功能。清空删除到回收站中的所有记录</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关联</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查看借阅记录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可以查看该记录的源记录，选中即可执行该记录相关操作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查看归档记录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查看该归档记录的归档源对象和归档目标对象</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查看销毁记录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查看销毁记录的源记录，选中该记录，可以进行记录的相关操作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查看回收记录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查看回收记录的源记录，选中该记录，可以进行记录的相关操作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查看脱机文档记录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查看脱机文档记录的源记录，选中该记录，可以进行记录的相关操作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库房管理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库房示意图</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对库房使用情况、环境情况等总体情况进行查看</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密集架控制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对密集架进行左移、右移等控制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库房温湿度库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可以显示库房的温湿度情况</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专题库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存放文件对象的一种方式，其中的对象是由系统根据用户定义的条件自动提取的或用户手动添加的。</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新建专题库</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新建专题库，根据专题搜索条件搜集符合条件的文件</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专题库搜索条件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订阅文档的条件，可以通过定义表达式来定义订阅搜索条件</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专题下载</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可以将定制的专题进行下载编研</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我的选择</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用于存储记录的快捷方式，它只对本次登录有效，再次登陆后这些快捷方式将被删除。</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系统页面设置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页面设置</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对各种视图样式一个页面显示文件的个数进行设置</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视图</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选择不同的视图样式，包括列表、页面、图标和缩图</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自定义过滤条件</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对系统页面进行过滤条件设置</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我的工作台</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检出记录</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对于检出的记录进行查看和管理</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代办任务</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对图纸流程业务进行办理</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流程日志</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办理流程的日志信息</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大文件上传下载</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涉及到媒体大字段文件的上传下载时，所有媒体大字段文件的上传下载情况都可以通过我的工作台下面的上传下载来查看。</w:t>
                      </w:r>
                    </w:p>
                  </w:tc>
                </w:tr>
                <w:tr>
                  <w:tblPrEx>
                    <w:tblCellMar>
                      <w:top w:w="0" w:type="dxa"/>
                      <w:left w:w="108" w:type="dxa"/>
                      <w:bottom w:w="0" w:type="dxa"/>
                      <w:right w:w="108" w:type="dxa"/>
                    </w:tblCellMar>
                  </w:tblPrEx>
                  <w:trPr>
                    <w:trHeight w:val="135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设置文件任务属性</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对文件上传下载的属性进行设置。包括登陆后自动开始未完成任务、登出时自动删除已完成任务、最多同时进行的上传任务数、最多同时进行的下载任务数、任务失败重试前等待、任务重试次数</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收藏夹</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存储用户本人添加的记录到收藏夹，用户本人只能看到自己添加的记录，即使是超级管理员也不能看到他人的收藏。</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新建分类</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相当于新建子收藏夹，每个分类都是收藏夹，分类下也能新建子分类</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修改分类</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修改分类信息，包括分类名称和图标信息</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打开链接</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查看收藏夹中记录的实体。选中实体后，也可以进行相关的操作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消息管理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实现系统用户相互通信、提醒工作的功能。</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消息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发送消息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实现系统中用户间发送消息，使系统用户相互通信、提醒工作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转发消息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将某些消息进行转发操作，可以重新设定消息接收人</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回复消息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对收到的信息进行回复操作</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重新发送</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将某些消息重新发送</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查看详细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查看收到的信息和发出信息的详细信息</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标记状态</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改变收件箱中消息的“已读状态”，分为“已读”和“未读”</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订制消息</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系统按用户指定的订制条件和方式发送消息</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监测报警</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系统按照用户指定的检测报警条件，按照指定方式暗示发送报警信息</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业务维护</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提供对系统中的枚举值、文档类型、权限等基本信息的管理</w:t>
                      </w:r>
                    </w:p>
                  </w:tc>
                </w:tr>
                <w:tr>
                  <w:tblPrEx>
                    <w:tblCellMar>
                      <w:top w:w="0" w:type="dxa"/>
                      <w:left w:w="108" w:type="dxa"/>
                      <w:bottom w:w="0" w:type="dxa"/>
                      <w:right w:w="108" w:type="dxa"/>
                    </w:tblCellMar>
                  </w:tblPrEx>
                  <w:trPr>
                    <w:trHeight w:val="135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代码模板管理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为系统中建立一些基本的枚举值，方便用户在录入数据时使用这些已存在的枚举值。用户可以新建、修改、删除枚举值表和枚举值，还可以进行复制、剪切、粘贴、导入和导出操作。</w:t>
                      </w:r>
                    </w:p>
                  </w:tc>
                </w:tr>
                <w:tr>
                  <w:tblPrEx>
                    <w:tblCellMar>
                      <w:top w:w="0" w:type="dxa"/>
                      <w:left w:w="108" w:type="dxa"/>
                      <w:bottom w:w="0" w:type="dxa"/>
                      <w:right w:w="108" w:type="dxa"/>
                    </w:tblCellMar>
                  </w:tblPrEx>
                  <w:trPr>
                    <w:trHeight w:val="135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文档类型模板管理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为系统中建立一些基本的文档类型，用户在新建定制文档库时，可以选择这些的文档类型。用户可以新建、修改、删除文档类型和分类，还可以进行复制、剪切、粘贴、导入和导出操作。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文档库模板管理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为系统中建立一些库的模板，用户在新建文档库时可以选择这些库模板建立</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主题词管理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为系统中导入主题词表，用户可用相关表达式根据输入内容提取主题词</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图标管理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提供对系统中图标的管理。可以上载图标、删除图标</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字段对应规则管理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用户可自行定义移交或归档时字段的对应规则</w:t>
                      </w:r>
                    </w:p>
                  </w:tc>
                </w:tr>
                <w:tr>
                  <w:tblPrEx>
                    <w:tblCellMar>
                      <w:top w:w="0" w:type="dxa"/>
                      <w:left w:w="108" w:type="dxa"/>
                      <w:bottom w:w="0" w:type="dxa"/>
                      <w:right w:w="108" w:type="dxa"/>
                    </w:tblCellMar>
                  </w:tblPrEx>
                  <w:trPr>
                    <w:trHeight w:val="135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权限注册管理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为使用者提供使系统用户和系统基本功能连接起来的桥梁，通过权限对用户的操作进行一定的限制，用户可以新建、修改、删除分类和权限，还可以进行复制、剪切、粘贴操作。</w:t>
                      </w:r>
                    </w:p>
                  </w:tc>
                </w:tr>
                <w:tr>
                  <w:tblPrEx>
                    <w:tblCellMar>
                      <w:top w:w="0" w:type="dxa"/>
                      <w:left w:w="108" w:type="dxa"/>
                      <w:bottom w:w="0" w:type="dxa"/>
                      <w:right w:w="108" w:type="dxa"/>
                    </w:tblCellMar>
                  </w:tblPrEx>
                  <w:trPr>
                    <w:trHeight w:val="81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查看权限列表</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查看某用户对某对象所拥有的权限、查看某用户所拥有某权限的所有对象、查看对某对象拥有某权限的所有用户</w:t>
                      </w:r>
                    </w:p>
                  </w:tc>
                </w:tr>
                <w:tr>
                  <w:tblPrEx>
                    <w:tblCellMar>
                      <w:top w:w="0" w:type="dxa"/>
                      <w:left w:w="108" w:type="dxa"/>
                      <w:bottom w:w="0" w:type="dxa"/>
                      <w:right w:w="108" w:type="dxa"/>
                    </w:tblCellMar>
                  </w:tblPrEx>
                  <w:trPr>
                    <w:trHeight w:val="108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安全策略管理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设定安全策略，则系统会在脱机的情况下继续文档进行有效的跟踪和控制。用户可以增加、修改、删除安全策略，还可以对策略进行上移下移操作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日志管理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提供对操作日志的导出、检索、统计和清空操作</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导入导出规则管理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导入规则</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用户可以增加、修改、删除自定义的导入规则</w:t>
                      </w:r>
                    </w:p>
                  </w:tc>
                </w:tr>
                <w:tr>
                  <w:tblPrEx>
                    <w:tblCellMar>
                      <w:top w:w="0" w:type="dxa"/>
                      <w:left w:w="108" w:type="dxa"/>
                      <w:bottom w:w="0" w:type="dxa"/>
                      <w:right w:w="108" w:type="dxa"/>
                    </w:tblCellMar>
                  </w:tblPrEx>
                  <w:trPr>
                    <w:trHeight w:val="54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导出规则</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用户可以增加、修改、删除自定义的导出规则</w:t>
                      </w:r>
                    </w:p>
                  </w:tc>
                </w:tr>
                <w:tr>
                  <w:tblPrEx>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标准管理</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w:t>
                      </w:r>
                    </w:p>
                  </w:tc>
                </w:tr>
                <w:tr>
                  <w:tblPrEx>
                    <w:tblCellMar>
                      <w:top w:w="0" w:type="dxa"/>
                      <w:left w:w="108" w:type="dxa"/>
                      <w:bottom w:w="0" w:type="dxa"/>
                      <w:right w:w="108" w:type="dxa"/>
                    </w:tblCellMar>
                  </w:tblPrEx>
                  <w:trPr>
                    <w:trHeight w:val="878" w:hRule="atLeast"/>
                  </w:trPr>
                  <w:tc>
                    <w:tcPr>
                      <w:tcW w:w="14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电子文件封装规范</w:t>
                      </w:r>
                    </w:p>
                  </w:tc>
                  <w:tc>
                    <w:tcPr>
                      <w:tcW w:w="572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用户可以添加、修改、删除、下载电子文件封装规范</w:t>
                      </w:r>
                    </w:p>
                  </w:tc>
                </w:tr>
              </w:tbl>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套</w:t>
                </w:r>
              </w:p>
            </w:tc>
            <w:tc>
              <w:tcPr>
                <w:tcW w:w="4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2</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应用</w:t>
                </w:r>
              </w:p>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服务器</w:t>
                </w:r>
              </w:p>
            </w:tc>
            <w:tc>
              <w:tcPr>
                <w:tcW w:w="7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国内知名品牌，与存储同一品牌</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1.规格：≥2U机架式服务器，可放入42U标准机柜</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2. ★处理器：英特尔至强铜牌3100系列处理器， CPU数量≥2，8核 1.7GHz,L3缓存≥11MB</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3.★内存≥64GB RDIMM DDR4-2933MHz内存，内存扩展≥24个内存插槽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4.支持故障DIMM标识隔离、单颗粒数据纠错（SDDC）、内存巡检、内存地址奇偶检测保护、内存过热调节、内存Rank冗余热备、Socket内的内存镜像。</w:t>
                </w:r>
              </w:p>
              <w:p>
                <w:pPr>
                  <w:widowControl/>
                  <w:jc w:val="left"/>
                  <w:rPr>
                    <w:rFonts w:ascii="仿宋" w:hAnsi="仿宋" w:eastAsia="仿宋" w:cs="宋体"/>
                    <w:b/>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5.硬盘≥3块600G，10000转,热插拔2.5寸SATA硬盘或SAS硬盘。</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6.硬盘扩展能力≥8块2.5寸硬盘,可扩展≥24个热插拔2.5寸硬盘槽位</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7.RAID功能：配置SAS RAID卡，速率≥12Gb/s，支持RAID0,1,5 缓存1G可扩展超级电容</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8.★配置网卡≥2个GE电口；配置≥2块10GE万兆光口网卡，支持≥7个PCIE 3.0扩展槽位。</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9.配置≥550W铂金冗余电源。</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10.配置冗余热插拔风扇。</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11.中国环境标志产品认证证书（中国）,提供证书复印件，加盖投标人公章。</w:t>
                </w:r>
                <w:r>
                  <w:rPr>
                    <w:rFonts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12.投标厂商需提供中国质量认证中心（CQC）颁发的3C认证证书，提供证书复印件加盖投标人公章。</w:t>
                </w:r>
                <w:r>
                  <w:rPr>
                    <w:rFonts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★13.为简化操作和配置，虚拟化服务器支持BIOS中文管理界面，并提供相关截图证明材料，并加盖投标人公章。</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14. 三年免费整机硬件保修，原厂工程师上门服务。</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w:t>
                </w:r>
              </w:p>
            </w:tc>
            <w:tc>
              <w:tcPr>
                <w:tcW w:w="43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3</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数据库服务器</w:t>
                </w:r>
              </w:p>
            </w:tc>
            <w:tc>
              <w:tcPr>
                <w:tcW w:w="74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国内知名品牌，与存储同一品牌</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1.规格：≥2U机架式服务器，可放入42U标准机柜</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2.★处理器：英特尔至强铜牌3100系列处理器， CPU数量≥2，8核 1.7GHZ,L3缓存≥11MB</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3.★内存≥64GB RDIMM DDR4-2933MHz内存，内存扩展≥24个内存插槽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4.支持故障DIMM标识隔离、单颗粒数据纠错（SDDC）、内存巡检、内存地址奇偶检测保护、内存过热调节、内存Rank冗余热备、Socket内的内存镜像。</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5.★硬盘≥2块480GSSD硬盘, ≥3块4TB 7200转 热插拔3.5寸SATA硬盘或SAS硬盘。</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6.硬盘扩展能力≥12块3.5寸硬盘。</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7.RAID功能：配置SAS RAID卡，速率≥12Gb/s，支持RAID 0,1,5 缓存1G可扩展超级电容</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8.★配置网卡≥2个GE电口；配置≥2块10GE万兆光口网卡，支持≥7个PCIE 3.0扩展槽位。</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kern w:val="0"/>
                    <w:sz w:val="20"/>
                    <w:szCs w:val="20"/>
                  </w:rPr>
                  <w:t>9.配置≥550W铂金冗余电源。</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10.配置冗余热插拔风扇。</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11. 中国环境标志产品认证证书（中国）,提供证书复印件，加盖投标人公章。</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12. 投标厂商需提供中国质量认证中心（CQC）颁发的3C认证证书，提供证书复印件，加盖投标人公章。</w:t>
                </w:r>
                <w:r>
                  <w:rPr>
                    <w:rFonts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13. ★为简化操作和配置，虚拟化服务器支持BIOS中文管理界面，并提供相关截图证明材料，加盖投标人公章。</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14. 三年免费整机硬件保修，原厂工程师上门服务。</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4</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存储</w:t>
                </w:r>
              </w:p>
            </w:tc>
            <w:tc>
              <w:tcPr>
                <w:tcW w:w="74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国内知名品牌，与服务器同一品牌</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1.★双控架构，支持FCSAN、IPSAN，本次配置控制器≥2个，配置NAS功能，不需额外配置NAS网关，最大支持≥8个控制器</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2.存储协议支持FC、iSCSI、NFS、CIFS、FTP、HTTP</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3.★配置控制器缓存≥32GB，（不含任何性能加速模块或NAS缓存、FlashCache、PAM卡，SSD Cache等）</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4.支持8Gbps FC、1Gbps Ethernet、10Gbps Ethernet、10Gbps FCoE,16Gbps FC</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5.★前端主机通道接口双控最大支持≥20个主机接口，≥12个GE主机接口</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6.支持硬盘类型：SSD,SAS,NL-SAS硬盘</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7.★配置硬盘数量≥6*4TB 7.2K NL_SAS 3.5寸硬盘</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8.支持RAID 1、RAID3、RAID 10、RAID50、RAID 5、RAID6等可选配置</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9.冗余电源、风扇、控制器、缓存断电保护功能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10.配置多路径管理软件。配置自动精简配置，结合业务应用，进行空间的预分配，增加业务空间分配的灵活性，保证后续业务平滑扩展。</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11.支持数据快照功能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12.支持数据重删压缩功能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13.支持智能数据分级功能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14.支持卷复制、克隆功能，支持同步异步远程复制功能</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15.支持windows、Linux、Solaris、HP-UX等主流操作系统</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16.三年免费整机硬件保修，原厂工程师上门服务。</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5</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备份</w:t>
                </w:r>
              </w:p>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软件</w:t>
                </w:r>
              </w:p>
            </w:tc>
            <w:tc>
              <w:tcPr>
                <w:tcW w:w="7484" w:type="dxa"/>
                <w:tcBorders>
                  <w:top w:val="nil"/>
                  <w:left w:val="nil"/>
                  <w:bottom w:val="single" w:color="auto" w:sz="4" w:space="0"/>
                  <w:right w:val="single" w:color="auto" w:sz="4" w:space="0"/>
                </w:tcBorders>
                <w:shd w:val="clear" w:color="auto" w:fill="auto"/>
                <w:vAlign w:val="center"/>
              </w:tcPr>
              <w:tbl>
                <w:tblPr>
                  <w:tblStyle w:val="16"/>
                  <w:tblW w:w="7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操作系统</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支持Windows 2003/2008/2012 Server or later，Linux，AIX、Solaris等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数据库备份</w:t>
                      </w:r>
                    </w:p>
                  </w:tc>
                  <w:tc>
                    <w:tcPr>
                      <w:tcW w:w="5812"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支持各类数据库（MS SQLServer，MySQL，ORACLE，ORACLE RAC，Lotus Domino，Microsoft Exchange）等数据备份。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w:t>
                      </w:r>
                      <w:r>
                        <w:rPr>
                          <w:rFonts w:hint="eastAsia" w:ascii="仿宋" w:hAnsi="仿宋" w:eastAsia="仿宋" w:cs="宋体"/>
                          <w:color w:val="000000" w:themeColor="text1"/>
                          <w:kern w:val="0"/>
                          <w:szCs w:val="21"/>
                          <w14:textFill xmlns:w14="http://schemas.microsoft.com/office/word/2010/wordml">
                            <w14:solidFill>
                              <w14:schemeClr w14:val="tx1"/>
                            </w14:solidFill>
                          </w14:textFill>
                        </w:rPr>
                        <w:t>一体化管理平台</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通过LanderVault集中管理平台，可以实现对各种备份策略、容灾、高可用性集群等数据安全功能的统一集中管理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远程备份</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可以进行广域网、异地远距离的数据备份。支持一对一的灾难备份，多对一的集中式备份。通过采用数据压缩、断点续传、流量控制、双向缓冲等技术，减少了网络通信流量，提高了数据传输的稳定性和高效性，最大限度地增加数据吞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w:t>
                      </w:r>
                      <w:r>
                        <w:rPr>
                          <w:rFonts w:hint="eastAsia" w:ascii="仿宋" w:hAnsi="仿宋" w:eastAsia="仿宋" w:cs="宋体"/>
                          <w:color w:val="000000" w:themeColor="text1"/>
                          <w:kern w:val="0"/>
                          <w:szCs w:val="21"/>
                          <w14:textFill xmlns:w14="http://schemas.microsoft.com/office/word/2010/wordml">
                            <w14:solidFill>
                              <w14:schemeClr w14:val="tx1"/>
                            </w14:solidFill>
                          </w14:textFill>
                        </w:rPr>
                        <w:t>系统备份</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支持操作系统的备份，可以在操作系统损坏时，进行系统还原。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虚拟化环境备份</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支持对BVmWarevSphere ESX/ESXi、Microsoft Hyper-V等主流虚拟化系统的备份。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SAN环境</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支持SAN存储环境下的数据备份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支持多段式作</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为了提高数据备份的有效性及安全性，在执行备份时拆分备份作业，分别执行备份子作业。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桌面备份</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支持对Windows、Linux、苹果桌面的备份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备份容量无限制</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通过D2D方式进行数据备份时，对备份数据量和备份存储空间没有软件许可的限制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中英文界面</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支持全中文网页式管理平台，界面清晰，支持储存额、网络流量、扩充存储模块控制。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策略定制</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支持备份前、备份后命令扩展。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权限管理</w:t>
                      </w:r>
                    </w:p>
                  </w:tc>
                  <w:tc>
                    <w:tcPr>
                      <w:tcW w:w="5812"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支持群组权限设置功能，可批量设置不同用户的权限。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带宽控制</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支持上传带宽自定义，有效控制带宽占用比例。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选择备份</w:t>
                      </w:r>
                    </w:p>
                  </w:tc>
                  <w:tc>
                    <w:tcPr>
                      <w:tcW w:w="5812"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支持备份文件筛选功能。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跨平台备份</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支持多平台备份需求,并支持跨平台备份，平台要求覆盖（Linux，Unix，Windows，Mac）。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w:t>
                      </w:r>
                      <w:r>
                        <w:rPr>
                          <w:rFonts w:hint="eastAsia" w:ascii="仿宋" w:hAnsi="仿宋" w:eastAsia="仿宋" w:cs="宋体"/>
                          <w:color w:val="000000" w:themeColor="text1"/>
                          <w:kern w:val="0"/>
                          <w:szCs w:val="21"/>
                          <w14:textFill xmlns:w14="http://schemas.microsoft.com/office/word/2010/wordml">
                            <w14:solidFill>
                              <w14:schemeClr w14:val="tx1"/>
                            </w14:solidFill>
                          </w14:textFill>
                        </w:rPr>
                        <w:t>数据加密</w:t>
                      </w:r>
                    </w:p>
                  </w:tc>
                  <w:tc>
                    <w:tcPr>
                      <w:tcW w:w="5812"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备份到服务器数据需经过加密，并内置至少3种加密算法由用户选择。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分布式存储</w:t>
                      </w:r>
                    </w:p>
                  </w:tc>
                  <w:tc>
                    <w:tcPr>
                      <w:tcW w:w="5812"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支持分布式存储架构，备份设备与存储逻辑分离，可以实现存储无限扩展，并且备份数据冗余，达到更高的扩展性和安全性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36" w:type="dxa"/>
                      <w:shd w:val="clear" w:color="auto" w:fill="auto"/>
                      <w:vAlign w:val="center"/>
                    </w:tcPr>
                    <w:p>
                      <w:pPr>
                        <w:widowControl/>
                        <w:jc w:val="left"/>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w:t>
                      </w:r>
                      <w:r>
                        <w:rPr>
                          <w:rFonts w:hint="eastAsia" w:ascii="仿宋" w:hAnsi="仿宋" w:eastAsia="仿宋" w:cs="宋体"/>
                          <w:color w:val="000000" w:themeColor="text1"/>
                          <w:kern w:val="0"/>
                          <w:szCs w:val="21"/>
                          <w14:textFill xmlns:w14="http://schemas.microsoft.com/office/word/2010/wordml">
                            <w14:solidFill>
                              <w14:schemeClr w14:val="tx1"/>
                            </w14:solidFill>
                          </w14:textFill>
                        </w:rPr>
                        <w:t>异地复制</w:t>
                      </w:r>
                    </w:p>
                  </w:tc>
                  <w:tc>
                    <w:tcPr>
                      <w:tcW w:w="5812" w:type="dxa"/>
                      <w:shd w:val="clear" w:color="auto" w:fill="auto"/>
                    </w:tcPr>
                    <w:p>
                      <w:pPr>
                        <w:widowControl/>
                        <w:rPr>
                          <w:rFonts w:ascii="仿宋" w:hAnsi="仿宋" w:eastAsia="仿宋" w:cs="宋体"/>
                          <w:color w:val="000000" w:themeColor="text1"/>
                          <w:kern w:val="0"/>
                          <w:szCs w:val="21"/>
                          <w14:textFill xmlns:w14="http://schemas.microsoft.com/office/word/2010/wordml">
                            <w14:solidFill>
                              <w14:schemeClr w14:val="tx1"/>
                            </w14:solidFill>
                          </w14:textFill>
                        </w:rPr>
                      </w:pPr>
                      <w:r>
                        <w:rPr>
                          <w:rFonts w:hint="eastAsia" w:ascii="仿宋" w:hAnsi="仿宋" w:eastAsia="仿宋" w:cs="宋体"/>
                          <w:color w:val="000000" w:themeColor="text1"/>
                          <w:kern w:val="0"/>
                          <w:szCs w:val="21"/>
                          <w14:textFill xmlns:w14="http://schemas.microsoft.com/office/word/2010/wordml">
                            <w14:solidFill>
                              <w14:schemeClr w14:val="tx1"/>
                            </w14:solidFill>
                          </w14:textFill>
                        </w:rPr>
                        <w:t>支持异地复制功能，总部信息中心服务器可同步各分院服务器的备份数据，当分院服务器发生故障时，可从总部服务器上恢复。</w:t>
                      </w:r>
                    </w:p>
                  </w:tc>
                </w:tr>
              </w:tbl>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p>
            </w:tc>
            <w:tc>
              <w:tcPr>
                <w:tcW w:w="519"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套</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trHeight w:val="457" w:hRule="atLeast"/>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6</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操作</w:t>
                </w:r>
              </w:p>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系统</w:t>
                </w:r>
              </w:p>
            </w:tc>
            <w:tc>
              <w:tcPr>
                <w:tcW w:w="7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Windows server 正版操作系统</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套</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2</w:t>
                </w:r>
              </w:p>
            </w:tc>
          </w:tr>
          <w:tr>
            <w:tblPrEx>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7</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高速扫描仪</w:t>
                </w:r>
              </w:p>
            </w:tc>
            <w:tc>
              <w:tcPr>
                <w:tcW w:w="74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xml:space="preserve">★产品类型:A3幅面平板+ADF扫描仪 </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xml:space="preserve">感光元件: CCD </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光学分辨率: 600*600 dpi</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★扫描速度≥70ppm/140ipm</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光源： LED光源</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ADF进纸容量≥200页</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日扫描量≥8000页</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接口类型：USB 2.0</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网络接口：可选配网络面板，实现网络扫描</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驱动：TWIN&amp; ISIS</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w:t>
                </w:r>
              </w:p>
            </w:tc>
            <w:tc>
              <w:tcPr>
                <w:tcW w:w="4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8</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台式</w:t>
                </w:r>
              </w:p>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电脑</w:t>
                </w:r>
              </w:p>
            </w:tc>
            <w:tc>
              <w:tcPr>
                <w:tcW w:w="74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★类型：商用品牌机</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CPU：≥i5-9400处理器</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主板：≥INTEL B360芯片组， 2×PCI-e×1; 1×PCI-e×16,1×PCI，1 x M.2接口</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xml:space="preserve">内存：≥16GDDR4 </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★显卡:原厂同品牌显卡，芯片组：NVIDIA</w:t>
                </w:r>
                <w:r>
                  <w:rPr>
                    <w:rFonts w:hint="eastAsia" w:ascii="宋体" w:hAnsi="宋体" w:eastAsia="宋体" w:cs="宋体"/>
                    <w:color w:val="000000" w:themeColor="text1"/>
                    <w:kern w:val="0"/>
                    <w:sz w:val="20"/>
                    <w:szCs w:val="20"/>
                    <w14:textFill xmlns:w14="http://schemas.microsoft.com/office/word/2010/wordml">
                      <w14:solidFill>
                        <w14:schemeClr w14:val="tx1"/>
                      </w14:solidFill>
                    </w14:textFill>
                  </w:rPr>
                  <w:t>®</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 xml:space="preserve"> GeForce GTX 1650，显存容量：4GB DDR5，核心频率：1755MHz，显存频率：8002MHz</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硬盘：512G SSD+1TB机械硬盘</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光驱：DVD刻录光驱</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★电源：≥350W</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网卡：10/100/1000Mbps</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接口：前面板接口：1×耳机插孔；1×麦克风插孔；2×USB 2.0接口2×USB 3.0接口</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背板I/O端口：2×USB 2.0；4×USB 3.1接口;2×PS/2; 1×RJ45 LAN，1个COM口</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显示器：≥23寸液晶显示器</w:t>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br w:type="textWrapping"/>
                </w: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售后服务：主机和显示器三年上门保修，7*24小时大客户服务独立电话专线。</w:t>
                </w:r>
              </w:p>
            </w:tc>
            <w:tc>
              <w:tcPr>
                <w:tcW w:w="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套</w:t>
                </w:r>
              </w:p>
            </w:tc>
            <w:tc>
              <w:tcPr>
                <w:tcW w:w="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w:t>
                </w:r>
              </w:p>
            </w:tc>
          </w:tr>
          <w:tr>
            <w:tblPrEx>
              <w:tblCellMar>
                <w:top w:w="0" w:type="dxa"/>
                <w:left w:w="108" w:type="dxa"/>
                <w:bottom w:w="0" w:type="dxa"/>
                <w:right w:w="108" w:type="dxa"/>
              </w:tblCellMar>
            </w:tblPrEx>
            <w:trPr>
              <w:jc w:val="center"/>
            </w:trPr>
            <w:tc>
              <w:tcPr>
                <w:tcW w:w="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9</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高拍仪</w:t>
                </w:r>
              </w:p>
            </w:tc>
            <w:tc>
              <w:tcPr>
                <w:tcW w:w="748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★采用高清CMOS传感器，不低于1800万像素；DPI 275-1000可调；</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扫描幅面：最大支持A3，采集速度：单页文件≤1.5秒/页，成册卷宗≤1.5秒/双页；</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★处理器：32位 MIPS CPU及以上，独立CPU；存储DDR：≥1Gbit；TF存储：≥8Gbyte；</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扫描方式：支持检测翻页自动扫描设备机身按键、PC软件触发等；</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OCR文字识别多种语言OCR种类，</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支持TWAIN驱动，OCX等接口软件和技术支持。支持公式识别准确率大于等于99%；</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支持彩色、黑白、灰度、证件等多种色彩模式；</w:t>
                </w:r>
              </w:p>
              <w:p>
                <w:pPr>
                  <w:widowControl/>
                  <w:jc w:val="left"/>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加密印记：保密、严禁复制、原件、样本、绝密、紧急；</w:t>
                </w: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台　</w:t>
                </w:r>
              </w:p>
            </w:tc>
            <w:tc>
              <w:tcPr>
                <w:tcW w:w="4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0"/>
                    <w:szCs w:val="20"/>
                    <w14:textFill xmlns:w14="http://schemas.microsoft.com/office/word/2010/wordml">
                      <w14:solidFill>
                        <w14:schemeClr w14:val="tx1"/>
                      </w14:solidFill>
                    </w14:textFill>
                  </w:rPr>
                </w:pPr>
                <w:r>
                  <w:rPr>
                    <w:rFonts w:hint="eastAsia" w:ascii="仿宋" w:hAnsi="仿宋" w:eastAsia="仿宋" w:cs="宋体"/>
                    <w:color w:val="000000" w:themeColor="text1"/>
                    <w:kern w:val="0"/>
                    <w:sz w:val="20"/>
                    <w:szCs w:val="20"/>
                    <w14:textFill xmlns:w14="http://schemas.microsoft.com/office/word/2010/wordml">
                      <w14:solidFill>
                        <w14:schemeClr w14:val="tx1"/>
                      </w14:solidFill>
                    </w14:textFill>
                  </w:rPr>
                  <w:t>1　</w:t>
                </w:r>
              </w:p>
            </w:tc>
          </w:tr>
        </w:tbl>
        <w:p>
          <w:pPr>
            <w:numPr>
              <w:ilvl w:val="0"/>
              <w:numId w:val="0"/>
            </w:numPr>
            <w:spacing w:line="360" w:lineRule="auto"/>
            <w:jc w:val="left"/>
            <w:rPr>
              <w:rFonts w:ascii="仿宋_GB2312" w:hAnsi="仿宋_GB2312" w:eastAsia="仿宋_GB2312" w:cs="仿宋_GB2312"/>
              <w:bCs/>
              <w:kern w:val="0"/>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243949147374b1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243949147374b1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YKSGZC2020112</vt:lpwstr>
  </property>
</Properties>
</file>