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2021-2022年市本级机关单位车辆保险</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YKSGZC2021007-1(1)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营口市财政局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仿宋" w:hAnsi="仿宋" w:eastAsia="仿宋"/>
              <w:sz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720" w:firstLineChars="300"/>
            <w:jc w:val="left"/>
            <w:textAlignment w:val="auto"/>
            <w:rPr>
              <w:rFonts w:hint="eastAsia" w:ascii="仿宋" w:hAnsi="仿宋" w:eastAsia="仿宋" w:cs="仿宋"/>
              <w:bCs/>
              <w:sz w:val="32"/>
              <w:szCs w:val="32"/>
              <w:lang w:val="en-US"/>
            </w:rPr>
          </w:pPr>
          <w:r>
            <w:rPr>
              <w:rFonts w:hint="eastAsia" w:ascii="仿宋" w:hAnsi="仿宋" w:eastAsia="仿宋"/>
              <w:sz w:val="24"/>
              <w:lang w:eastAsia="zh-CN"/>
            </w:rPr>
            <w:t>一、</w:t>
          </w:r>
          <w:r>
            <w:rPr>
              <w:rFonts w:hint="eastAsia" w:ascii="仿宋" w:hAnsi="仿宋" w:eastAsia="仿宋" w:cs="仿宋"/>
              <w:bCs/>
              <w:kern w:val="2"/>
              <w:sz w:val="32"/>
              <w:szCs w:val="32"/>
              <w:lang w:val="en-US" w:eastAsia="zh-CN" w:bidi="ar"/>
            </w:rPr>
            <w:t>关于分包事项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Cs/>
              <w:kern w:val="2"/>
              <w:sz w:val="32"/>
              <w:szCs w:val="32"/>
              <w:lang w:val="en-US" w:eastAsia="zh-CN" w:bidi="ar"/>
            </w:rPr>
          </w:pPr>
          <w:r>
            <w:rPr>
              <w:rFonts w:hint="eastAsia" w:ascii="仿宋" w:hAnsi="仿宋" w:eastAsia="仿宋" w:cs="仿宋"/>
              <w:bCs/>
              <w:kern w:val="2"/>
              <w:sz w:val="32"/>
              <w:szCs w:val="32"/>
              <w:lang w:val="en-US" w:eastAsia="zh-CN" w:bidi="ar"/>
            </w:rPr>
            <w:t>本项目分为两包，一包为2021-2022年市本级机关单位车辆保险；二包为2021-2022年市本级事业单位车辆保险，采取兼投不兼中的方式。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二、关于采购需求</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1.采购需求：</w:t>
          </w:r>
        </w:p>
        <w:tbl>
          <w:tblPr>
            <w:tblStyle w:val="27"/>
            <w:tblW w:w="6720" w:type="dxa"/>
            <w:jc w:val="center"/>
            <w:shd w:val="clear" w:color="auto" w:fill="auto"/>
            <w:tblLayout w:type="fixed"/>
            <w:tblCellMar>
              <w:top w:w="0" w:type="dxa"/>
              <w:left w:w="108" w:type="dxa"/>
              <w:bottom w:w="0" w:type="dxa"/>
              <w:right w:w="108" w:type="dxa"/>
            </w:tblCellMar>
          </w:tblPr>
          <w:tblGrid>
            <w:gridCol w:w="1987"/>
            <w:gridCol w:w="2267"/>
            <w:gridCol w:w="2465"/>
          </w:tblGrid>
          <w:tr>
            <w:tblPrEx>
              <w:shd w:val="clear" w:color="auto" w:fill="auto"/>
              <w:tblCellMar>
                <w:top w:w="0" w:type="dxa"/>
                <w:left w:w="108" w:type="dxa"/>
                <w:bottom w:w="0" w:type="dxa"/>
                <w:right w:w="108" w:type="dxa"/>
              </w:tblCellMar>
            </w:tblPrEx>
            <w:trPr>
              <w:trHeight w:val="270" w:hRule="atLeast"/>
              <w:jc w:val="center"/>
            </w:trPr>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性质</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保项</w:t>
                </w:r>
              </w:p>
            </w:tc>
            <w:tc>
              <w:tcPr>
                <w:tcW w:w="24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保额</w:t>
                </w:r>
              </w:p>
            </w:tc>
          </w:tr>
          <w:tr>
            <w:tblPrEx>
              <w:tblCellMar>
                <w:top w:w="0" w:type="dxa"/>
                <w:left w:w="108" w:type="dxa"/>
                <w:bottom w:w="0" w:type="dxa"/>
                <w:right w:w="108" w:type="dxa"/>
              </w:tblCellMar>
            </w:tblPrEx>
            <w:trPr>
              <w:trHeight w:val="270" w:hRule="atLeast"/>
              <w:jc w:val="center"/>
            </w:trPr>
            <w:tc>
              <w:tcPr>
                <w:tcW w:w="198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交强险</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交强险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按国家相关规定投保</w:t>
                </w:r>
              </w:p>
            </w:tc>
          </w:tr>
          <w:tr>
            <w:tblPrEx>
              <w:tblCellMar>
                <w:top w:w="0" w:type="dxa"/>
                <w:left w:w="108" w:type="dxa"/>
                <w:bottom w:w="0" w:type="dxa"/>
                <w:right w:w="108" w:type="dxa"/>
              </w:tblCellMar>
            </w:tblPrEx>
            <w:trPr>
              <w:trHeight w:val="270" w:hRule="atLeast"/>
              <w:jc w:val="center"/>
            </w:trPr>
            <w:tc>
              <w:tcPr>
                <w:tcW w:w="198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车船税</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车船税</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按国家相关规定缴纳</w:t>
                </w:r>
              </w:p>
            </w:tc>
          </w:tr>
          <w:tr>
            <w:tblPrEx>
              <w:tblCellMar>
                <w:top w:w="0" w:type="dxa"/>
                <w:left w:w="108" w:type="dxa"/>
                <w:bottom w:w="0" w:type="dxa"/>
                <w:right w:w="108" w:type="dxa"/>
              </w:tblCellMar>
            </w:tblPrEx>
            <w:trPr>
              <w:trHeight w:val="270" w:hRule="atLeast"/>
              <w:jc w:val="center"/>
            </w:trPr>
            <w:tc>
              <w:tcPr>
                <w:tcW w:w="198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商业险</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机动车损失保险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足额</w:t>
                </w:r>
              </w:p>
            </w:tc>
          </w:tr>
          <w:tr>
            <w:tblPrEx>
              <w:tblCellMar>
                <w:top w:w="0" w:type="dxa"/>
                <w:left w:w="108" w:type="dxa"/>
                <w:bottom w:w="0" w:type="dxa"/>
                <w:right w:w="108" w:type="dxa"/>
              </w:tblCellMar>
            </w:tblPrEx>
            <w:trPr>
              <w:trHeight w:val="270" w:hRule="atLeast"/>
              <w:jc w:val="center"/>
            </w:trPr>
            <w:tc>
              <w:tcPr>
                <w:tcW w:w="198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第三者责任保险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100万</w:t>
                </w:r>
              </w:p>
            </w:tc>
          </w:tr>
          <w:tr>
            <w:tblPrEx>
              <w:tblCellMar>
                <w:top w:w="0" w:type="dxa"/>
                <w:left w:w="108" w:type="dxa"/>
                <w:bottom w:w="0" w:type="dxa"/>
                <w:right w:w="108" w:type="dxa"/>
              </w:tblCellMar>
            </w:tblPrEx>
            <w:trPr>
              <w:trHeight w:val="270" w:hRule="atLeast"/>
              <w:jc w:val="center"/>
            </w:trPr>
            <w:tc>
              <w:tcPr>
                <w:tcW w:w="198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车上人员责任险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1万/座</w:t>
                </w:r>
              </w:p>
            </w:tc>
          </w:tr>
        </w:tbl>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Cs/>
              <w:sz w:val="10"/>
              <w:szCs w:val="10"/>
              <w:lang w:val="en-US"/>
            </w:rPr>
          </w:pP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三、服务期限</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服务有效期为2年。以车辆各自的实际年度保险到期时间和实际要求为准，供需双方经协商同意后，合同签订方式一年一签。</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四、支付方式</w:t>
          </w:r>
        </w:p>
        <w:p>
          <w:pPr>
            <w:keepNext w:val="0"/>
            <w:keepLines w:val="0"/>
            <w:widowControl w:val="0"/>
            <w:suppressLineNumbers w:val="0"/>
            <w:spacing w:before="0" w:beforeAutospacing="0" w:after="0" w:afterAutospacing="0" w:line="500" w:lineRule="exact"/>
            <w:ind w:left="0" w:right="0" w:firstLine="640" w:firstLineChars="200"/>
            <w:jc w:val="left"/>
            <w:rPr>
              <w:rFonts w:ascii="仿宋_GB2312" w:hAnsi="仿宋_GB2312" w:eastAsia="仿宋_GB2312" w:cs="仿宋_GB2312"/>
              <w:szCs w:val="21"/>
            </w:rPr>
          </w:pPr>
          <w:r>
            <w:rPr>
              <w:rFonts w:hint="eastAsia" w:ascii="仿宋" w:hAnsi="仿宋" w:eastAsia="仿宋" w:cs="仿宋"/>
              <w:bCs/>
              <w:kern w:val="2"/>
              <w:sz w:val="32"/>
              <w:szCs w:val="32"/>
              <w:lang w:val="en-US" w:eastAsia="zh-CN" w:bidi="ar"/>
            </w:rPr>
            <w:t>每月先由保险公司进行测算，再根据实际发生额付款。</w:t>
          </w:r>
        </w:p>
        <w:p>
          <w:pPr>
            <w:spacing w:line="360" w:lineRule="auto"/>
            <w:ind w:firstLine="480" w:firstLineChars="200"/>
            <w:rPr>
              <w:rFonts w:ascii="仿宋_GB2312" w:hAnsi="仿宋_GB2312" w:eastAsia="仿宋_GB2312" w:cs="仿宋_GB2312"/>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68d3cfd961fd44e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68d3cfd961fd44e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YKSGZC2021007-1(1)</vt:lpwstr>
  </property>
</Properties>
</file>