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营口市职业技术学院2021学生上下铺床、椰棕床垫、4门更衣柜项目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YKSGZC2021074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营口职业技术学院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hint="eastAsia" w:ascii="仿宋_GB2312" w:hAnsi="仿宋_GB2312" w:eastAsia="仿宋_GB2312" w:cs="仿宋_GB2312"/>
              <w:szCs w:val="21"/>
            </w:rPr>
          </w:pPr>
        </w:p>
        <w:tbl>
          <w:tblPr>
            <w:tblStyle w:val="19"/>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2016"/>
            <w:gridCol w:w="5413"/>
            <w:gridCol w:w="49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名称</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规格</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参数</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单位</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学生上下铺床</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2000*900*1850mm</w:t>
                </w:r>
              </w:p>
            </w:tc>
            <w:tc>
              <w:tcPr>
                <w:tcW w:w="0" w:type="auto"/>
                <w:noWrap w:val="0"/>
                <w:vAlign w:val="center"/>
              </w:tcPr>
              <w:p>
                <w:pPr>
                  <w:widowControl/>
                  <w:jc w:val="left"/>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1：整体规格：2000*900*1850mm。</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2：床架立柱采用40*40*1.1mm厚方管。</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3：横档采用25*50*1.0mm方管。</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4：护栏采用直径19mm圆管。</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5：所有铁件部分表面打砂处理，静电粉末噴涂，高温烘烤定型。</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6：床板采用每根宽度为80mm松木板条，下面用20*40mm的5根原木作为连接杆，床板条和连接杆用枪钉固定，整体经过抛光，倒角制作而成。</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7：焊接采用二氧化碳保护焊接工艺进行焊接，焊接表面波纹均匀，焊接无夹渣、气孔、焊瘤、保证无虚焊、脱焊、焊穿等现象，抗压强度不少于40kg/mm2。</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8：表面处理：钢制部件表面进行去刺、酸洗、磷化、处理后再进行静电喷塑，表面光滑，3年内不生锈。</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9：采用优质螺丝五金件链接。</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套</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椰棕床垫</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1950*860*50mm</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规格：1950*860*50mm,表面为针织面料，中间为30mm厚度椰棕和20mm厚度海绵组合而成，软硬适中。</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张</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4门更衣柜</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900*500*1850mm</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规格：900mm*500mm*1850mm,板厚0.6mm</w:t>
                </w: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产品均采用优质冷轧钢板，厚度为0.6mm.耐压，强度大，抗冲击不易变形；采用静电粉末喷塑，无有机溶剂，无污染：开启灵活、扣手新颖个性。铝合金更加美观耐用。焊接部分采用高标准熔接焊，表面光滑平。</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张</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床铺板</w:t>
                </w:r>
              </w:p>
            </w:tc>
            <w:tc>
              <w:tcPr>
                <w:tcW w:w="0" w:type="auto"/>
                <w:noWrap w:val="0"/>
                <w:vAlign w:val="center"/>
              </w:tcPr>
              <w:p>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sz w:val="24"/>
                    <w:szCs w:val="24"/>
                    <w:lang w:bidi="ar"/>
                  </w:rPr>
                  <w:t>1915*825mm</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床板采用每根宽度为80mm松木板条，下面用20*40mm的5根原木作为连接杆，床板条和连接杆用枪钉固定，整体经过抛光，倒角制作而成。</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个</w:t>
                </w:r>
              </w:p>
            </w:tc>
            <w:tc>
              <w:tcPr>
                <w:tcW w:w="0" w:type="auto"/>
                <w:noWrap w:val="0"/>
                <w:vAlign w:val="center"/>
              </w:tcPr>
              <w:p>
                <w:pPr>
                  <w:widowControl/>
                  <w:jc w:val="center"/>
                  <w:textAlignment w:val="center"/>
                  <w:rPr>
                    <w:rFonts w:hint="eastAsia" w:ascii="宋体" w:hAnsi="宋体" w:cs="宋体"/>
                    <w:b w:val="0"/>
                    <w:bCs w:val="0"/>
                    <w:color w:val="000000"/>
                    <w:sz w:val="24"/>
                    <w:szCs w:val="24"/>
                  </w:rPr>
                </w:pPr>
                <w:r>
                  <w:rPr>
                    <w:rFonts w:hint="eastAsia" w:ascii="宋体" w:hAnsi="宋体" w:cs="宋体"/>
                    <w:b w:val="0"/>
                    <w:bCs w:val="0"/>
                    <w:color w:val="000000"/>
                    <w:kern w:val="0"/>
                    <w:sz w:val="24"/>
                    <w:szCs w:val="24"/>
                    <w:lang w:bidi="ar"/>
                  </w:rPr>
                  <w:t>200</w:t>
                </w:r>
              </w:p>
            </w:tc>
          </w:tr>
        </w:tbl>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0e6cc38bcf94cd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0e6cc38bcf94cd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YKSGZC2021074</vt:lpwstr>
  </property>
</Properties>
</file>