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105" w:rightChars="50" w:firstLine="729" w:firstLineChars="227"/>
        <w:jc w:val="center"/>
        <w:outlineLvl w:val="1"/>
        <w:rPr>
          <w:rFonts w:ascii="仿宋" w:hAnsi="仿宋" w:eastAsia="仿宋" w:cs="宋体"/>
          <w:b/>
          <w:bCs/>
          <w:sz w:val="32"/>
          <w:szCs w:val="32"/>
        </w:rPr>
      </w:pPr>
      <w:bookmarkStart w:id="0" w:name="_Toc14237"/>
      <w:r>
        <w:rPr>
          <w:rFonts w:hint="eastAsia" w:ascii="仿宋" w:hAnsi="仿宋" w:eastAsia="仿宋" w:cs="宋体"/>
          <w:b/>
          <w:bCs/>
          <w:sz w:val="32"/>
          <w:szCs w:val="32"/>
        </w:rPr>
        <w:t>服务价格明细表</w:t>
      </w:r>
      <w:bookmarkEnd w:id="0"/>
    </w:p>
    <w:p>
      <w:pPr>
        <w:adjustRightInd w:val="0"/>
        <w:snapToGrid w:val="0"/>
        <w:spacing w:line="360" w:lineRule="auto"/>
        <w:ind w:right="105" w:rightChars="50" w:firstLine="729" w:firstLineChars="227"/>
        <w:jc w:val="center"/>
        <w:rPr>
          <w:rFonts w:ascii="仿宋" w:hAnsi="仿宋" w:eastAsia="仿宋" w:cs="宋体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right="105" w:rightChars="50" w:firstLine="479" w:firstLineChars="227"/>
        <w:jc w:val="left"/>
        <w:rPr>
          <w:rFonts w:ascii="仿宋" w:hAnsi="仿宋" w:eastAsia="仿宋" w:cs="宋体"/>
          <w:b/>
          <w:bCs/>
          <w:szCs w:val="21"/>
        </w:rPr>
      </w:pPr>
      <w:r>
        <w:rPr>
          <w:rFonts w:hint="eastAsia" w:ascii="仿宋" w:hAnsi="仿宋" w:eastAsia="仿宋" w:cs="宋体"/>
          <w:b/>
          <w:bCs/>
          <w:szCs w:val="21"/>
        </w:rPr>
        <w:t xml:space="preserve">项目名称：智慧教学平台服务项目   项目编号：YKSGZC2020042    包号：   </w:t>
      </w:r>
      <w:r>
        <w:rPr>
          <w:rFonts w:hint="eastAsia" w:ascii="仿宋" w:hAnsi="仿宋" w:eastAsia="仿宋" w:cs="宋体"/>
          <w:b/>
          <w:bCs/>
          <w:szCs w:val="21"/>
          <w:lang w:val="en-US" w:eastAsia="zh-CN"/>
        </w:rPr>
        <w:t>1</w:t>
      </w:r>
      <w:r>
        <w:rPr>
          <w:rFonts w:hint="eastAsia" w:ascii="仿宋" w:hAnsi="仿宋" w:eastAsia="仿宋" w:cs="宋体"/>
          <w:b/>
          <w:bCs/>
          <w:szCs w:val="21"/>
        </w:rPr>
        <w:t xml:space="preserve">         报价单位：人民币元</w:t>
      </w:r>
    </w:p>
    <w:tbl>
      <w:tblPr>
        <w:tblStyle w:val="3"/>
        <w:tblW w:w="80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3078"/>
        <w:gridCol w:w="1228"/>
        <w:gridCol w:w="1238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vAlign w:val="center"/>
          </w:tcPr>
          <w:p>
            <w:pPr>
              <w:adjustRightInd w:val="0"/>
              <w:snapToGrid w:val="0"/>
              <w:ind w:left="-65" w:leftChars="-31" w:right="-46" w:rightChars="-2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3078" w:type="dxa"/>
            <w:vAlign w:val="center"/>
          </w:tcPr>
          <w:p>
            <w:pPr>
              <w:adjustRightInd w:val="0"/>
              <w:snapToGrid w:val="0"/>
              <w:ind w:left="-65" w:leftChars="-31" w:right="-46" w:rightChars="-2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名称</w:t>
            </w:r>
          </w:p>
        </w:tc>
        <w:tc>
          <w:tcPr>
            <w:tcW w:w="1228" w:type="dxa"/>
            <w:vAlign w:val="center"/>
          </w:tcPr>
          <w:p>
            <w:pPr>
              <w:adjustRightInd w:val="0"/>
              <w:snapToGrid w:val="0"/>
              <w:ind w:left="-65" w:leftChars="-31" w:right="-46" w:rightChars="-2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单价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napToGrid w:val="0"/>
              <w:ind w:left="-65" w:leftChars="-31" w:right="-46" w:rightChars="-2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总价</w:t>
            </w: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ind w:left="-65" w:leftChars="-31" w:right="-46" w:rightChars="-2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307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系统对接</w:t>
            </w:r>
          </w:p>
        </w:tc>
        <w:tc>
          <w:tcPr>
            <w:tcW w:w="122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48000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48000</w:t>
            </w: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响应招标文件服务需求要求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307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仿宋"/>
                <w:sz w:val="24"/>
              </w:rPr>
              <w:t>平台基本技术要求</w:t>
            </w:r>
          </w:p>
        </w:tc>
        <w:tc>
          <w:tcPr>
            <w:tcW w:w="122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125000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125000</w:t>
            </w: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响应招标文件服务需求要求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307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课程建设</w:t>
            </w:r>
          </w:p>
        </w:tc>
        <w:tc>
          <w:tcPr>
            <w:tcW w:w="122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150000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150000</w:t>
            </w: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响应招标文件服务需求要求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307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学习过程管理</w:t>
            </w:r>
          </w:p>
        </w:tc>
        <w:tc>
          <w:tcPr>
            <w:tcW w:w="122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100000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100000</w:t>
            </w: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响应招标文件服务需求要求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</w:p>
        </w:tc>
        <w:tc>
          <w:tcPr>
            <w:tcW w:w="307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数据查询与管理</w:t>
            </w:r>
          </w:p>
        </w:tc>
        <w:tc>
          <w:tcPr>
            <w:tcW w:w="122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100000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100000</w:t>
            </w: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响应招标文件服务需求要求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</w:t>
            </w:r>
          </w:p>
        </w:tc>
        <w:tc>
          <w:tcPr>
            <w:tcW w:w="307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移动端</w:t>
            </w:r>
          </w:p>
        </w:tc>
        <w:tc>
          <w:tcPr>
            <w:tcW w:w="122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125000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125000</w:t>
            </w: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响应招标文件服务需求要求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</w:p>
        </w:tc>
        <w:tc>
          <w:tcPr>
            <w:tcW w:w="307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大数据分析展示</w:t>
            </w:r>
          </w:p>
        </w:tc>
        <w:tc>
          <w:tcPr>
            <w:tcW w:w="122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100000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100000</w:t>
            </w: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响应招标文件服务需求要求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</w:t>
            </w:r>
          </w:p>
        </w:tc>
        <w:tc>
          <w:tcPr>
            <w:tcW w:w="307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评价管理</w:t>
            </w:r>
          </w:p>
        </w:tc>
        <w:tc>
          <w:tcPr>
            <w:tcW w:w="122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100000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100000</w:t>
            </w: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响应招标文件服务需求要求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</w:t>
            </w:r>
          </w:p>
        </w:tc>
        <w:tc>
          <w:tcPr>
            <w:tcW w:w="307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智慧教学系统教室客户端</w:t>
            </w:r>
          </w:p>
        </w:tc>
        <w:tc>
          <w:tcPr>
            <w:tcW w:w="122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100000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100000</w:t>
            </w: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响应招标文件服务需求要求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1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</w:t>
            </w:r>
          </w:p>
        </w:tc>
        <w:tc>
          <w:tcPr>
            <w:tcW w:w="307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培训及服务</w:t>
            </w:r>
          </w:p>
        </w:tc>
        <w:tc>
          <w:tcPr>
            <w:tcW w:w="122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响应招标文件服务需求要求。</w:t>
            </w:r>
            <w:r>
              <w:rPr>
                <w:rFonts w:hint="eastAsia" w:ascii="仿宋_GB2312" w:hAnsi="宋体" w:eastAsia="仿宋_GB2312"/>
                <w:szCs w:val="21"/>
              </w:rPr>
              <w:t>质保期：三年。质保期间承担平台维护、升级工作，保障系统正常运行。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089" w:type="dxa"/>
            <w:gridSpan w:val="2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总价</w:t>
            </w:r>
          </w:p>
        </w:tc>
        <w:tc>
          <w:tcPr>
            <w:tcW w:w="122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948000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948000</w:t>
            </w: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right="105" w:rightChars="50"/>
        <w:jc w:val="left"/>
        <w:rPr>
          <w:rFonts w:ascii="仿宋" w:hAnsi="仿宋" w:eastAsia="仿宋" w:cs="宋体"/>
          <w:szCs w:val="21"/>
        </w:rPr>
      </w:pPr>
    </w:p>
    <w:p>
      <w:pPr>
        <w:adjustRightInd w:val="0"/>
        <w:snapToGrid w:val="0"/>
        <w:spacing w:line="360" w:lineRule="auto"/>
        <w:ind w:right="105" w:rightChars="5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</w:t>
      </w:r>
      <w:r>
        <w:rPr>
          <w:rFonts w:ascii="仿宋_GB2312" w:hAnsi="仿宋_GB2312" w:eastAsia="仿宋_GB2312" w:cs="仿宋_GB2312"/>
          <w:szCs w:val="21"/>
        </w:rPr>
        <w:t>1.</w:t>
      </w:r>
      <w:r>
        <w:rPr>
          <w:rFonts w:hint="eastAsia" w:ascii="仿宋_GB2312" w:hAnsi="仿宋_GB2312" w:eastAsia="仿宋_GB2312" w:cs="仿宋_GB2312"/>
          <w:szCs w:val="21"/>
        </w:rPr>
        <w:t>如果按单价计算的结果与总价不一致</w:t>
      </w:r>
      <w:r>
        <w:rPr>
          <w:rFonts w:ascii="仿宋_GB2312" w:hAnsi="仿宋_GB2312" w:eastAsia="仿宋_GB2312" w:cs="仿宋_GB2312"/>
          <w:szCs w:val="21"/>
        </w:rPr>
        <w:t>,</w:t>
      </w:r>
      <w:r>
        <w:rPr>
          <w:rFonts w:hint="eastAsia" w:ascii="仿宋_GB2312" w:hAnsi="仿宋_GB2312" w:eastAsia="仿宋_GB2312" w:cs="仿宋_GB2312"/>
          <w:szCs w:val="21"/>
        </w:rPr>
        <w:t>以单价为准修正总价。</w:t>
      </w:r>
    </w:p>
    <w:p>
      <w:pPr>
        <w:adjustRightInd w:val="0"/>
        <w:snapToGrid w:val="0"/>
        <w:spacing w:line="360" w:lineRule="auto"/>
        <w:ind w:right="105" w:rightChars="50"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2.</w:t>
      </w:r>
      <w:r>
        <w:rPr>
          <w:rFonts w:hint="eastAsia" w:ascii="仿宋_GB2312" w:hAnsi="仿宋_GB2312" w:eastAsia="仿宋_GB2312" w:cs="仿宋_GB2312"/>
          <w:szCs w:val="21"/>
        </w:rPr>
        <w:t>如果不提供服务价格明细表将视为没有实质性响应采购文件。</w:t>
      </w:r>
    </w:p>
    <w:p>
      <w:pPr>
        <w:adjustRightInd w:val="0"/>
        <w:snapToGrid w:val="0"/>
        <w:spacing w:line="360" w:lineRule="auto"/>
        <w:ind w:right="105" w:rightChars="50"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3.</w:t>
      </w:r>
      <w:r>
        <w:rPr>
          <w:rFonts w:hint="eastAsia" w:ascii="仿宋_GB2312" w:hAnsi="仿宋_GB2312" w:eastAsia="仿宋_GB2312" w:cs="仿宋_GB2312"/>
          <w:szCs w:val="21"/>
        </w:rPr>
        <w:t>如果报价一览表内容与采购文件中服务价格明细表内容不一致的，以报价一览表内容为准。</w:t>
      </w:r>
      <w:bookmarkStart w:id="1" w:name="_GoBack"/>
      <w:bookmarkEnd w:id="1"/>
    </w:p>
    <w:p>
      <w:pPr>
        <w:adjustRightInd w:val="0"/>
        <w:snapToGrid w:val="0"/>
        <w:spacing w:line="360" w:lineRule="auto"/>
        <w:ind w:right="105" w:rightChars="50" w:firstLine="420" w:firstLineChars="2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4.</w:t>
      </w:r>
      <w:r>
        <w:rPr>
          <w:rFonts w:hint="eastAsia" w:ascii="仿宋_GB2312" w:hAnsi="仿宋_GB2312" w:eastAsia="仿宋_GB2312" w:cs="仿宋_GB2312"/>
          <w:szCs w:val="21"/>
        </w:rPr>
        <w:t>本表可根据实际情况进行拓展。</w:t>
      </w:r>
    </w:p>
    <w:p>
      <w:pPr>
        <w:adjustRightInd w:val="0"/>
        <w:snapToGrid w:val="0"/>
        <w:spacing w:line="360" w:lineRule="auto"/>
        <w:ind w:right="105" w:rightChars="50" w:firstLine="420" w:firstLineChars="200"/>
        <w:jc w:val="left"/>
        <w:rPr>
          <w:rFonts w:ascii="仿宋_GB2312" w:hAnsi="仿宋_GB2312" w:eastAsia="仿宋_GB2312" w:cs="仿宋_GB2312"/>
          <w:color w:val="FF0000"/>
          <w:szCs w:val="21"/>
        </w:rPr>
      </w:pPr>
      <w:r>
        <w:rPr>
          <w:rFonts w:ascii="仿宋_GB2312" w:hAnsi="仿宋_GB2312" w:eastAsia="仿宋_GB2312" w:cs="仿宋_GB2312"/>
          <w:color w:val="FF0000"/>
          <w:szCs w:val="21"/>
        </w:rPr>
        <w:t>5.</w:t>
      </w:r>
      <w:r>
        <w:rPr>
          <w:rFonts w:hint="eastAsia" w:ascii="仿宋_GB2312" w:hAnsi="仿宋_GB2312" w:eastAsia="仿宋_GB2312" w:cs="仿宋_GB2312"/>
          <w:color w:val="FF0000"/>
          <w:szCs w:val="21"/>
        </w:rPr>
        <w:t>本表格须准备一份电子版</w:t>
      </w:r>
      <w:r>
        <w:rPr>
          <w:rFonts w:ascii="仿宋_GB2312" w:hAnsi="仿宋_GB2312" w:eastAsia="仿宋_GB2312" w:cs="仿宋_GB2312"/>
          <w:color w:val="FF0000"/>
          <w:szCs w:val="21"/>
        </w:rPr>
        <w:t>U</w:t>
      </w:r>
      <w:r>
        <w:rPr>
          <w:rFonts w:hint="eastAsia" w:ascii="仿宋_GB2312" w:hAnsi="仿宋_GB2312" w:eastAsia="仿宋_GB2312" w:cs="仿宋_GB2312"/>
          <w:color w:val="FF0000"/>
          <w:szCs w:val="21"/>
        </w:rPr>
        <w:t>盘并做好标记、密封，递交投标文件时一并递交。</w:t>
      </w:r>
    </w:p>
    <w:p>
      <w:pPr>
        <w:adjustRightInd w:val="0"/>
        <w:snapToGrid w:val="0"/>
        <w:spacing w:line="360" w:lineRule="auto"/>
        <w:ind w:right="105" w:rightChars="5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ind w:right="105" w:rightChars="50" w:firstLine="476" w:firstLineChars="227"/>
        <w:jc w:val="left"/>
        <w:rPr>
          <w:rFonts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480" w:lineRule="auto"/>
        <w:ind w:right="105" w:rightChars="50"/>
        <w:jc w:val="left"/>
        <w:rPr>
          <w:rFonts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供应商</w:t>
      </w:r>
      <w:r>
        <w:rPr>
          <w:rFonts w:hint="eastAsia" w:ascii="仿宋_GB2312" w:hAnsi="仿宋_GB2312" w:eastAsia="仿宋_GB2312" w:cs="仿宋_GB2312"/>
        </w:rPr>
        <w:t>名称</w:t>
      </w:r>
      <w:r>
        <w:rPr>
          <w:rFonts w:ascii="仿宋_GB2312" w:hAnsi="仿宋_GB2312" w:eastAsia="仿宋_GB2312" w:cs="仿宋_GB2312"/>
          <w:szCs w:val="21"/>
        </w:rPr>
        <w:t>(</w:t>
      </w:r>
      <w:r>
        <w:rPr>
          <w:rFonts w:hint="eastAsia" w:ascii="仿宋_GB2312" w:hAnsi="仿宋_GB2312" w:eastAsia="仿宋_GB2312" w:cs="仿宋_GB2312"/>
          <w:szCs w:val="21"/>
        </w:rPr>
        <w:t>加盖单位公章</w:t>
      </w:r>
      <w:r>
        <w:rPr>
          <w:rFonts w:ascii="仿宋_GB2312" w:hAnsi="仿宋_GB2312" w:eastAsia="仿宋_GB2312" w:cs="仿宋_GB2312"/>
          <w:szCs w:val="21"/>
        </w:rPr>
        <w:t>):</w:t>
      </w:r>
      <w:r>
        <w:rPr>
          <w:rFonts w:ascii="仿宋_GB2312" w:hAnsi="仿宋_GB2312" w:eastAsia="仿宋_GB2312" w:cs="仿宋_GB2312"/>
          <w:szCs w:val="21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Cs w:val="21"/>
          <w:u w:val="single"/>
          <w:lang w:val="en-US" w:eastAsia="zh-CN"/>
        </w:rPr>
        <w:t>上海卓越睿新数码科技有限公司</w:t>
      </w:r>
      <w:r>
        <w:rPr>
          <w:rFonts w:ascii="仿宋_GB2312" w:hAnsi="仿宋_GB2312" w:eastAsia="仿宋_GB2312" w:cs="仿宋_GB2312"/>
          <w:szCs w:val="21"/>
          <w:u w:val="single"/>
        </w:rPr>
        <w:t xml:space="preserve">   </w:t>
      </w:r>
    </w:p>
    <w:p>
      <w:pPr>
        <w:adjustRightInd w:val="0"/>
        <w:snapToGrid w:val="0"/>
        <w:spacing w:line="480" w:lineRule="auto"/>
        <w:ind w:right="105" w:rightChars="50"/>
        <w:jc w:val="left"/>
        <w:rPr>
          <w:rFonts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法定代表人（或非法人组织负责人）或其授权委托人</w:t>
      </w:r>
      <w:r>
        <w:rPr>
          <w:rFonts w:ascii="仿宋_GB2312" w:hAnsi="仿宋_GB2312" w:eastAsia="仿宋_GB2312" w:cs="仿宋_GB2312"/>
        </w:rPr>
        <w:t>(</w:t>
      </w:r>
      <w:r>
        <w:rPr>
          <w:rFonts w:hint="eastAsia" w:ascii="仿宋_GB2312" w:hAnsi="仿宋_GB2312" w:eastAsia="仿宋_GB2312" w:cs="仿宋_GB2312"/>
        </w:rPr>
        <w:t>签字或盖章</w:t>
      </w:r>
      <w:r>
        <w:rPr>
          <w:rFonts w:ascii="仿宋_GB2312" w:hAnsi="仿宋_GB2312" w:eastAsia="仿宋_GB2312" w:cs="仿宋_GB2312"/>
        </w:rPr>
        <w:t>)</w:t>
      </w:r>
      <w:r>
        <w:rPr>
          <w:rFonts w:ascii="仿宋_GB2312" w:hAnsi="仿宋_GB2312" w:eastAsia="仿宋_GB2312" w:cs="仿宋_GB2312"/>
          <w:szCs w:val="21"/>
        </w:rPr>
        <w:t>:</w:t>
      </w:r>
      <w:r>
        <w:rPr>
          <w:rFonts w:ascii="仿宋_GB2312" w:hAnsi="仿宋_GB2312" w:eastAsia="仿宋_GB2312" w:cs="仿宋_GB2312"/>
          <w:szCs w:val="21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Cs w:val="21"/>
          <w:u w:val="single"/>
          <w:lang w:val="en-US" w:eastAsia="zh-CN"/>
        </w:rPr>
        <w:t>朱宗虎</w:t>
      </w:r>
      <w:r>
        <w:rPr>
          <w:rFonts w:ascii="仿宋_GB2312" w:hAnsi="仿宋_GB2312" w:eastAsia="仿宋_GB2312" w:cs="仿宋_GB2312"/>
          <w:szCs w:val="21"/>
          <w:u w:val="single"/>
        </w:rPr>
        <w:t xml:space="preserve">     </w:t>
      </w:r>
    </w:p>
    <w:p>
      <w:pPr>
        <w:adjustRightInd w:val="0"/>
        <w:snapToGrid w:val="0"/>
        <w:spacing w:line="360" w:lineRule="auto"/>
        <w:ind w:right="105" w:rightChars="5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日</w:t>
      </w:r>
      <w:r>
        <w:rPr>
          <w:rFonts w:ascii="仿宋_GB2312" w:hAnsi="仿宋_GB2312" w:eastAsia="仿宋_GB2312" w:cs="仿宋_GB2312"/>
          <w:szCs w:val="21"/>
        </w:rPr>
        <w:t xml:space="preserve">           </w:t>
      </w:r>
      <w:r>
        <w:rPr>
          <w:rFonts w:hint="eastAsia" w:ascii="仿宋_GB2312" w:hAnsi="仿宋_GB2312" w:eastAsia="仿宋_GB2312" w:cs="仿宋_GB2312"/>
          <w:szCs w:val="21"/>
        </w:rPr>
        <w:t>期</w:t>
      </w:r>
      <w:r>
        <w:rPr>
          <w:rFonts w:ascii="仿宋_GB2312" w:hAnsi="仿宋_GB2312" w:eastAsia="仿宋_GB2312" w:cs="仿宋_GB2312"/>
          <w:szCs w:val="21"/>
        </w:rPr>
        <w:t>:</w:t>
      </w:r>
      <w:r>
        <w:rPr>
          <w:rFonts w:ascii="仿宋_GB2312" w:hAnsi="仿宋_GB2312" w:eastAsia="仿宋_GB2312" w:cs="仿宋_GB2312"/>
          <w:szCs w:val="21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Cs w:val="21"/>
          <w:u w:val="single"/>
          <w:lang w:val="en-US" w:eastAsia="zh-CN"/>
        </w:rPr>
        <w:t>2020.5.25</w:t>
      </w:r>
      <w:r>
        <w:rPr>
          <w:rFonts w:ascii="仿宋_GB2312" w:hAnsi="仿宋_GB2312" w:eastAsia="仿宋_GB2312" w:cs="仿宋_GB2312"/>
          <w:szCs w:val="21"/>
          <w:u w:val="single"/>
        </w:rPr>
        <w:t xml:space="preserve">   </w:t>
      </w:r>
    </w:p>
    <w:p>
      <w:pPr>
        <w:adjustRightInd w:val="0"/>
        <w:snapToGrid w:val="0"/>
        <w:spacing w:line="360" w:lineRule="auto"/>
        <w:ind w:right="105" w:rightChars="50"/>
        <w:jc w:val="left"/>
        <w:rPr>
          <w:rFonts w:ascii="仿宋" w:hAnsi="仿宋" w:eastAsia="仿宋" w:cs="宋体"/>
          <w:b/>
          <w:sz w:val="28"/>
          <w:szCs w:val="28"/>
        </w:rPr>
      </w:pPr>
    </w:p>
    <w:p>
      <w:pPr>
        <w:outlineLvl w:val="9"/>
        <w:rPr>
          <w:rFonts w:hint="eastAsia" w:ascii="仿宋_GB2312" w:hAnsi="仿宋_GB2312" w:eastAsia="仿宋_GB2312" w:cs="仿宋_GB2312"/>
          <w:szCs w:val="21"/>
        </w:rPr>
      </w:pPr>
    </w:p>
    <w:p>
      <w:pPr>
        <w:outlineLvl w:val="9"/>
        <w:rPr>
          <w:rFonts w:hint="eastAsia" w:ascii="仿宋_GB2312" w:hAnsi="仿宋_GB2312" w:eastAsia="仿宋_GB2312" w:cs="仿宋_GB2312"/>
          <w:szCs w:val="21"/>
        </w:rPr>
      </w:pPr>
    </w:p>
    <w:p>
      <w:pPr>
        <w:outlineLvl w:val="1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outlineLvl w:val="1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outlineLvl w:val="1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83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99"/>
    <w:pPr>
      <w:shd w:val="clear" w:color="auto" w:fill="00008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2020-05-28T02:00:17Z</dcterms:created>
  <dc:creator>Administrator</dc:creator>
  <cp:lastModifiedBy>Administrator</cp:lastModifiedBy>
  <dcterms:modified xsi:type="dcterms:W3CDTF">2020-05-28T02:01:09Z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