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54" w:rsidRDefault="00326954" w:rsidP="00326954">
      <w:pPr>
        <w:pStyle w:val="2"/>
        <w:jc w:val="center"/>
      </w:pPr>
      <w:bookmarkStart w:id="0" w:name="_Toc28271_WPSOffice_Level2"/>
      <w:bookmarkStart w:id="1" w:name="_Toc16044_WPSOffice_Level2"/>
      <w:bookmarkStart w:id="2" w:name="_Toc54703377"/>
      <w:bookmarkStart w:id="3" w:name="_Toc54769017"/>
      <w:r>
        <w:rPr>
          <w:rFonts w:hint="eastAsia"/>
        </w:rPr>
        <w:t>（四）分项报价表</w:t>
      </w:r>
      <w:bookmarkEnd w:id="0"/>
      <w:bookmarkEnd w:id="1"/>
      <w:bookmarkEnd w:id="2"/>
      <w:bookmarkEnd w:id="3"/>
    </w:p>
    <w:p w:rsidR="00326954" w:rsidRDefault="00326954" w:rsidP="00326954">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包号：第一包                                       </w:t>
      </w:r>
      <w:r>
        <w:rPr>
          <w:rFonts w:ascii="仿宋_GB2312" w:eastAsia="仿宋_GB2312" w:hAnsi="仿宋_GB2312" w:cs="仿宋_GB2312"/>
          <w:b/>
          <w:bCs/>
          <w:szCs w:val="21"/>
        </w:rPr>
        <w:t xml:space="preserve">   </w:t>
      </w:r>
      <w:r>
        <w:rPr>
          <w:rFonts w:ascii="仿宋_GB2312" w:eastAsia="仿宋_GB2312" w:hAnsi="仿宋_GB2312" w:cs="仿宋_GB2312" w:hint="eastAsia"/>
          <w:b/>
          <w:bCs/>
          <w:szCs w:val="21"/>
        </w:rPr>
        <w:t xml:space="preserve"> 报价单位：人民币（元）</w:t>
      </w:r>
    </w:p>
    <w:tbl>
      <w:tblPr>
        <w:tblW w:w="10682" w:type="dxa"/>
        <w:tblInd w:w="-998" w:type="dxa"/>
        <w:tblLook w:val="04A0" w:firstRow="1" w:lastRow="0" w:firstColumn="1" w:lastColumn="0" w:noHBand="0" w:noVBand="1"/>
      </w:tblPr>
      <w:tblGrid>
        <w:gridCol w:w="693"/>
        <w:gridCol w:w="1349"/>
        <w:gridCol w:w="496"/>
        <w:gridCol w:w="3700"/>
        <w:gridCol w:w="467"/>
        <w:gridCol w:w="688"/>
        <w:gridCol w:w="690"/>
        <w:gridCol w:w="992"/>
        <w:gridCol w:w="992"/>
        <w:gridCol w:w="617"/>
      </w:tblGrid>
      <w:tr w:rsidR="00326954" w:rsidRPr="00E77278" w:rsidTr="00B4195A">
        <w:trPr>
          <w:trHeight w:val="540"/>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b/>
                <w:bCs/>
                <w:color w:val="000000"/>
                <w:kern w:val="0"/>
                <w:sz w:val="22"/>
                <w:szCs w:val="22"/>
              </w:rPr>
            </w:pPr>
            <w:r w:rsidRPr="00E77278">
              <w:rPr>
                <w:rFonts w:ascii="仿宋" w:eastAsia="仿宋" w:hAnsi="仿宋" w:cs="宋体" w:hint="eastAsia"/>
                <w:b/>
                <w:bCs/>
                <w:color w:val="000000"/>
                <w:kern w:val="0"/>
                <w:sz w:val="22"/>
                <w:szCs w:val="22"/>
              </w:rPr>
              <w:t>序号</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b/>
                <w:bCs/>
                <w:color w:val="000000"/>
                <w:kern w:val="0"/>
                <w:sz w:val="22"/>
                <w:szCs w:val="22"/>
              </w:rPr>
            </w:pPr>
            <w:r w:rsidRPr="00E77278">
              <w:rPr>
                <w:rFonts w:ascii="仿宋" w:eastAsia="仿宋" w:hAnsi="仿宋" w:cs="宋体" w:hint="eastAsia"/>
                <w:b/>
                <w:bCs/>
                <w:color w:val="000000"/>
                <w:kern w:val="0"/>
                <w:sz w:val="22"/>
                <w:szCs w:val="22"/>
              </w:rPr>
              <w:t>产品名称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b/>
                <w:bCs/>
                <w:color w:val="000000"/>
                <w:kern w:val="0"/>
                <w:sz w:val="22"/>
                <w:szCs w:val="22"/>
              </w:rPr>
            </w:pPr>
            <w:r w:rsidRPr="00E77278">
              <w:rPr>
                <w:rFonts w:ascii="仿宋" w:eastAsia="仿宋" w:hAnsi="仿宋" w:cs="宋体" w:hint="eastAsia"/>
                <w:b/>
                <w:bCs/>
                <w:color w:val="000000"/>
                <w:kern w:val="0"/>
                <w:sz w:val="22"/>
                <w:szCs w:val="22"/>
              </w:rPr>
              <w:t>品牌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b/>
                <w:bCs/>
                <w:color w:val="000000"/>
                <w:kern w:val="0"/>
                <w:sz w:val="22"/>
                <w:szCs w:val="22"/>
              </w:rPr>
            </w:pPr>
            <w:r w:rsidRPr="009B0929">
              <w:rPr>
                <w:rFonts w:ascii="仿宋" w:eastAsia="仿宋" w:hAnsi="仿宋" w:cs="宋体" w:hint="eastAsia"/>
                <w:b/>
                <w:bCs/>
                <w:color w:val="000000"/>
                <w:kern w:val="0"/>
                <w:sz w:val="22"/>
                <w:szCs w:val="22"/>
              </w:rPr>
              <w:t>型号规格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b/>
                <w:bCs/>
                <w:color w:val="000000"/>
                <w:kern w:val="0"/>
                <w:sz w:val="22"/>
                <w:szCs w:val="22"/>
              </w:rPr>
            </w:pPr>
            <w:r w:rsidRPr="00E77278">
              <w:rPr>
                <w:rFonts w:ascii="仿宋" w:eastAsia="仿宋" w:hAnsi="仿宋" w:cs="宋体" w:hint="eastAsia"/>
                <w:b/>
                <w:bCs/>
                <w:color w:val="000000"/>
                <w:kern w:val="0"/>
                <w:sz w:val="22"/>
                <w:szCs w:val="22"/>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b/>
                <w:bCs/>
                <w:color w:val="000000"/>
                <w:kern w:val="0"/>
                <w:sz w:val="22"/>
                <w:szCs w:val="22"/>
              </w:rPr>
            </w:pPr>
            <w:r w:rsidRPr="00E77278">
              <w:rPr>
                <w:rFonts w:ascii="仿宋" w:eastAsia="仿宋" w:hAnsi="仿宋" w:cs="宋体" w:hint="eastAsia"/>
                <w:b/>
                <w:bCs/>
                <w:color w:val="000000"/>
                <w:kern w:val="0"/>
                <w:sz w:val="22"/>
                <w:szCs w:val="22"/>
              </w:rPr>
              <w:t>原产地</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b/>
                <w:bCs/>
                <w:color w:val="000000"/>
                <w:kern w:val="0"/>
                <w:sz w:val="22"/>
                <w:szCs w:val="22"/>
              </w:rPr>
            </w:pPr>
            <w:r w:rsidRPr="00E77278">
              <w:rPr>
                <w:rFonts w:ascii="仿宋" w:eastAsia="仿宋" w:hAnsi="仿宋" w:cs="宋体" w:hint="eastAsia"/>
                <w:b/>
                <w:bCs/>
                <w:color w:val="000000"/>
                <w:kern w:val="0"/>
                <w:sz w:val="22"/>
                <w:szCs w:val="22"/>
              </w:rPr>
              <w:t>制造商名称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b/>
                <w:bCs/>
                <w:color w:val="000000"/>
                <w:kern w:val="0"/>
                <w:sz w:val="22"/>
                <w:szCs w:val="22"/>
              </w:rPr>
            </w:pPr>
            <w:r w:rsidRPr="00E77278">
              <w:rPr>
                <w:rFonts w:ascii="仿宋" w:eastAsia="仿宋" w:hAnsi="仿宋" w:cs="宋体" w:hint="eastAsia"/>
                <w:b/>
                <w:bCs/>
                <w:color w:val="000000"/>
                <w:kern w:val="0"/>
                <w:sz w:val="22"/>
                <w:szCs w:val="22"/>
              </w:rPr>
              <w:t>单价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b/>
                <w:bCs/>
                <w:color w:val="000000"/>
                <w:kern w:val="0"/>
                <w:sz w:val="22"/>
                <w:szCs w:val="22"/>
              </w:rPr>
            </w:pPr>
            <w:r w:rsidRPr="00E77278">
              <w:rPr>
                <w:rFonts w:ascii="仿宋" w:eastAsia="仿宋" w:hAnsi="仿宋" w:cs="宋体" w:hint="eastAsia"/>
                <w:b/>
                <w:bCs/>
                <w:color w:val="000000"/>
                <w:kern w:val="0"/>
                <w:sz w:val="22"/>
                <w:szCs w:val="22"/>
              </w:rPr>
              <w:t>总价</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b/>
                <w:bCs/>
                <w:color w:val="000000"/>
                <w:kern w:val="0"/>
                <w:sz w:val="22"/>
                <w:szCs w:val="22"/>
              </w:rPr>
            </w:pPr>
            <w:r w:rsidRPr="00E77278">
              <w:rPr>
                <w:rFonts w:ascii="仿宋" w:eastAsia="仿宋" w:hAnsi="仿宋" w:cs="宋体" w:hint="eastAsia"/>
                <w:b/>
                <w:bCs/>
                <w:color w:val="000000"/>
                <w:kern w:val="0"/>
                <w:sz w:val="22"/>
                <w:szCs w:val="22"/>
              </w:rPr>
              <w:t>备注</w:t>
            </w:r>
          </w:p>
        </w:tc>
      </w:tr>
      <w:tr w:rsidR="00326954" w:rsidRPr="00E77278" w:rsidTr="00B4195A">
        <w:trPr>
          <w:trHeight w:val="109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1</w:t>
            </w:r>
          </w:p>
        </w:tc>
        <w:tc>
          <w:tcPr>
            <w:tcW w:w="1349"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服务器</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新华三</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left"/>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R6900 G3</w:t>
            </w:r>
            <w:r w:rsidRPr="00E77278">
              <w:rPr>
                <w:rFonts w:ascii="仿宋" w:eastAsia="仿宋" w:hAnsi="仿宋" w:cs="宋体" w:hint="eastAsia"/>
                <w:color w:val="000000"/>
                <w:kern w:val="0"/>
                <w:sz w:val="22"/>
                <w:szCs w:val="22"/>
              </w:rPr>
              <w:br/>
              <w:t xml:space="preserve">1.采用机架式服务器，高度≥4U，标配原厂导轨； </w:t>
            </w:r>
            <w:r w:rsidRPr="00E77278">
              <w:rPr>
                <w:rFonts w:ascii="仿宋" w:eastAsia="仿宋" w:hAnsi="仿宋" w:cs="宋体" w:hint="eastAsia"/>
                <w:color w:val="000000"/>
                <w:kern w:val="0"/>
                <w:sz w:val="22"/>
                <w:szCs w:val="22"/>
              </w:rPr>
              <w:br/>
              <w:t>2.CPU类型采用Intel Xeon SP Gold/Platinum 系列CPU；</w:t>
            </w:r>
            <w:r w:rsidRPr="00E77278">
              <w:rPr>
                <w:rFonts w:ascii="仿宋" w:eastAsia="仿宋" w:hAnsi="仿宋" w:cs="宋体" w:hint="eastAsia"/>
                <w:color w:val="000000"/>
                <w:kern w:val="0"/>
                <w:sz w:val="22"/>
                <w:szCs w:val="22"/>
              </w:rPr>
              <w:br/>
              <w:t>★3.CPU实配规格≥4颗Intel Xeon SP 8160(2.1GHz/24核）处理器或更高；</w:t>
            </w:r>
            <w:r w:rsidRPr="00E77278">
              <w:rPr>
                <w:rFonts w:ascii="仿宋" w:eastAsia="仿宋" w:hAnsi="仿宋" w:cs="宋体" w:hint="eastAsia"/>
                <w:color w:val="000000"/>
                <w:kern w:val="0"/>
                <w:sz w:val="22"/>
                <w:szCs w:val="22"/>
              </w:rPr>
              <w:br/>
              <w:t>4.支持4颗CPU Mesh互联；</w:t>
            </w:r>
            <w:r w:rsidRPr="00E77278">
              <w:rPr>
                <w:rFonts w:ascii="仿宋" w:eastAsia="仿宋" w:hAnsi="仿宋" w:cs="宋体" w:hint="eastAsia"/>
                <w:color w:val="000000"/>
                <w:kern w:val="0"/>
                <w:sz w:val="22"/>
                <w:szCs w:val="22"/>
              </w:rPr>
              <w:br/>
              <w:t>★5.内存实配规格≥512GB DDR4 2666内存；</w:t>
            </w:r>
            <w:r w:rsidRPr="00E77278">
              <w:rPr>
                <w:rFonts w:ascii="仿宋" w:eastAsia="仿宋" w:hAnsi="仿宋" w:cs="宋体" w:hint="eastAsia"/>
                <w:color w:val="000000"/>
                <w:kern w:val="0"/>
                <w:sz w:val="22"/>
                <w:szCs w:val="22"/>
              </w:rPr>
              <w:br/>
              <w:t>6.内存可扩展数量本地提供≥48个内存槽位；</w:t>
            </w:r>
            <w:r w:rsidRPr="00E77278">
              <w:rPr>
                <w:rFonts w:ascii="仿宋" w:eastAsia="仿宋" w:hAnsi="仿宋" w:cs="宋体" w:hint="eastAsia"/>
                <w:color w:val="000000"/>
                <w:kern w:val="0"/>
                <w:sz w:val="22"/>
                <w:szCs w:val="22"/>
              </w:rPr>
              <w:br/>
              <w:t>7.内存保护技术采用Advanced ECC先进内存保护技术及联机备用模式，支持配置LRDIMM和UDIMM内存；</w:t>
            </w:r>
            <w:r w:rsidRPr="00E77278">
              <w:rPr>
                <w:rFonts w:ascii="仿宋" w:eastAsia="仿宋" w:hAnsi="仿宋" w:cs="宋体" w:hint="eastAsia"/>
                <w:color w:val="000000"/>
                <w:kern w:val="0"/>
                <w:sz w:val="22"/>
                <w:szCs w:val="22"/>
              </w:rPr>
              <w:br/>
              <w:t>8.内存可扩展数量支持≥6TB内存；</w:t>
            </w:r>
            <w:r w:rsidRPr="00E77278">
              <w:rPr>
                <w:rFonts w:ascii="仿宋" w:eastAsia="仿宋" w:hAnsi="仿宋" w:cs="宋体" w:hint="eastAsia"/>
                <w:color w:val="000000"/>
                <w:kern w:val="0"/>
                <w:sz w:val="22"/>
                <w:szCs w:val="22"/>
              </w:rPr>
              <w:br/>
              <w:t>9.永久内存支持≥24个Intel DCPMM数据中心级持久内存，单条支持128/256/512GB；</w:t>
            </w:r>
            <w:r w:rsidRPr="00E77278">
              <w:rPr>
                <w:rFonts w:ascii="仿宋" w:eastAsia="仿宋" w:hAnsi="仿宋" w:cs="宋体" w:hint="eastAsia"/>
                <w:color w:val="000000"/>
                <w:kern w:val="0"/>
                <w:sz w:val="22"/>
                <w:szCs w:val="22"/>
              </w:rPr>
              <w:br/>
              <w:t>10.内置硬盘类型支持2.5"热插拔 SAS/SATA/SSD/NVMe硬盘；</w:t>
            </w:r>
            <w:r w:rsidRPr="00E77278">
              <w:rPr>
                <w:rFonts w:ascii="仿宋" w:eastAsia="仿宋" w:hAnsi="仿宋" w:cs="宋体" w:hint="eastAsia"/>
                <w:color w:val="000000"/>
                <w:kern w:val="0"/>
                <w:sz w:val="22"/>
                <w:szCs w:val="22"/>
              </w:rPr>
              <w:br/>
              <w:t>★11.内置硬盘实配规格≥4块600GB 10Krpm SAS硬盘，支持热插拔；</w:t>
            </w:r>
            <w:r w:rsidRPr="00E77278">
              <w:rPr>
                <w:rFonts w:ascii="仿宋" w:eastAsia="仿宋" w:hAnsi="仿宋" w:cs="宋体" w:hint="eastAsia"/>
                <w:color w:val="000000"/>
                <w:kern w:val="0"/>
                <w:sz w:val="22"/>
                <w:szCs w:val="22"/>
              </w:rPr>
              <w:br/>
              <w:t>12.内置硬盘扩展≥8个2.5寸硬盘槽位，支持≥48块2.5寸热插拔硬盘；</w:t>
            </w:r>
            <w:r w:rsidRPr="00E77278">
              <w:rPr>
                <w:rFonts w:ascii="仿宋" w:eastAsia="仿宋" w:hAnsi="仿宋" w:cs="宋体" w:hint="eastAsia"/>
                <w:color w:val="000000"/>
                <w:kern w:val="0"/>
                <w:sz w:val="22"/>
                <w:szCs w:val="22"/>
              </w:rPr>
              <w:br/>
              <w:t>13.NVMe硬盘支持≥16个前置2.5寸可热插拔NVMe PCIe SSD硬盘；</w:t>
            </w:r>
            <w:r w:rsidRPr="00E77278">
              <w:rPr>
                <w:rFonts w:ascii="仿宋" w:eastAsia="仿宋" w:hAnsi="仿宋" w:cs="宋体" w:hint="eastAsia"/>
                <w:color w:val="000000"/>
                <w:kern w:val="0"/>
                <w:sz w:val="22"/>
                <w:szCs w:val="22"/>
              </w:rPr>
              <w:br/>
              <w:t>14.启动盘可选项支持双M.2卡配置Raid1，作为操作系统安装盘；支持SD卡做启动盘；</w:t>
            </w:r>
            <w:r w:rsidRPr="00E77278">
              <w:rPr>
                <w:rFonts w:ascii="仿宋" w:eastAsia="仿宋" w:hAnsi="仿宋" w:cs="宋体" w:hint="eastAsia"/>
                <w:color w:val="000000"/>
                <w:kern w:val="0"/>
                <w:sz w:val="22"/>
                <w:szCs w:val="22"/>
              </w:rPr>
              <w:br/>
              <w:t>15.阵列控制器≥1个阵列卡，配置12Gbps SAS磁盘阵列控制器，支持Raid0/1/10/5/50/6/60，Raid 1/10，≥2GB缓存，支持缓存数据保护，且</w:t>
            </w:r>
            <w:r w:rsidRPr="00E77278">
              <w:rPr>
                <w:rFonts w:ascii="仿宋" w:eastAsia="仿宋" w:hAnsi="仿宋" w:cs="宋体" w:hint="eastAsia"/>
                <w:color w:val="000000"/>
                <w:kern w:val="0"/>
                <w:sz w:val="22"/>
                <w:szCs w:val="22"/>
              </w:rPr>
              <w:lastRenderedPageBreak/>
              <w:t>后备保护不受时间限制；</w:t>
            </w:r>
            <w:r w:rsidRPr="00E77278">
              <w:rPr>
                <w:rFonts w:ascii="仿宋" w:eastAsia="仿宋" w:hAnsi="仿宋" w:cs="宋体" w:hint="eastAsia"/>
                <w:color w:val="000000"/>
                <w:kern w:val="0"/>
                <w:sz w:val="22"/>
                <w:szCs w:val="22"/>
              </w:rPr>
              <w:br/>
              <w:t>16.IO扩展插槽≥6个PCI-e 3.0全高插槽；</w:t>
            </w:r>
            <w:r w:rsidRPr="00E77278">
              <w:rPr>
                <w:rFonts w:ascii="仿宋" w:eastAsia="仿宋" w:hAnsi="仿宋" w:cs="宋体" w:hint="eastAsia"/>
                <w:color w:val="000000"/>
                <w:kern w:val="0"/>
                <w:sz w:val="22"/>
                <w:szCs w:val="22"/>
              </w:rPr>
              <w:br/>
              <w:t>17.GPU支持≥2个企业级双宽或≥6个企业级单宽GPU；</w:t>
            </w:r>
            <w:r w:rsidRPr="00E77278">
              <w:rPr>
                <w:rFonts w:ascii="仿宋" w:eastAsia="仿宋" w:hAnsi="仿宋" w:cs="宋体" w:hint="eastAsia"/>
                <w:color w:val="000000"/>
                <w:kern w:val="0"/>
                <w:sz w:val="22"/>
                <w:szCs w:val="22"/>
              </w:rPr>
              <w:br/>
              <w:t>18.网卡标配1个网卡mLOM插槽，支持可选配千兆或万兆网卡；</w:t>
            </w:r>
            <w:r w:rsidRPr="00E77278">
              <w:rPr>
                <w:rFonts w:ascii="仿宋" w:eastAsia="仿宋" w:hAnsi="仿宋" w:cs="宋体" w:hint="eastAsia"/>
                <w:color w:val="000000"/>
                <w:kern w:val="0"/>
                <w:sz w:val="22"/>
                <w:szCs w:val="22"/>
              </w:rPr>
              <w:br/>
              <w:t>19.扩展网卡可选1Gb/10Gb/25Gb/40Gb/100Gb以太网卡或56Gb/100Gb IB/OPA卡；</w:t>
            </w:r>
            <w:r w:rsidRPr="00E77278">
              <w:rPr>
                <w:rFonts w:ascii="仿宋" w:eastAsia="仿宋" w:hAnsi="仿宋" w:cs="宋体" w:hint="eastAsia"/>
                <w:color w:val="000000"/>
                <w:kern w:val="0"/>
                <w:sz w:val="22"/>
                <w:szCs w:val="22"/>
              </w:rPr>
              <w:br/>
              <w:t>20.网卡实配配置规格≥4个1G电口，≥4个10G光口带模块，≥2块2端口16Gb光纤HBA卡带模块；</w:t>
            </w:r>
            <w:r w:rsidRPr="00E77278">
              <w:rPr>
                <w:rFonts w:ascii="仿宋" w:eastAsia="仿宋" w:hAnsi="仿宋" w:cs="宋体" w:hint="eastAsia"/>
                <w:color w:val="000000"/>
                <w:kern w:val="0"/>
                <w:sz w:val="22"/>
                <w:szCs w:val="22"/>
              </w:rPr>
              <w:br/>
              <w:t>21.冗余电源配置≥4个1200W热插拔冗余电源，支持1+1/N+N冗余，支持240VDC，380VDC，48VDC；</w:t>
            </w:r>
            <w:r w:rsidRPr="00E77278">
              <w:rPr>
                <w:rFonts w:ascii="仿宋" w:eastAsia="仿宋" w:hAnsi="仿宋" w:cs="宋体" w:hint="eastAsia"/>
                <w:color w:val="000000"/>
                <w:kern w:val="0"/>
                <w:sz w:val="22"/>
                <w:szCs w:val="22"/>
              </w:rPr>
              <w:br/>
              <w:t>22.冗余风扇支持热插拔冗余风扇；</w:t>
            </w:r>
            <w:r w:rsidRPr="00E77278">
              <w:rPr>
                <w:rFonts w:ascii="仿宋" w:eastAsia="仿宋" w:hAnsi="仿宋" w:cs="宋体" w:hint="eastAsia"/>
                <w:color w:val="000000"/>
                <w:kern w:val="0"/>
                <w:sz w:val="22"/>
                <w:szCs w:val="22"/>
              </w:rPr>
              <w:br/>
              <w:t>23.远程管理卡配置≥1Gb独立的远程管理控制端口，配置虚拟KVM功能，可实现与操作系统无关的远程对服务器的完全控制，包括远程的开机、关机、重启、更新Firmware、虚拟软驱、虚拟光驱等操作，提供服务器健康日记、服务器控制台录屏/回放功能，能够提供电源监控，可支持动态功率封顶。</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杭州</w:t>
            </w:r>
          </w:p>
        </w:tc>
        <w:tc>
          <w:tcPr>
            <w:tcW w:w="1653"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新华三技术有限公司</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535800</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1071600</w:t>
            </w:r>
          </w:p>
        </w:tc>
        <w:tc>
          <w:tcPr>
            <w:tcW w:w="617"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无</w:t>
            </w:r>
          </w:p>
        </w:tc>
      </w:tr>
      <w:tr w:rsidR="00326954" w:rsidRPr="00E77278" w:rsidTr="00B4195A">
        <w:trPr>
          <w:trHeight w:val="109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lastRenderedPageBreak/>
              <w:t>2</w:t>
            </w:r>
          </w:p>
        </w:tc>
        <w:tc>
          <w:tcPr>
            <w:tcW w:w="1349"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HIS系统存储</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新华三</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left"/>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CF8840</w:t>
            </w:r>
            <w:r w:rsidRPr="00E77278">
              <w:rPr>
                <w:rFonts w:ascii="仿宋" w:eastAsia="仿宋" w:hAnsi="仿宋" w:cs="宋体" w:hint="eastAsia"/>
                <w:color w:val="000000"/>
                <w:kern w:val="0"/>
                <w:sz w:val="22"/>
                <w:szCs w:val="22"/>
              </w:rPr>
              <w:br/>
              <w:t>1.采用多控制器架构，多个控制器之间采用PCI-E或Infiniband总线点对点全网状直接互联，非交换机模式互联且非万兆网络或FC链路互联模式，每个存储控制器架构相同且处理能力均衡，对于单一LUN，多个控制器可以并行读写，配置2个存储控制器，最大可以扩展到16个控制器引擎，每个控制器配置两颗非ARM架构处理器；</w:t>
            </w:r>
            <w:r w:rsidRPr="00E77278">
              <w:rPr>
                <w:rFonts w:ascii="仿宋" w:eastAsia="仿宋" w:hAnsi="仿宋" w:cs="宋体" w:hint="eastAsia"/>
                <w:color w:val="000000"/>
                <w:kern w:val="0"/>
                <w:sz w:val="22"/>
                <w:szCs w:val="22"/>
              </w:rPr>
              <w:br/>
              <w:t>2.统一存储配置基于控制器的SAN+NAS软件授权，配置原生的NAS功能，无需另配NAS网关；</w:t>
            </w:r>
            <w:r w:rsidRPr="00E77278">
              <w:rPr>
                <w:rFonts w:ascii="仿宋" w:eastAsia="仿宋" w:hAnsi="仿宋" w:cs="宋体" w:hint="eastAsia"/>
                <w:color w:val="000000"/>
                <w:kern w:val="0"/>
                <w:sz w:val="22"/>
                <w:szCs w:val="22"/>
              </w:rPr>
              <w:br/>
              <w:t>★3.主机接口配置16Gbps FC主机端口≥12个，支持16Gbps FC，10Gbps iSCSI/FCoE，10GbE/1GbE NAS等，最大支持96个主机端口；</w:t>
            </w:r>
            <w:r w:rsidRPr="00E77278">
              <w:rPr>
                <w:rFonts w:ascii="仿宋" w:eastAsia="仿宋" w:hAnsi="仿宋" w:cs="宋体" w:hint="eastAsia"/>
                <w:color w:val="000000"/>
                <w:kern w:val="0"/>
                <w:sz w:val="22"/>
                <w:szCs w:val="22"/>
              </w:rPr>
              <w:br/>
              <w:t>4.支持高速缓存≥64GB，最大可支持</w:t>
            </w:r>
            <w:r w:rsidRPr="00E77278">
              <w:rPr>
                <w:rFonts w:ascii="仿宋" w:eastAsia="仿宋" w:hAnsi="仿宋" w:cs="宋体" w:hint="eastAsia"/>
                <w:color w:val="000000"/>
                <w:kern w:val="0"/>
                <w:sz w:val="22"/>
                <w:szCs w:val="22"/>
              </w:rPr>
              <w:lastRenderedPageBreak/>
              <w:t>512GB高速缓存（缓存不包含SSD磁盘、PCI-E SSD、闪存、压缩或重删缓存和NAS控制器缓存），数据缓存和控制缓存分离，读写缓存比例动态自适应调整，缓存刷新在线动态自适应调节；</w:t>
            </w:r>
            <w:r w:rsidRPr="00E77278">
              <w:rPr>
                <w:rFonts w:ascii="仿宋" w:eastAsia="仿宋" w:hAnsi="仿宋" w:cs="宋体" w:hint="eastAsia"/>
                <w:color w:val="000000"/>
                <w:kern w:val="0"/>
                <w:sz w:val="22"/>
                <w:szCs w:val="22"/>
              </w:rPr>
              <w:br/>
              <w:t>★5.磁盘配置≥16块1.2TB 10K SAS企业级硬盘，≥24块8T 7.2K企业级硬盘，配置跨盘柜RAID保护功能；</w:t>
            </w:r>
            <w:r w:rsidRPr="00E77278">
              <w:rPr>
                <w:rFonts w:ascii="仿宋" w:eastAsia="仿宋" w:hAnsi="仿宋" w:cs="宋体" w:hint="eastAsia"/>
                <w:color w:val="000000"/>
                <w:kern w:val="0"/>
                <w:sz w:val="22"/>
                <w:szCs w:val="22"/>
              </w:rPr>
              <w:br/>
              <w:t>6.磁盘类型同时支持SSD、15K SAS、10K SAS和7.2K NL-SAS硬盘，支持硬盘混插；</w:t>
            </w:r>
            <w:r w:rsidRPr="00E77278">
              <w:rPr>
                <w:rFonts w:ascii="仿宋" w:eastAsia="仿宋" w:hAnsi="仿宋" w:cs="宋体" w:hint="eastAsia"/>
                <w:color w:val="000000"/>
                <w:kern w:val="0"/>
                <w:sz w:val="22"/>
                <w:szCs w:val="22"/>
              </w:rPr>
              <w:br/>
              <w:t>7.磁盘扩展最大支持2300块企业级硬盘，单盘上支持多种RAID类型并存；</w:t>
            </w:r>
            <w:r w:rsidRPr="00E77278">
              <w:rPr>
                <w:rFonts w:ascii="仿宋" w:eastAsia="仿宋" w:hAnsi="仿宋" w:cs="宋体" w:hint="eastAsia"/>
                <w:color w:val="000000"/>
                <w:kern w:val="0"/>
                <w:sz w:val="22"/>
                <w:szCs w:val="22"/>
              </w:rPr>
              <w:br/>
              <w:t>8.RAID级别支持RAID0/1/5/6/10/50/60，支持无中断地RAID改变；</w:t>
            </w:r>
            <w:r w:rsidRPr="00E77278">
              <w:rPr>
                <w:rFonts w:ascii="仿宋" w:eastAsia="仿宋" w:hAnsi="仿宋" w:cs="宋体" w:hint="eastAsia"/>
                <w:color w:val="000000"/>
                <w:kern w:val="0"/>
                <w:sz w:val="22"/>
                <w:szCs w:val="22"/>
              </w:rPr>
              <w:br/>
              <w:t>9.智能管理运维平台配置图形界面管理软件，支持多种语言，支持多台设备集中管理，支持存储资源管理分析和资源使用历史记录分析，支持WEB管理，支持CLI管理，支持多种事件通知功能；</w:t>
            </w:r>
            <w:r w:rsidRPr="00E77278">
              <w:rPr>
                <w:rFonts w:ascii="仿宋" w:eastAsia="仿宋" w:hAnsi="仿宋" w:cs="宋体" w:hint="eastAsia"/>
                <w:color w:val="000000"/>
                <w:kern w:val="0"/>
                <w:sz w:val="22"/>
                <w:szCs w:val="22"/>
              </w:rPr>
              <w:br/>
              <w:t>10.支持全容量许可精简功能，实现存储空间超分配，精简回收颗粒度≤128KB，后续扩容无需额外购买许可；</w:t>
            </w:r>
            <w:r w:rsidRPr="00E77278">
              <w:rPr>
                <w:rFonts w:ascii="仿宋" w:eastAsia="仿宋" w:hAnsi="仿宋" w:cs="宋体" w:hint="eastAsia"/>
                <w:color w:val="000000"/>
                <w:kern w:val="0"/>
                <w:sz w:val="22"/>
                <w:szCs w:val="22"/>
              </w:rPr>
              <w:br/>
              <w:t>11.支持全容量许可的克隆功能，后续扩容无需额外购买许可；</w:t>
            </w:r>
            <w:r w:rsidRPr="00E77278">
              <w:rPr>
                <w:rFonts w:ascii="仿宋" w:eastAsia="仿宋" w:hAnsi="仿宋" w:cs="宋体" w:hint="eastAsia"/>
                <w:color w:val="000000"/>
                <w:kern w:val="0"/>
                <w:sz w:val="22"/>
                <w:szCs w:val="22"/>
              </w:rPr>
              <w:br/>
              <w:t>12.支持全容量许可快照功能，有效预防各种软故障的发生，快照无需预留空间，后续扩容无需额外购买许可；</w:t>
            </w:r>
            <w:r w:rsidRPr="00E77278">
              <w:rPr>
                <w:rFonts w:ascii="仿宋" w:eastAsia="仿宋" w:hAnsi="仿宋" w:cs="宋体" w:hint="eastAsia"/>
                <w:color w:val="000000"/>
                <w:kern w:val="0"/>
                <w:sz w:val="22"/>
                <w:szCs w:val="22"/>
              </w:rPr>
              <w:br/>
              <w:t>13.支持存储QoS授权许可，支持单卷和分区的IOPS上限和下限、Bandwidth上限和下限、Response Time设定（RT最小0.5ms）；</w:t>
            </w:r>
            <w:r w:rsidRPr="00E77278">
              <w:rPr>
                <w:rFonts w:ascii="仿宋" w:eastAsia="仿宋" w:hAnsi="仿宋" w:cs="宋体" w:hint="eastAsia"/>
                <w:color w:val="000000"/>
                <w:kern w:val="0"/>
                <w:sz w:val="22"/>
                <w:szCs w:val="22"/>
              </w:rPr>
              <w:br/>
              <w:t>14.资源监控和预测支持性能监控和分析软件，支持高级图形化报表软件，可以定制历史运行数据的图形化报表。支持提供基于虚拟机环境下的细粒度性能监控功能，可在存储管理界面下实施监测存储中每一个虚机的性能状态（图吞吐量、IOPS及时延）；</w:t>
            </w:r>
            <w:r w:rsidRPr="00E77278">
              <w:rPr>
                <w:rFonts w:ascii="仿宋" w:eastAsia="仿宋" w:hAnsi="仿宋" w:cs="宋体" w:hint="eastAsia"/>
                <w:color w:val="000000"/>
                <w:kern w:val="0"/>
                <w:sz w:val="22"/>
                <w:szCs w:val="22"/>
              </w:rPr>
              <w:br/>
            </w:r>
            <w:r w:rsidRPr="00E77278">
              <w:rPr>
                <w:rFonts w:ascii="仿宋" w:eastAsia="仿宋" w:hAnsi="仿宋" w:cs="宋体" w:hint="eastAsia"/>
                <w:color w:val="000000"/>
                <w:kern w:val="0"/>
                <w:sz w:val="22"/>
                <w:szCs w:val="22"/>
              </w:rPr>
              <w:lastRenderedPageBreak/>
              <w:t>15.支持配置全容量许可的在线重删压缩功能，可针对指定LUN进行开启或关闭操作，后续扩容无需额外购买许可；</w:t>
            </w:r>
            <w:r w:rsidRPr="00E77278">
              <w:rPr>
                <w:rFonts w:ascii="仿宋" w:eastAsia="仿宋" w:hAnsi="仿宋" w:cs="宋体" w:hint="eastAsia"/>
                <w:color w:val="000000"/>
                <w:kern w:val="0"/>
                <w:sz w:val="22"/>
                <w:szCs w:val="22"/>
              </w:rPr>
              <w:br/>
              <w:t>16.支持配置全容量许可的存储自动分层功能，可实现数据分层存储，系统自动将动态热点数据提升至高速盘中，以解决动态数据热点的性能问题，后续扩容无需额外购买许可；</w:t>
            </w:r>
            <w:r w:rsidRPr="00E77278">
              <w:rPr>
                <w:rFonts w:ascii="仿宋" w:eastAsia="仿宋" w:hAnsi="仿宋" w:cs="宋体" w:hint="eastAsia"/>
                <w:color w:val="000000"/>
                <w:kern w:val="0"/>
                <w:sz w:val="22"/>
                <w:szCs w:val="22"/>
              </w:rPr>
              <w:br/>
              <w:t>17.支持实配存储双活功能，在不加额外网关的情况下可以实现和同厂商中端和高端型号存储组成双活阵列，在一台阵列故障的情况下，主机IO访问可以无缝切换到另外一台阵列而不会中断业务，支持VMWare、Windows Server、MS Hyper-V和Oracle RAC等；</w:t>
            </w:r>
            <w:r w:rsidRPr="00E77278">
              <w:rPr>
                <w:rFonts w:ascii="仿宋" w:eastAsia="仿宋" w:hAnsi="仿宋" w:cs="宋体" w:hint="eastAsia"/>
                <w:color w:val="000000"/>
                <w:kern w:val="0"/>
                <w:sz w:val="22"/>
                <w:szCs w:val="22"/>
              </w:rPr>
              <w:br/>
              <w:t>18.操作系统支持Windows、Linux、VMware、UNIX (HP-UX、AIX、Solaris等)。</w:t>
            </w:r>
            <w:r w:rsidRPr="00E77278">
              <w:rPr>
                <w:rFonts w:ascii="仿宋" w:eastAsia="仿宋" w:hAnsi="仿宋" w:cs="宋体" w:hint="eastAsia"/>
                <w:color w:val="000000"/>
                <w:kern w:val="0"/>
                <w:sz w:val="22"/>
                <w:szCs w:val="22"/>
              </w:rPr>
              <w:br/>
            </w:r>
            <w:r w:rsidRPr="00EC5E50">
              <w:rPr>
                <w:rFonts w:ascii="仿宋" w:eastAsia="仿宋" w:hAnsi="仿宋" w:cs="宋体" w:hint="eastAsia"/>
                <w:color w:val="000000"/>
                <w:kern w:val="0"/>
                <w:sz w:val="22"/>
                <w:szCs w:val="22"/>
              </w:rPr>
              <w:t>★19.本产品与原有HIS存储进行数据对接，实现数据互联互通，无障碍调用。已提供对接承诺函并加盖投标人公章。</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杭州</w:t>
            </w:r>
          </w:p>
        </w:tc>
        <w:tc>
          <w:tcPr>
            <w:tcW w:w="1653"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新华三技术有限公司</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1064000</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1064000</w:t>
            </w:r>
          </w:p>
        </w:tc>
        <w:tc>
          <w:tcPr>
            <w:tcW w:w="617"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无</w:t>
            </w:r>
          </w:p>
        </w:tc>
      </w:tr>
      <w:tr w:rsidR="00326954" w:rsidRPr="00E77278" w:rsidTr="00B4195A">
        <w:trPr>
          <w:trHeight w:val="109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lastRenderedPageBreak/>
              <w:t>3</w:t>
            </w:r>
          </w:p>
        </w:tc>
        <w:tc>
          <w:tcPr>
            <w:tcW w:w="1349"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PACS系统存储</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新华三</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left"/>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CF8840</w:t>
            </w:r>
            <w:r w:rsidRPr="00E77278">
              <w:rPr>
                <w:rFonts w:ascii="仿宋" w:eastAsia="仿宋" w:hAnsi="仿宋" w:cs="宋体" w:hint="eastAsia"/>
                <w:color w:val="000000"/>
                <w:kern w:val="0"/>
                <w:sz w:val="22"/>
                <w:szCs w:val="22"/>
              </w:rPr>
              <w:br/>
              <w:t>1.采用多控制器架构，多个控制器之间采用PCI-E或Infiniband总线点对点全网状直接互联，非交换机模式互联且非万兆网络或FC链路互联模式，每个存储控制器架构相同且处理能力均衡，对于单一LUN，多个控制器可以并行读写，配置2个存储控制器，最大可以扩展到16个控制器引擎，每个控制器配置两颗非ARM架构处理器；</w:t>
            </w:r>
            <w:r w:rsidRPr="00E77278">
              <w:rPr>
                <w:rFonts w:ascii="仿宋" w:eastAsia="仿宋" w:hAnsi="仿宋" w:cs="宋体" w:hint="eastAsia"/>
                <w:color w:val="000000"/>
                <w:kern w:val="0"/>
                <w:sz w:val="22"/>
                <w:szCs w:val="22"/>
              </w:rPr>
              <w:br/>
              <w:t>2.统一存储配置基于控制器的SAN+NAS软件授权，配置原生的NAS功能，无需另配NAS网关；</w:t>
            </w:r>
            <w:r w:rsidRPr="00E77278">
              <w:rPr>
                <w:rFonts w:ascii="仿宋" w:eastAsia="仿宋" w:hAnsi="仿宋" w:cs="宋体" w:hint="eastAsia"/>
                <w:color w:val="000000"/>
                <w:kern w:val="0"/>
                <w:sz w:val="22"/>
                <w:szCs w:val="22"/>
              </w:rPr>
              <w:br/>
              <w:t>★3.主机接口配置16Gbps FC主机端口≥12个，支持16Gbps FC，10Gbps iSCSI/FCoE，10GbE/1GbE NAS等，最大支持96个主机端口；</w:t>
            </w:r>
            <w:r w:rsidRPr="00E77278">
              <w:rPr>
                <w:rFonts w:ascii="仿宋" w:eastAsia="仿宋" w:hAnsi="仿宋" w:cs="宋体" w:hint="eastAsia"/>
                <w:color w:val="000000"/>
                <w:kern w:val="0"/>
                <w:sz w:val="22"/>
                <w:szCs w:val="22"/>
              </w:rPr>
              <w:br/>
              <w:t>4.支持高速缓存≥64GB，最大可支持512GB高速缓存（缓存不包含SSD磁盘、PCI-E SSD、闪存、压缩或重删</w:t>
            </w:r>
            <w:r w:rsidRPr="00E77278">
              <w:rPr>
                <w:rFonts w:ascii="仿宋" w:eastAsia="仿宋" w:hAnsi="仿宋" w:cs="宋体" w:hint="eastAsia"/>
                <w:color w:val="000000"/>
                <w:kern w:val="0"/>
                <w:sz w:val="22"/>
                <w:szCs w:val="22"/>
              </w:rPr>
              <w:lastRenderedPageBreak/>
              <w:t>缓存和NAS控制器缓存），数据缓存和控制缓存分离，读写缓存比例动态自适应调整，缓存刷新在线动态自适应调节；</w:t>
            </w:r>
            <w:r w:rsidRPr="00E77278">
              <w:rPr>
                <w:rFonts w:ascii="仿宋" w:eastAsia="仿宋" w:hAnsi="仿宋" w:cs="宋体" w:hint="eastAsia"/>
                <w:color w:val="000000"/>
                <w:kern w:val="0"/>
                <w:sz w:val="22"/>
                <w:szCs w:val="22"/>
              </w:rPr>
              <w:br/>
              <w:t>★5.磁盘配置≥16块1.2TB 10K SAS企业级硬盘，配置跨盘柜RAID保护功能；</w:t>
            </w:r>
            <w:r w:rsidRPr="00E77278">
              <w:rPr>
                <w:rFonts w:ascii="仿宋" w:eastAsia="仿宋" w:hAnsi="仿宋" w:cs="宋体" w:hint="eastAsia"/>
                <w:color w:val="000000"/>
                <w:kern w:val="0"/>
                <w:sz w:val="22"/>
                <w:szCs w:val="22"/>
              </w:rPr>
              <w:br/>
              <w:t>6.磁盘类型同时支持SSD、15K SAS、10K SAS和7.2K NL-SAS硬盘，支持硬盘混插；</w:t>
            </w:r>
            <w:r w:rsidRPr="00E77278">
              <w:rPr>
                <w:rFonts w:ascii="仿宋" w:eastAsia="仿宋" w:hAnsi="仿宋" w:cs="宋体" w:hint="eastAsia"/>
                <w:color w:val="000000"/>
                <w:kern w:val="0"/>
                <w:sz w:val="22"/>
                <w:szCs w:val="22"/>
              </w:rPr>
              <w:br/>
              <w:t>7.磁盘扩展最大支持2300块企业级硬盘，单盘上支持多种RAID类型并存；</w:t>
            </w:r>
            <w:r w:rsidRPr="00E77278">
              <w:rPr>
                <w:rFonts w:ascii="仿宋" w:eastAsia="仿宋" w:hAnsi="仿宋" w:cs="宋体" w:hint="eastAsia"/>
                <w:color w:val="000000"/>
                <w:kern w:val="0"/>
                <w:sz w:val="22"/>
                <w:szCs w:val="22"/>
              </w:rPr>
              <w:br/>
              <w:t>8.RAID级别支持RAID0/1/5/6/10/50/60，支持无中断地RAID改变；</w:t>
            </w:r>
            <w:r w:rsidRPr="00E77278">
              <w:rPr>
                <w:rFonts w:ascii="仿宋" w:eastAsia="仿宋" w:hAnsi="仿宋" w:cs="宋体" w:hint="eastAsia"/>
                <w:color w:val="000000"/>
                <w:kern w:val="0"/>
                <w:sz w:val="22"/>
                <w:szCs w:val="22"/>
              </w:rPr>
              <w:br/>
              <w:t>9.智能管理运维平台配置图形界面管理软件，支持多种语言，支持多台设备集中管理，支持存储资源管理分析和资源使用历史记录分析，支持WEB管理，支持CLI管理，支持多种事件通知功能；</w:t>
            </w:r>
            <w:r w:rsidRPr="00E77278">
              <w:rPr>
                <w:rFonts w:ascii="仿宋" w:eastAsia="仿宋" w:hAnsi="仿宋" w:cs="宋体" w:hint="eastAsia"/>
                <w:color w:val="000000"/>
                <w:kern w:val="0"/>
                <w:sz w:val="22"/>
                <w:szCs w:val="22"/>
              </w:rPr>
              <w:br/>
              <w:t>10.支持全容量许可精简功能，实现存储空间超分配，精简回收颗粒度≤128KB，后续扩容无需额外购买许可；</w:t>
            </w:r>
            <w:r w:rsidRPr="00E77278">
              <w:rPr>
                <w:rFonts w:ascii="仿宋" w:eastAsia="仿宋" w:hAnsi="仿宋" w:cs="宋体" w:hint="eastAsia"/>
                <w:color w:val="000000"/>
                <w:kern w:val="0"/>
                <w:sz w:val="22"/>
                <w:szCs w:val="22"/>
              </w:rPr>
              <w:br/>
              <w:t>11.支持全容量许可的克隆功能，后续扩容无需额外购买许可；</w:t>
            </w:r>
            <w:r w:rsidRPr="00E77278">
              <w:rPr>
                <w:rFonts w:ascii="仿宋" w:eastAsia="仿宋" w:hAnsi="仿宋" w:cs="宋体" w:hint="eastAsia"/>
                <w:color w:val="000000"/>
                <w:kern w:val="0"/>
                <w:sz w:val="22"/>
                <w:szCs w:val="22"/>
              </w:rPr>
              <w:br/>
              <w:t>12.支持全容量许可快照功能，有效预防各种软故障的发生，快照无需预留空间，后续扩容无需额外购买许可；</w:t>
            </w:r>
            <w:r w:rsidRPr="00E77278">
              <w:rPr>
                <w:rFonts w:ascii="仿宋" w:eastAsia="仿宋" w:hAnsi="仿宋" w:cs="宋体" w:hint="eastAsia"/>
                <w:color w:val="000000"/>
                <w:kern w:val="0"/>
                <w:sz w:val="22"/>
                <w:szCs w:val="22"/>
              </w:rPr>
              <w:br/>
              <w:t>13.支持存储QoS授权许可，支持单卷和分区的IOPS上限和下限、Bandwidth上限和下限、Response Time设定（RT最小0.5ms）；</w:t>
            </w:r>
            <w:r w:rsidRPr="00E77278">
              <w:rPr>
                <w:rFonts w:ascii="仿宋" w:eastAsia="仿宋" w:hAnsi="仿宋" w:cs="宋体" w:hint="eastAsia"/>
                <w:color w:val="000000"/>
                <w:kern w:val="0"/>
                <w:sz w:val="22"/>
                <w:szCs w:val="22"/>
              </w:rPr>
              <w:br/>
              <w:t>14.资源监控和预测支持性能监控和分析软件，支持高级图形化报表软件，可以定制历史运行数据的图形化报表。支持提供基于虚拟机环境下的细粒度性能监控功能，可在存储管理界面下实施监测存储中每一个虚机的性能状态（图吞吐量、IOPS及时延）；</w:t>
            </w:r>
            <w:r w:rsidRPr="00E77278">
              <w:rPr>
                <w:rFonts w:ascii="仿宋" w:eastAsia="仿宋" w:hAnsi="仿宋" w:cs="宋体" w:hint="eastAsia"/>
                <w:color w:val="000000"/>
                <w:kern w:val="0"/>
                <w:sz w:val="22"/>
                <w:szCs w:val="22"/>
              </w:rPr>
              <w:br/>
              <w:t>15.支持配置全容量许可的在线重删压缩功能，可针对指定LUN进行开启</w:t>
            </w:r>
            <w:r w:rsidRPr="00E77278">
              <w:rPr>
                <w:rFonts w:ascii="仿宋" w:eastAsia="仿宋" w:hAnsi="仿宋" w:cs="宋体" w:hint="eastAsia"/>
                <w:color w:val="000000"/>
                <w:kern w:val="0"/>
                <w:sz w:val="22"/>
                <w:szCs w:val="22"/>
              </w:rPr>
              <w:lastRenderedPageBreak/>
              <w:t>或关闭操作，后续扩容无需额外购买许可；</w:t>
            </w:r>
            <w:r w:rsidRPr="00E77278">
              <w:rPr>
                <w:rFonts w:ascii="仿宋" w:eastAsia="仿宋" w:hAnsi="仿宋" w:cs="宋体" w:hint="eastAsia"/>
                <w:color w:val="000000"/>
                <w:kern w:val="0"/>
                <w:sz w:val="22"/>
                <w:szCs w:val="22"/>
              </w:rPr>
              <w:br/>
              <w:t>16.支持配置全容量许可的存储自动分层功能，可实现数据分层存储，系统自动将动态热点数据提升至高速盘中，以解决动态数据热点的性能问题，后续扩容无需额外购买许可；</w:t>
            </w:r>
            <w:r w:rsidRPr="00E77278">
              <w:rPr>
                <w:rFonts w:ascii="仿宋" w:eastAsia="仿宋" w:hAnsi="仿宋" w:cs="宋体" w:hint="eastAsia"/>
                <w:color w:val="000000"/>
                <w:kern w:val="0"/>
                <w:sz w:val="22"/>
                <w:szCs w:val="22"/>
              </w:rPr>
              <w:br/>
              <w:t>17.支持实配存储双活功能，在不加额外网关的情况下可以实现和同厂商中端和高端型号存储组成双活阵列，在一台阵列故障的情况下，主机IO访问可以无缝切换到另外一台阵列而不会中断业务，支持VMWare、Windows Server、MS Hyper-V和Oracle RAC等；</w:t>
            </w:r>
            <w:r w:rsidRPr="00E77278">
              <w:rPr>
                <w:rFonts w:ascii="仿宋" w:eastAsia="仿宋" w:hAnsi="仿宋" w:cs="宋体" w:hint="eastAsia"/>
                <w:color w:val="000000"/>
                <w:kern w:val="0"/>
                <w:sz w:val="22"/>
                <w:szCs w:val="22"/>
              </w:rPr>
              <w:br/>
              <w:t>18.操作系统支持Windows、Linux、VMware、UNIX (HP-UX、AIX、Solaris等)。</w:t>
            </w:r>
            <w:r w:rsidRPr="00E77278">
              <w:rPr>
                <w:rFonts w:ascii="仿宋" w:eastAsia="仿宋" w:hAnsi="仿宋" w:cs="宋体" w:hint="eastAsia"/>
                <w:color w:val="000000"/>
                <w:kern w:val="0"/>
                <w:sz w:val="22"/>
                <w:szCs w:val="22"/>
              </w:rPr>
              <w:br/>
            </w:r>
            <w:r w:rsidRPr="00EC5E50">
              <w:rPr>
                <w:rFonts w:ascii="仿宋" w:eastAsia="仿宋" w:hAnsi="仿宋" w:cs="宋体" w:hint="eastAsia"/>
                <w:color w:val="000000"/>
                <w:kern w:val="0"/>
                <w:sz w:val="22"/>
                <w:szCs w:val="22"/>
              </w:rPr>
              <w:t>★19.本产品与原有PACS存储进行数据对接，实现数据互联互通，无障碍调用。</w:t>
            </w:r>
            <w:r>
              <w:rPr>
                <w:rFonts w:ascii="仿宋" w:eastAsia="仿宋" w:hAnsi="仿宋" w:cs="宋体" w:hint="eastAsia"/>
                <w:color w:val="000000"/>
                <w:kern w:val="0"/>
                <w:sz w:val="22"/>
                <w:szCs w:val="22"/>
              </w:rPr>
              <w:t>已</w:t>
            </w:r>
            <w:r w:rsidRPr="00EC5E50">
              <w:rPr>
                <w:rFonts w:ascii="仿宋" w:eastAsia="仿宋" w:hAnsi="仿宋" w:cs="宋体" w:hint="eastAsia"/>
                <w:color w:val="000000"/>
                <w:kern w:val="0"/>
                <w:sz w:val="22"/>
                <w:szCs w:val="22"/>
              </w:rPr>
              <w:t>提供对接承诺函并加盖投标人公章。</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杭州</w:t>
            </w:r>
          </w:p>
        </w:tc>
        <w:tc>
          <w:tcPr>
            <w:tcW w:w="1653"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新华三技术有限公司</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582300</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582300</w:t>
            </w:r>
          </w:p>
        </w:tc>
        <w:tc>
          <w:tcPr>
            <w:tcW w:w="617"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无</w:t>
            </w:r>
          </w:p>
        </w:tc>
      </w:tr>
      <w:tr w:rsidR="00326954" w:rsidRPr="00E77278" w:rsidTr="00B4195A">
        <w:trPr>
          <w:trHeight w:val="109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lastRenderedPageBreak/>
              <w:t>4</w:t>
            </w:r>
          </w:p>
        </w:tc>
        <w:tc>
          <w:tcPr>
            <w:tcW w:w="1349"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服务器加固</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网神</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left"/>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JOWTO-YUNSUO-SYY-MGR-PS</w:t>
            </w:r>
            <w:r w:rsidRPr="00E77278">
              <w:rPr>
                <w:rFonts w:ascii="仿宋" w:eastAsia="仿宋" w:hAnsi="仿宋" w:cs="宋体" w:hint="eastAsia"/>
                <w:color w:val="000000"/>
                <w:kern w:val="0"/>
                <w:sz w:val="22"/>
                <w:szCs w:val="22"/>
              </w:rPr>
              <w:br/>
              <w:t>★1.支持Windows、Linux、红旗、中标麒麟等全系列操作系统，通用WEB服务器，支持IIS、nginx、Apache、Tomcat、Weblogic、WebSphere、东方通、jboss全部版本插件防护；</w:t>
            </w:r>
            <w:r w:rsidRPr="00E77278">
              <w:rPr>
                <w:rFonts w:ascii="仿宋" w:eastAsia="仿宋" w:hAnsi="仿宋" w:cs="宋体" w:hint="eastAsia"/>
                <w:color w:val="000000"/>
                <w:kern w:val="0"/>
                <w:sz w:val="22"/>
                <w:szCs w:val="22"/>
              </w:rPr>
              <w:br/>
              <w:t>2.支持针对Windows及Linux操作系统的远程登录进行限制及防护，用户可对“用户名”、“IP地址范围”、“时间范围”进行具体设置，并通过选择“允许登录”、“禁止登录”等相应的处理方式进行防护；</w:t>
            </w:r>
            <w:r w:rsidRPr="00E77278">
              <w:rPr>
                <w:rFonts w:ascii="仿宋" w:eastAsia="仿宋" w:hAnsi="仿宋" w:cs="宋体" w:hint="eastAsia"/>
                <w:color w:val="000000"/>
                <w:kern w:val="0"/>
                <w:sz w:val="22"/>
                <w:szCs w:val="22"/>
              </w:rPr>
              <w:br/>
              <w:t>3.支持针对服务器和网站的目录及文件进行全面巡检扫描，对服务器和网站存在的安全隐患进行检查并修复，主要针对计划任务、账户（登录账户、克隆账户、隐藏账户）开启状态进行检查和修复，针对网页木马、网站挂马和暗链进行检查和清除；</w:t>
            </w:r>
            <w:r w:rsidRPr="00E77278">
              <w:rPr>
                <w:rFonts w:ascii="仿宋" w:eastAsia="仿宋" w:hAnsi="仿宋" w:cs="宋体" w:hint="eastAsia"/>
                <w:color w:val="000000"/>
                <w:kern w:val="0"/>
                <w:sz w:val="22"/>
                <w:szCs w:val="22"/>
              </w:rPr>
              <w:br/>
              <w:t>4.支持对受保护的网站服务器系统进行重启操作，同时，可对网站服务器的IIS或Apache服务进行重启操作；</w:t>
            </w:r>
            <w:r w:rsidRPr="00E77278">
              <w:rPr>
                <w:rFonts w:ascii="仿宋" w:eastAsia="仿宋" w:hAnsi="仿宋" w:cs="宋体" w:hint="eastAsia"/>
                <w:color w:val="000000"/>
                <w:kern w:val="0"/>
                <w:sz w:val="22"/>
                <w:szCs w:val="22"/>
              </w:rPr>
              <w:br/>
            </w:r>
            <w:r w:rsidRPr="00E77278">
              <w:rPr>
                <w:rFonts w:ascii="仿宋" w:eastAsia="仿宋" w:hAnsi="仿宋" w:cs="宋体" w:hint="eastAsia"/>
                <w:color w:val="000000"/>
                <w:kern w:val="0"/>
                <w:sz w:val="22"/>
                <w:szCs w:val="22"/>
              </w:rPr>
              <w:lastRenderedPageBreak/>
              <w:t>5.产品具有系统自身的保护功能，保护系统自身进程不被异常终止、伪造、信息注入；</w:t>
            </w:r>
            <w:r w:rsidRPr="00E77278">
              <w:rPr>
                <w:rFonts w:ascii="仿宋" w:eastAsia="仿宋" w:hAnsi="仿宋" w:cs="宋体" w:hint="eastAsia"/>
                <w:color w:val="000000"/>
                <w:kern w:val="0"/>
                <w:sz w:val="22"/>
                <w:szCs w:val="22"/>
              </w:rPr>
              <w:br/>
              <w:t>6.支持文件上传防护功能，只允许网站用户将指定类型的文件上传至受保护的网站目录，可通过选择网站中需要受保护的目录，并自定义设置允许上传到该目录的文件类型进行实现；</w:t>
            </w:r>
            <w:r w:rsidRPr="00E77278">
              <w:rPr>
                <w:rFonts w:ascii="仿宋" w:eastAsia="仿宋" w:hAnsi="仿宋" w:cs="宋体" w:hint="eastAsia"/>
                <w:color w:val="000000"/>
                <w:kern w:val="0"/>
                <w:sz w:val="22"/>
                <w:szCs w:val="22"/>
              </w:rPr>
              <w:br/>
              <w:t>7.支持通过对系统流量的持续学习，自动识别出网络的信息资产，包括服务器、服务器上运行的软件、中间件、网站、甚至网站使用的应用系统类型；</w:t>
            </w:r>
            <w:r w:rsidRPr="00E77278">
              <w:rPr>
                <w:rFonts w:ascii="仿宋" w:eastAsia="仿宋" w:hAnsi="仿宋" w:cs="宋体" w:hint="eastAsia"/>
                <w:color w:val="000000"/>
                <w:kern w:val="0"/>
                <w:sz w:val="22"/>
                <w:szCs w:val="22"/>
              </w:rPr>
              <w:br/>
              <w:t>8.产品可持续自动化跟踪每台服务器安全状态，并对每台服务器建立风险档案；</w:t>
            </w:r>
            <w:r w:rsidRPr="00E77278">
              <w:rPr>
                <w:rFonts w:ascii="仿宋" w:eastAsia="仿宋" w:hAnsi="仿宋" w:cs="宋体" w:hint="eastAsia"/>
                <w:color w:val="000000"/>
                <w:kern w:val="0"/>
                <w:sz w:val="22"/>
                <w:szCs w:val="22"/>
              </w:rPr>
              <w:br/>
              <w:t>9.产品可查看攻击事件回溯，产品在风险识别、防御及威胁感知三个阶段均会产生相应的安全日志，产品会自动关联并生成事件分析报告，告别繁复难懂的攻击日志。</w:t>
            </w:r>
            <w:r w:rsidRPr="00E77278">
              <w:rPr>
                <w:rFonts w:ascii="仿宋" w:eastAsia="仿宋" w:hAnsi="仿宋" w:cs="宋体" w:hint="eastAsia"/>
                <w:color w:val="000000"/>
                <w:kern w:val="0"/>
                <w:sz w:val="22"/>
                <w:szCs w:val="22"/>
              </w:rPr>
              <w:br/>
            </w:r>
            <w:r w:rsidRPr="00EC5E50">
              <w:rPr>
                <w:rFonts w:ascii="仿宋" w:eastAsia="仿宋" w:hAnsi="仿宋" w:cs="宋体" w:hint="eastAsia"/>
                <w:color w:val="000000"/>
                <w:kern w:val="0"/>
                <w:sz w:val="22"/>
                <w:szCs w:val="22"/>
              </w:rPr>
              <w:t>★10.本产品与原有态势感知系统平台进行联动防护，实现对服务器深层次防护功能。</w:t>
            </w:r>
            <w:r>
              <w:rPr>
                <w:rFonts w:ascii="仿宋" w:eastAsia="仿宋" w:hAnsi="仿宋" w:cs="宋体" w:hint="eastAsia"/>
                <w:color w:val="000000"/>
                <w:kern w:val="0"/>
                <w:sz w:val="22"/>
                <w:szCs w:val="22"/>
              </w:rPr>
              <w:t>已</w:t>
            </w:r>
            <w:r w:rsidRPr="00EC5E50">
              <w:rPr>
                <w:rFonts w:ascii="仿宋" w:eastAsia="仿宋" w:hAnsi="仿宋" w:cs="宋体" w:hint="eastAsia"/>
                <w:color w:val="000000"/>
                <w:kern w:val="0"/>
                <w:sz w:val="22"/>
                <w:szCs w:val="22"/>
              </w:rPr>
              <w:t>提供对接承诺函并加盖投标人公章。</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北京</w:t>
            </w:r>
          </w:p>
        </w:tc>
        <w:tc>
          <w:tcPr>
            <w:tcW w:w="1653"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网神信息技术（北京）股份有限公司</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16400</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32800</w:t>
            </w:r>
          </w:p>
        </w:tc>
        <w:tc>
          <w:tcPr>
            <w:tcW w:w="617"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无</w:t>
            </w:r>
          </w:p>
        </w:tc>
      </w:tr>
      <w:tr w:rsidR="00326954" w:rsidRPr="00E77278" w:rsidTr="00B4195A">
        <w:trPr>
          <w:trHeight w:val="109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lastRenderedPageBreak/>
              <w:t>5</w:t>
            </w:r>
          </w:p>
        </w:tc>
        <w:tc>
          <w:tcPr>
            <w:tcW w:w="1349"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服务器安全管理系统</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网神</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left"/>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WS-ESM-MGR</w:t>
            </w:r>
            <w:r w:rsidRPr="00E77278">
              <w:rPr>
                <w:rFonts w:ascii="仿宋" w:eastAsia="仿宋" w:hAnsi="仿宋" w:cs="宋体" w:hint="eastAsia"/>
                <w:color w:val="000000"/>
                <w:kern w:val="0"/>
                <w:sz w:val="22"/>
                <w:szCs w:val="22"/>
              </w:rPr>
              <w:br/>
              <w:t>★1.支持Windows Server 2003_SP2/Windows Server 2008/Windows Server 2012/SUSE Linux/Red Hat Linux/CentOS/Ubuntu等服务器操作系统；</w:t>
            </w:r>
            <w:r w:rsidRPr="00E77278">
              <w:rPr>
                <w:rFonts w:ascii="仿宋" w:eastAsia="仿宋" w:hAnsi="仿宋" w:cs="宋体" w:hint="eastAsia"/>
                <w:color w:val="000000"/>
                <w:kern w:val="0"/>
                <w:sz w:val="22"/>
                <w:szCs w:val="22"/>
              </w:rPr>
              <w:br/>
              <w:t>2.控制中心采用B/S架构管理端，具备设备分组管理、策略制定下发、全网健康状况监测、统一杀毒、统一漏洞修复、网络流量管理、终端软件管理、硬件资产管理以及各种报表和查询等功能；</w:t>
            </w:r>
            <w:r w:rsidRPr="00E77278">
              <w:rPr>
                <w:rFonts w:ascii="仿宋" w:eastAsia="仿宋" w:hAnsi="仿宋" w:cs="宋体" w:hint="eastAsia"/>
                <w:color w:val="000000"/>
                <w:kern w:val="0"/>
                <w:sz w:val="22"/>
                <w:szCs w:val="22"/>
              </w:rPr>
              <w:br/>
              <w:t>3.至少支持Windows Server 2003、2008、2012 三个版本操作系统平台的杀毒防护与漏洞管理，并可对Windows Server 2003提供后续漏洞防护；</w:t>
            </w:r>
            <w:r w:rsidRPr="00E77278">
              <w:rPr>
                <w:rFonts w:ascii="仿宋" w:eastAsia="仿宋" w:hAnsi="仿宋" w:cs="宋体" w:hint="eastAsia"/>
                <w:color w:val="000000"/>
                <w:kern w:val="0"/>
                <w:sz w:val="22"/>
                <w:szCs w:val="22"/>
              </w:rPr>
              <w:br/>
              <w:t>4.支持对windows/Linux/国产操作</w:t>
            </w:r>
            <w:r w:rsidRPr="00E77278">
              <w:rPr>
                <w:rFonts w:ascii="仿宋" w:eastAsia="仿宋" w:hAnsi="仿宋" w:cs="宋体" w:hint="eastAsia"/>
                <w:color w:val="000000"/>
                <w:kern w:val="0"/>
                <w:sz w:val="22"/>
                <w:szCs w:val="22"/>
              </w:rPr>
              <w:lastRenderedPageBreak/>
              <w:t>系统终端的文件黑白名单和信任区在控制中心统一管理；</w:t>
            </w:r>
            <w:r w:rsidRPr="00E77278">
              <w:rPr>
                <w:rFonts w:ascii="仿宋" w:eastAsia="仿宋" w:hAnsi="仿宋" w:cs="宋体" w:hint="eastAsia"/>
                <w:color w:val="000000"/>
                <w:kern w:val="0"/>
                <w:sz w:val="22"/>
                <w:szCs w:val="22"/>
              </w:rPr>
              <w:br/>
              <w:t>5.支持系统的漏洞利用防御，尤其对通过文件漏洞的攻击行为进行有效检测与防御；</w:t>
            </w:r>
            <w:r w:rsidRPr="00E77278">
              <w:rPr>
                <w:rFonts w:ascii="仿宋" w:eastAsia="仿宋" w:hAnsi="仿宋" w:cs="宋体" w:hint="eastAsia"/>
                <w:color w:val="000000"/>
                <w:kern w:val="0"/>
                <w:sz w:val="22"/>
                <w:szCs w:val="22"/>
              </w:rPr>
              <w:br/>
              <w:t>6.支持漏洞集中修复过程中的流量控制和保证带宽，补丁分发支持服务端带宽限流与客户端P2P补丁分发加速，有效节省外网带宽资源；</w:t>
            </w:r>
            <w:r w:rsidRPr="00E77278">
              <w:rPr>
                <w:rFonts w:ascii="仿宋" w:eastAsia="仿宋" w:hAnsi="仿宋" w:cs="宋体" w:hint="eastAsia"/>
                <w:color w:val="000000"/>
                <w:kern w:val="0"/>
                <w:sz w:val="22"/>
                <w:szCs w:val="22"/>
              </w:rPr>
              <w:br/>
              <w:t>7.针对服务器系统，支持远程登录保护功能，加强对黑客远程弱口令扫描防护；</w:t>
            </w:r>
            <w:r w:rsidRPr="00E77278">
              <w:rPr>
                <w:rFonts w:ascii="仿宋" w:eastAsia="仿宋" w:hAnsi="仿宋" w:cs="宋体" w:hint="eastAsia"/>
                <w:color w:val="000000"/>
                <w:kern w:val="0"/>
                <w:sz w:val="22"/>
                <w:szCs w:val="22"/>
              </w:rPr>
              <w:br/>
              <w:t>8.支持服务器端病毒库的定时更新和手动更新两种升级模式；</w:t>
            </w:r>
            <w:r w:rsidRPr="00E77278">
              <w:rPr>
                <w:rFonts w:ascii="仿宋" w:eastAsia="仿宋" w:hAnsi="仿宋" w:cs="宋体" w:hint="eastAsia"/>
                <w:color w:val="000000"/>
                <w:kern w:val="0"/>
                <w:sz w:val="22"/>
                <w:szCs w:val="22"/>
              </w:rPr>
              <w:br/>
              <w:t>9.支持文件解压缩病毒查杀，支持对zip、rar、7z等多种格式的压缩文件查杀能力，支持设置压缩包的扫描层数，压缩包的格式类型，最大扫描压缩包的大小；</w:t>
            </w:r>
            <w:r w:rsidRPr="00E77278">
              <w:rPr>
                <w:rFonts w:ascii="仿宋" w:eastAsia="仿宋" w:hAnsi="仿宋" w:cs="宋体" w:hint="eastAsia"/>
                <w:color w:val="000000"/>
                <w:kern w:val="0"/>
                <w:sz w:val="22"/>
                <w:szCs w:val="22"/>
              </w:rPr>
              <w:br/>
              <w:t>10.支持按病毒、木马、终端等维度统计全网病毒感染状况；</w:t>
            </w:r>
            <w:r w:rsidRPr="00E77278">
              <w:rPr>
                <w:rFonts w:ascii="仿宋" w:eastAsia="仿宋" w:hAnsi="仿宋" w:cs="宋体" w:hint="eastAsia"/>
                <w:color w:val="000000"/>
                <w:kern w:val="0"/>
                <w:sz w:val="22"/>
                <w:szCs w:val="22"/>
              </w:rPr>
              <w:br/>
              <w:t>11.支持对敲诈者病毒提供防护机制，同时可提供相关解密工具。</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北京</w:t>
            </w:r>
          </w:p>
        </w:tc>
        <w:tc>
          <w:tcPr>
            <w:tcW w:w="1653"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网神信息技术（北京）股份有限公司</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3200</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6400</w:t>
            </w:r>
          </w:p>
        </w:tc>
        <w:tc>
          <w:tcPr>
            <w:tcW w:w="617"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无</w:t>
            </w:r>
          </w:p>
        </w:tc>
      </w:tr>
      <w:tr w:rsidR="00326954" w:rsidRPr="00E77278" w:rsidTr="00B4195A">
        <w:trPr>
          <w:trHeight w:val="1095"/>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lastRenderedPageBreak/>
              <w:t>6</w:t>
            </w:r>
          </w:p>
        </w:tc>
        <w:tc>
          <w:tcPr>
            <w:tcW w:w="1349"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安全检测系统</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网神</w:t>
            </w:r>
          </w:p>
        </w:tc>
        <w:tc>
          <w:tcPr>
            <w:tcW w:w="0" w:type="auto"/>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left"/>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WS-ESM-ETA10000-PA</w:t>
            </w:r>
            <w:r w:rsidRPr="00E77278">
              <w:rPr>
                <w:rFonts w:ascii="仿宋" w:eastAsia="仿宋" w:hAnsi="仿宋" w:cs="宋体" w:hint="eastAsia"/>
                <w:color w:val="000000"/>
                <w:kern w:val="0"/>
                <w:sz w:val="22"/>
                <w:szCs w:val="22"/>
              </w:rPr>
              <w:br/>
              <w:t>★1.硬件设备，采用国密USB3.0芯片，定制化安全接口；</w:t>
            </w:r>
            <w:r w:rsidRPr="00E77278">
              <w:rPr>
                <w:rFonts w:ascii="仿宋" w:eastAsia="仿宋" w:hAnsi="仿宋" w:cs="宋体" w:hint="eastAsia"/>
                <w:color w:val="000000"/>
                <w:kern w:val="0"/>
                <w:sz w:val="22"/>
                <w:szCs w:val="22"/>
              </w:rPr>
              <w:br/>
              <w:t>2.针对失陷主机、服务器进行更深度的检查分析，发现失陷主机感染病毒样本详情，提供相关日志和病毒样本抓取；</w:t>
            </w:r>
            <w:r w:rsidRPr="00E77278">
              <w:rPr>
                <w:rFonts w:ascii="仿宋" w:eastAsia="仿宋" w:hAnsi="仿宋" w:cs="宋体" w:hint="eastAsia"/>
                <w:color w:val="000000"/>
                <w:kern w:val="0"/>
                <w:sz w:val="22"/>
                <w:szCs w:val="22"/>
              </w:rPr>
              <w:br/>
              <w:t>3.具备国密安全控制芯片，对于存储的日志和样本进行安全的存储，防止恶意的窃取和破坏；</w:t>
            </w:r>
            <w:r w:rsidRPr="00E77278">
              <w:rPr>
                <w:rFonts w:ascii="仿宋" w:eastAsia="仿宋" w:hAnsi="仿宋" w:cs="宋体" w:hint="eastAsia"/>
                <w:color w:val="000000"/>
                <w:kern w:val="0"/>
                <w:sz w:val="22"/>
                <w:szCs w:val="22"/>
              </w:rPr>
              <w:br/>
              <w:t>4.内置APT分析引擎，能够对基于威胁情报，对于APT攻击的样本进行分析和定位；</w:t>
            </w:r>
            <w:r w:rsidRPr="00E77278">
              <w:rPr>
                <w:rFonts w:ascii="仿宋" w:eastAsia="仿宋" w:hAnsi="仿宋" w:cs="宋体" w:hint="eastAsia"/>
                <w:color w:val="000000"/>
                <w:kern w:val="0"/>
                <w:sz w:val="22"/>
                <w:szCs w:val="22"/>
              </w:rPr>
              <w:br/>
              <w:t>5.内置病毒检测引擎和百万级别的特征库，对于内网终端常见的感染病毒进行快速的扫描定位。</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北京</w:t>
            </w:r>
          </w:p>
        </w:tc>
        <w:tc>
          <w:tcPr>
            <w:tcW w:w="1653" w:type="dxa"/>
            <w:tcBorders>
              <w:top w:val="nil"/>
              <w:left w:val="nil"/>
              <w:bottom w:val="single" w:sz="4" w:space="0" w:color="auto"/>
              <w:right w:val="single" w:sz="4" w:space="0" w:color="auto"/>
            </w:tcBorders>
            <w:shd w:val="clear" w:color="auto" w:fill="auto"/>
            <w:vAlign w:val="center"/>
            <w:hideMark/>
          </w:tcPr>
          <w:p w:rsidR="00326954" w:rsidRPr="00E77278" w:rsidRDefault="00326954" w:rsidP="00B4195A">
            <w:pPr>
              <w:widowControl/>
              <w:jc w:val="center"/>
              <w:rPr>
                <w:rFonts w:ascii="仿宋" w:eastAsia="仿宋" w:hAnsi="仿宋" w:cs="宋体"/>
                <w:kern w:val="0"/>
                <w:sz w:val="22"/>
                <w:szCs w:val="22"/>
              </w:rPr>
            </w:pPr>
            <w:r w:rsidRPr="00E77278">
              <w:rPr>
                <w:rFonts w:ascii="仿宋" w:eastAsia="仿宋" w:hAnsi="仿宋" w:cs="宋体" w:hint="eastAsia"/>
                <w:kern w:val="0"/>
                <w:sz w:val="22"/>
                <w:szCs w:val="22"/>
              </w:rPr>
              <w:t>网神信息技术（北京）股份有限公司</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9600</w:t>
            </w:r>
          </w:p>
        </w:tc>
        <w:tc>
          <w:tcPr>
            <w:tcW w:w="992"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9600</w:t>
            </w:r>
          </w:p>
        </w:tc>
        <w:tc>
          <w:tcPr>
            <w:tcW w:w="617" w:type="dxa"/>
            <w:tcBorders>
              <w:top w:val="nil"/>
              <w:left w:val="nil"/>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无</w:t>
            </w:r>
          </w:p>
        </w:tc>
      </w:tr>
      <w:tr w:rsidR="00326954" w:rsidRPr="00E77278" w:rsidTr="00B4195A">
        <w:trPr>
          <w:trHeight w:val="450"/>
        </w:trPr>
        <w:tc>
          <w:tcPr>
            <w:tcW w:w="20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954" w:rsidRPr="00E77278" w:rsidRDefault="00326954" w:rsidP="00B4195A">
            <w:pPr>
              <w:widowControl/>
              <w:jc w:val="center"/>
              <w:rPr>
                <w:rFonts w:ascii="仿宋" w:eastAsia="仿宋" w:hAnsi="仿宋" w:cs="宋体"/>
                <w:b/>
                <w:bCs/>
                <w:color w:val="000000"/>
                <w:kern w:val="0"/>
                <w:sz w:val="22"/>
                <w:szCs w:val="22"/>
              </w:rPr>
            </w:pPr>
            <w:r w:rsidRPr="00E77278">
              <w:rPr>
                <w:rFonts w:ascii="仿宋" w:eastAsia="仿宋" w:hAnsi="仿宋" w:cs="宋体" w:hint="eastAsia"/>
                <w:b/>
                <w:bCs/>
                <w:color w:val="000000"/>
                <w:kern w:val="0"/>
                <w:sz w:val="22"/>
                <w:szCs w:val="22"/>
              </w:rPr>
              <w:t>总价</w:t>
            </w:r>
          </w:p>
        </w:tc>
        <w:tc>
          <w:tcPr>
            <w:tcW w:w="603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 xml:space="preserve">　</w:t>
            </w:r>
          </w:p>
        </w:tc>
        <w:tc>
          <w:tcPr>
            <w:tcW w:w="26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26954" w:rsidRPr="00E77278" w:rsidRDefault="00326954" w:rsidP="00B4195A">
            <w:pPr>
              <w:widowControl/>
              <w:jc w:val="center"/>
              <w:rPr>
                <w:rFonts w:ascii="仿宋" w:eastAsia="仿宋" w:hAnsi="仿宋" w:cs="宋体"/>
                <w:color w:val="000000"/>
                <w:kern w:val="0"/>
                <w:sz w:val="22"/>
                <w:szCs w:val="22"/>
              </w:rPr>
            </w:pPr>
            <w:r w:rsidRPr="00E77278">
              <w:rPr>
                <w:rFonts w:ascii="仿宋" w:eastAsia="仿宋" w:hAnsi="仿宋" w:cs="宋体" w:hint="eastAsia"/>
                <w:color w:val="000000"/>
                <w:kern w:val="0"/>
                <w:sz w:val="22"/>
                <w:szCs w:val="22"/>
              </w:rPr>
              <w:t>2766700</w:t>
            </w:r>
          </w:p>
        </w:tc>
      </w:tr>
    </w:tbl>
    <w:p w:rsidR="003A059E" w:rsidRDefault="003A059E">
      <w:pPr>
        <w:rPr>
          <w:rFonts w:hint="eastAsia"/>
        </w:rPr>
      </w:pPr>
    </w:p>
    <w:p w:rsidR="00326954" w:rsidRDefault="00326954" w:rsidP="00326954">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326954" w:rsidRPr="00784E15" w:rsidRDefault="00326954" w:rsidP="00326954">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326954" w:rsidRPr="00784E15" w:rsidRDefault="00326954" w:rsidP="00326954">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326954" w:rsidRDefault="00326954" w:rsidP="00326954">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326954" w:rsidRDefault="00326954" w:rsidP="00326954">
      <w:pPr>
        <w:adjustRightInd w:val="0"/>
        <w:snapToGrid w:val="0"/>
        <w:spacing w:line="360" w:lineRule="auto"/>
        <w:ind w:rightChars="50" w:right="105"/>
        <w:jc w:val="left"/>
        <w:rPr>
          <w:rFonts w:ascii="仿宋_GB2312" w:eastAsia="仿宋_GB2312" w:hAnsi="仿宋_GB2312" w:cs="仿宋_GB2312"/>
          <w:szCs w:val="21"/>
        </w:rPr>
      </w:pPr>
    </w:p>
    <w:p w:rsidR="00326954" w:rsidRDefault="00326954" w:rsidP="00326954">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sidRPr="00132985">
        <w:rPr>
          <w:rFonts w:ascii="仿宋_GB2312" w:eastAsia="仿宋_GB2312" w:hAnsi="仿宋_GB2312" w:cs="仿宋_GB2312" w:hint="eastAsia"/>
          <w:u w:val="single"/>
        </w:rPr>
        <w:t>辽宁中政智惠信息技术有限公司</w:t>
      </w:r>
    </w:p>
    <w:p w:rsidR="00326954" w:rsidRDefault="00326954" w:rsidP="00326954">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326954" w:rsidRDefault="00326954" w:rsidP="00326954">
      <w:pPr>
        <w:adjustRightInd w:val="0"/>
        <w:snapToGrid w:val="0"/>
        <w:spacing w:line="48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sidRPr="00132985">
        <w:rPr>
          <w:rFonts w:ascii="仿宋_GB2312" w:eastAsia="仿宋_GB2312" w:hAnsi="仿宋_GB2312" w:cs="仿宋_GB2312" w:hint="eastAsia"/>
          <w:u w:val="single"/>
        </w:rPr>
        <w:t>2020年11月9日</w:t>
      </w:r>
    </w:p>
    <w:p w:rsidR="00326954" w:rsidRPr="00326954" w:rsidRDefault="00326954">
      <w:bookmarkStart w:id="4" w:name="_GoBack"/>
      <w:bookmarkEnd w:id="4"/>
    </w:p>
    <w:sectPr w:rsidR="00326954" w:rsidRPr="0032695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1E8D1"/>
    <w:multiLevelType w:val="singleLevel"/>
    <w:tmpl w:val="B9A1E8D1"/>
    <w:lvl w:ilvl="0">
      <w:start w:val="1"/>
      <w:numFmt w:val="decimal"/>
      <w:suff w:val="nothing"/>
      <w:lvlText w:val="（%1）"/>
      <w:lvlJc w:val="left"/>
    </w:lvl>
  </w:abstractNum>
  <w:abstractNum w:abstractNumId="1">
    <w:nsid w:val="31AE1530"/>
    <w:multiLevelType w:val="hybridMultilevel"/>
    <w:tmpl w:val="D64A938E"/>
    <w:lvl w:ilvl="0" w:tplc="4BAA4D9C">
      <w:start w:val="1"/>
      <w:numFmt w:val="decimal"/>
      <w:lvlText w:val="（%1）"/>
      <w:lvlJc w:val="left"/>
      <w:pPr>
        <w:ind w:left="1197" w:hanging="720"/>
      </w:pPr>
      <w:rPr>
        <w:rFonts w:hint="default"/>
      </w:rPr>
    </w:lvl>
    <w:lvl w:ilvl="1" w:tplc="04090019" w:tentative="1">
      <w:start w:val="1"/>
      <w:numFmt w:val="lowerLetter"/>
      <w:lvlText w:val="%2)"/>
      <w:lvlJc w:val="left"/>
      <w:pPr>
        <w:ind w:left="1317" w:hanging="420"/>
      </w:pPr>
    </w:lvl>
    <w:lvl w:ilvl="2" w:tplc="0409001B" w:tentative="1">
      <w:start w:val="1"/>
      <w:numFmt w:val="lowerRoman"/>
      <w:lvlText w:val="%3."/>
      <w:lvlJc w:val="right"/>
      <w:pPr>
        <w:ind w:left="1737" w:hanging="420"/>
      </w:pPr>
    </w:lvl>
    <w:lvl w:ilvl="3" w:tplc="0409000F" w:tentative="1">
      <w:start w:val="1"/>
      <w:numFmt w:val="decimal"/>
      <w:lvlText w:val="%4."/>
      <w:lvlJc w:val="left"/>
      <w:pPr>
        <w:ind w:left="215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997" w:hanging="420"/>
      </w:pPr>
    </w:lvl>
    <w:lvl w:ilvl="6" w:tplc="0409000F" w:tentative="1">
      <w:start w:val="1"/>
      <w:numFmt w:val="decimal"/>
      <w:lvlText w:val="%7."/>
      <w:lvlJc w:val="left"/>
      <w:pPr>
        <w:ind w:left="3417" w:hanging="420"/>
      </w:pPr>
    </w:lvl>
    <w:lvl w:ilvl="7" w:tplc="04090019" w:tentative="1">
      <w:start w:val="1"/>
      <w:numFmt w:val="lowerLetter"/>
      <w:lvlText w:val="%8)"/>
      <w:lvlJc w:val="left"/>
      <w:pPr>
        <w:ind w:left="3837" w:hanging="420"/>
      </w:pPr>
    </w:lvl>
    <w:lvl w:ilvl="8" w:tplc="0409001B" w:tentative="1">
      <w:start w:val="1"/>
      <w:numFmt w:val="lowerRoman"/>
      <w:lvlText w:val="%9."/>
      <w:lvlJc w:val="right"/>
      <w:pPr>
        <w:ind w:left="425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23"/>
    <w:rsid w:val="00326954"/>
    <w:rsid w:val="003A059E"/>
    <w:rsid w:val="00CB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2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B7F2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B7F23"/>
    <w:pPr>
      <w:keepNext/>
      <w:keepLines/>
      <w:spacing w:before="260" w:after="260" w:line="415" w:lineRule="auto"/>
      <w:outlineLvl w:val="1"/>
    </w:pPr>
    <w:rPr>
      <w:rFonts w:ascii="Arial" w:eastAsia="仿宋"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B7F23"/>
    <w:rPr>
      <w:rFonts w:ascii="Arial" w:eastAsia="仿宋" w:hAnsi="Arial" w:cs="Times New Roman"/>
      <w:b/>
      <w:bCs/>
      <w:sz w:val="32"/>
      <w:szCs w:val="32"/>
    </w:rPr>
  </w:style>
  <w:style w:type="character" w:customStyle="1" w:styleId="1Char">
    <w:name w:val="标题 1 Char"/>
    <w:basedOn w:val="a0"/>
    <w:link w:val="1"/>
    <w:uiPriority w:val="9"/>
    <w:rsid w:val="00CB7F23"/>
    <w:rPr>
      <w:rFonts w:ascii="Times New Roman" w:eastAsia="宋体" w:hAnsi="Times New Roman" w:cs="Times New Roman"/>
      <w:b/>
      <w:bCs/>
      <w:kern w:val="44"/>
      <w:sz w:val="44"/>
      <w:szCs w:val="44"/>
    </w:rPr>
  </w:style>
  <w:style w:type="paragraph" w:styleId="a3">
    <w:name w:val="header"/>
    <w:basedOn w:val="a"/>
    <w:link w:val="Char"/>
    <w:uiPriority w:val="99"/>
    <w:unhideWhenUsed/>
    <w:rsid w:val="00CB7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7F23"/>
    <w:rPr>
      <w:rFonts w:ascii="Times New Roman" w:eastAsia="宋体" w:hAnsi="Times New Roman" w:cs="Times New Roman"/>
      <w:sz w:val="18"/>
      <w:szCs w:val="18"/>
    </w:rPr>
  </w:style>
  <w:style w:type="paragraph" w:styleId="a4">
    <w:name w:val="footer"/>
    <w:basedOn w:val="a"/>
    <w:link w:val="Char0"/>
    <w:uiPriority w:val="99"/>
    <w:unhideWhenUsed/>
    <w:rsid w:val="00CB7F23"/>
    <w:pPr>
      <w:tabs>
        <w:tab w:val="center" w:pos="4153"/>
        <w:tab w:val="right" w:pos="8306"/>
      </w:tabs>
      <w:snapToGrid w:val="0"/>
      <w:jc w:val="left"/>
    </w:pPr>
    <w:rPr>
      <w:sz w:val="18"/>
      <w:szCs w:val="18"/>
    </w:rPr>
  </w:style>
  <w:style w:type="character" w:customStyle="1" w:styleId="Char0">
    <w:name w:val="页脚 Char"/>
    <w:basedOn w:val="a0"/>
    <w:link w:val="a4"/>
    <w:uiPriority w:val="99"/>
    <w:rsid w:val="00CB7F23"/>
    <w:rPr>
      <w:rFonts w:ascii="Times New Roman" w:eastAsia="宋体" w:hAnsi="Times New Roman" w:cs="Times New Roman"/>
      <w:sz w:val="18"/>
      <w:szCs w:val="18"/>
    </w:rPr>
  </w:style>
  <w:style w:type="paragraph" w:styleId="a5">
    <w:name w:val="Normal (Web)"/>
    <w:basedOn w:val="a"/>
    <w:unhideWhenUsed/>
    <w:qFormat/>
    <w:rsid w:val="00CB7F23"/>
    <w:pPr>
      <w:widowControl/>
      <w:spacing w:before="100" w:beforeAutospacing="1" w:after="100" w:afterAutospacing="1"/>
      <w:jc w:val="left"/>
    </w:pPr>
    <w:rPr>
      <w:rFonts w:ascii="宋体" w:hAnsi="宋体"/>
      <w:kern w:val="0"/>
      <w:sz w:val="24"/>
      <w:szCs w:val="20"/>
    </w:rPr>
  </w:style>
  <w:style w:type="character" w:customStyle="1" w:styleId="Char1">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6"/>
    <w:locked/>
    <w:rsid w:val="00CB7F23"/>
    <w:rPr>
      <w:rFonts w:ascii="宋体" w:eastAsia="宋体" w:hAnsi="Courier New" w:cs="Courier New"/>
      <w:szCs w:val="21"/>
    </w:rPr>
  </w:style>
  <w:style w:type="paragraph" w:styleId="a6">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1"/>
    <w:unhideWhenUsed/>
    <w:qFormat/>
    <w:rsid w:val="00CB7F23"/>
    <w:rPr>
      <w:rFonts w:ascii="宋体" w:hAnsi="Courier New" w:cs="Courier New"/>
      <w:szCs w:val="21"/>
    </w:rPr>
  </w:style>
  <w:style w:type="character" w:customStyle="1" w:styleId="Char10">
    <w:name w:val="纯文本 Char1"/>
    <w:basedOn w:val="a0"/>
    <w:uiPriority w:val="99"/>
    <w:semiHidden/>
    <w:rsid w:val="00CB7F23"/>
    <w:rPr>
      <w:rFonts w:ascii="宋体" w:eastAsia="宋体" w:hAnsi="Courier New" w:cs="Courier New"/>
      <w:szCs w:val="21"/>
    </w:rPr>
  </w:style>
  <w:style w:type="table" w:styleId="a7">
    <w:name w:val="Table Grid"/>
    <w:basedOn w:val="a1"/>
    <w:qFormat/>
    <w:rsid w:val="00CB7F2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B7F23"/>
    <w:pPr>
      <w:ind w:firstLineChars="200" w:firstLine="420"/>
    </w:pPr>
  </w:style>
  <w:style w:type="paragraph" w:styleId="TOC">
    <w:name w:val="TOC Heading"/>
    <w:basedOn w:val="1"/>
    <w:next w:val="a"/>
    <w:uiPriority w:val="39"/>
    <w:unhideWhenUsed/>
    <w:qFormat/>
    <w:rsid w:val="00CB7F2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CB7F23"/>
    <w:pPr>
      <w:ind w:leftChars="200" w:left="420"/>
    </w:pPr>
  </w:style>
  <w:style w:type="paragraph" w:styleId="10">
    <w:name w:val="toc 1"/>
    <w:basedOn w:val="a"/>
    <w:next w:val="a"/>
    <w:autoRedefine/>
    <w:uiPriority w:val="39"/>
    <w:unhideWhenUsed/>
    <w:rsid w:val="00CB7F23"/>
  </w:style>
  <w:style w:type="character" w:styleId="a9">
    <w:name w:val="Hyperlink"/>
    <w:basedOn w:val="a0"/>
    <w:uiPriority w:val="99"/>
    <w:unhideWhenUsed/>
    <w:rsid w:val="00CB7F23"/>
    <w:rPr>
      <w:color w:val="0000FF" w:themeColor="hyperlink"/>
      <w:u w:val="single"/>
    </w:rPr>
  </w:style>
  <w:style w:type="paragraph" w:styleId="aa">
    <w:name w:val="Balloon Text"/>
    <w:basedOn w:val="a"/>
    <w:link w:val="Char2"/>
    <w:uiPriority w:val="99"/>
    <w:semiHidden/>
    <w:unhideWhenUsed/>
    <w:rsid w:val="00CB7F23"/>
    <w:rPr>
      <w:sz w:val="18"/>
      <w:szCs w:val="18"/>
    </w:rPr>
  </w:style>
  <w:style w:type="character" w:customStyle="1" w:styleId="Char2">
    <w:name w:val="批注框文本 Char"/>
    <w:basedOn w:val="a0"/>
    <w:link w:val="aa"/>
    <w:uiPriority w:val="99"/>
    <w:semiHidden/>
    <w:rsid w:val="00CB7F2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2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B7F2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B7F23"/>
    <w:pPr>
      <w:keepNext/>
      <w:keepLines/>
      <w:spacing w:before="260" w:after="260" w:line="415" w:lineRule="auto"/>
      <w:outlineLvl w:val="1"/>
    </w:pPr>
    <w:rPr>
      <w:rFonts w:ascii="Arial" w:eastAsia="仿宋"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B7F23"/>
    <w:rPr>
      <w:rFonts w:ascii="Arial" w:eastAsia="仿宋" w:hAnsi="Arial" w:cs="Times New Roman"/>
      <w:b/>
      <w:bCs/>
      <w:sz w:val="32"/>
      <w:szCs w:val="32"/>
    </w:rPr>
  </w:style>
  <w:style w:type="character" w:customStyle="1" w:styleId="1Char">
    <w:name w:val="标题 1 Char"/>
    <w:basedOn w:val="a0"/>
    <w:link w:val="1"/>
    <w:uiPriority w:val="9"/>
    <w:rsid w:val="00CB7F23"/>
    <w:rPr>
      <w:rFonts w:ascii="Times New Roman" w:eastAsia="宋体" w:hAnsi="Times New Roman" w:cs="Times New Roman"/>
      <w:b/>
      <w:bCs/>
      <w:kern w:val="44"/>
      <w:sz w:val="44"/>
      <w:szCs w:val="44"/>
    </w:rPr>
  </w:style>
  <w:style w:type="paragraph" w:styleId="a3">
    <w:name w:val="header"/>
    <w:basedOn w:val="a"/>
    <w:link w:val="Char"/>
    <w:uiPriority w:val="99"/>
    <w:unhideWhenUsed/>
    <w:rsid w:val="00CB7F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7F23"/>
    <w:rPr>
      <w:rFonts w:ascii="Times New Roman" w:eastAsia="宋体" w:hAnsi="Times New Roman" w:cs="Times New Roman"/>
      <w:sz w:val="18"/>
      <w:szCs w:val="18"/>
    </w:rPr>
  </w:style>
  <w:style w:type="paragraph" w:styleId="a4">
    <w:name w:val="footer"/>
    <w:basedOn w:val="a"/>
    <w:link w:val="Char0"/>
    <w:uiPriority w:val="99"/>
    <w:unhideWhenUsed/>
    <w:rsid w:val="00CB7F23"/>
    <w:pPr>
      <w:tabs>
        <w:tab w:val="center" w:pos="4153"/>
        <w:tab w:val="right" w:pos="8306"/>
      </w:tabs>
      <w:snapToGrid w:val="0"/>
      <w:jc w:val="left"/>
    </w:pPr>
    <w:rPr>
      <w:sz w:val="18"/>
      <w:szCs w:val="18"/>
    </w:rPr>
  </w:style>
  <w:style w:type="character" w:customStyle="1" w:styleId="Char0">
    <w:name w:val="页脚 Char"/>
    <w:basedOn w:val="a0"/>
    <w:link w:val="a4"/>
    <w:uiPriority w:val="99"/>
    <w:rsid w:val="00CB7F23"/>
    <w:rPr>
      <w:rFonts w:ascii="Times New Roman" w:eastAsia="宋体" w:hAnsi="Times New Roman" w:cs="Times New Roman"/>
      <w:sz w:val="18"/>
      <w:szCs w:val="18"/>
    </w:rPr>
  </w:style>
  <w:style w:type="paragraph" w:styleId="a5">
    <w:name w:val="Normal (Web)"/>
    <w:basedOn w:val="a"/>
    <w:unhideWhenUsed/>
    <w:qFormat/>
    <w:rsid w:val="00CB7F23"/>
    <w:pPr>
      <w:widowControl/>
      <w:spacing w:before="100" w:beforeAutospacing="1" w:after="100" w:afterAutospacing="1"/>
      <w:jc w:val="left"/>
    </w:pPr>
    <w:rPr>
      <w:rFonts w:ascii="宋体" w:hAnsi="宋体"/>
      <w:kern w:val="0"/>
      <w:sz w:val="24"/>
      <w:szCs w:val="20"/>
    </w:rPr>
  </w:style>
  <w:style w:type="character" w:customStyle="1" w:styleId="Char1">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6"/>
    <w:locked/>
    <w:rsid w:val="00CB7F23"/>
    <w:rPr>
      <w:rFonts w:ascii="宋体" w:eastAsia="宋体" w:hAnsi="Courier New" w:cs="Courier New"/>
      <w:szCs w:val="21"/>
    </w:rPr>
  </w:style>
  <w:style w:type="paragraph" w:styleId="a6">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1"/>
    <w:unhideWhenUsed/>
    <w:qFormat/>
    <w:rsid w:val="00CB7F23"/>
    <w:rPr>
      <w:rFonts w:ascii="宋体" w:hAnsi="Courier New" w:cs="Courier New"/>
      <w:szCs w:val="21"/>
    </w:rPr>
  </w:style>
  <w:style w:type="character" w:customStyle="1" w:styleId="Char10">
    <w:name w:val="纯文本 Char1"/>
    <w:basedOn w:val="a0"/>
    <w:uiPriority w:val="99"/>
    <w:semiHidden/>
    <w:rsid w:val="00CB7F23"/>
    <w:rPr>
      <w:rFonts w:ascii="宋体" w:eastAsia="宋体" w:hAnsi="Courier New" w:cs="Courier New"/>
      <w:szCs w:val="21"/>
    </w:rPr>
  </w:style>
  <w:style w:type="table" w:styleId="a7">
    <w:name w:val="Table Grid"/>
    <w:basedOn w:val="a1"/>
    <w:qFormat/>
    <w:rsid w:val="00CB7F2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B7F23"/>
    <w:pPr>
      <w:ind w:firstLineChars="200" w:firstLine="420"/>
    </w:pPr>
  </w:style>
  <w:style w:type="paragraph" w:styleId="TOC">
    <w:name w:val="TOC Heading"/>
    <w:basedOn w:val="1"/>
    <w:next w:val="a"/>
    <w:uiPriority w:val="39"/>
    <w:unhideWhenUsed/>
    <w:qFormat/>
    <w:rsid w:val="00CB7F2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CB7F23"/>
    <w:pPr>
      <w:ind w:leftChars="200" w:left="420"/>
    </w:pPr>
  </w:style>
  <w:style w:type="paragraph" w:styleId="10">
    <w:name w:val="toc 1"/>
    <w:basedOn w:val="a"/>
    <w:next w:val="a"/>
    <w:autoRedefine/>
    <w:uiPriority w:val="39"/>
    <w:unhideWhenUsed/>
    <w:rsid w:val="00CB7F23"/>
  </w:style>
  <w:style w:type="character" w:styleId="a9">
    <w:name w:val="Hyperlink"/>
    <w:basedOn w:val="a0"/>
    <w:uiPriority w:val="99"/>
    <w:unhideWhenUsed/>
    <w:rsid w:val="00CB7F23"/>
    <w:rPr>
      <w:color w:val="0000FF" w:themeColor="hyperlink"/>
      <w:u w:val="single"/>
    </w:rPr>
  </w:style>
  <w:style w:type="paragraph" w:styleId="aa">
    <w:name w:val="Balloon Text"/>
    <w:basedOn w:val="a"/>
    <w:link w:val="Char2"/>
    <w:uiPriority w:val="99"/>
    <w:semiHidden/>
    <w:unhideWhenUsed/>
    <w:rsid w:val="00CB7F23"/>
    <w:rPr>
      <w:sz w:val="18"/>
      <w:szCs w:val="18"/>
    </w:rPr>
  </w:style>
  <w:style w:type="character" w:customStyle="1" w:styleId="Char2">
    <w:name w:val="批注框文本 Char"/>
    <w:basedOn w:val="a0"/>
    <w:link w:val="aa"/>
    <w:uiPriority w:val="99"/>
    <w:semiHidden/>
    <w:rsid w:val="00CB7F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2020-11-09T11:33:00Z</dcterms:created>
  <dcterms:modified xsi:type="dcterms:W3CDTF">2020-11-09T11:36:00Z</dcterms:modified>
</cp:coreProperties>
</file>