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after="240" w:afterLines="100"/>
        <w:ind w:right="120" w:rightChars="50"/>
        <w:jc w:val="center"/>
        <w:rPr>
          <w:rFonts w:ascii="仿宋" w:hAnsi="仿宋" w:cs="仿宋_GB2312"/>
          <w:b/>
          <w:bCs/>
          <w:sz w:val="32"/>
          <w:szCs w:val="32"/>
        </w:rPr>
      </w:pPr>
      <w:bookmarkStart w:id="0" w:name="_Toc2673_WPSOffice_Level2"/>
      <w:bookmarkStart w:id="1" w:name="_Toc11267_WPSOffice_Level2"/>
      <w:r>
        <w:rPr>
          <w:rFonts w:hint="eastAsia" w:ascii="仿宋" w:hAnsi="仿宋" w:cs="仿宋_GB2312"/>
          <w:b/>
          <w:bCs/>
          <w:sz w:val="32"/>
          <w:szCs w:val="32"/>
          <w:lang w:val="en-US" w:eastAsia="zh-CN"/>
        </w:rPr>
        <w:t>11、</w:t>
      </w:r>
      <w:r>
        <w:rPr>
          <w:rFonts w:hint="eastAsia" w:ascii="仿宋" w:hAnsi="仿宋" w:cs="仿宋_GB2312"/>
          <w:b/>
          <w:bCs/>
          <w:sz w:val="32"/>
          <w:szCs w:val="32"/>
        </w:rPr>
        <w:t>开标一览表</w:t>
      </w:r>
      <w:bookmarkEnd w:id="0"/>
      <w:bookmarkEnd w:id="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w:t>
      </w:r>
      <w:r>
        <w:rPr>
          <w:rFonts w:hint="eastAsia" w:ascii="仿宋" w:hAnsi="仿宋" w:cs="仿宋_GB2312"/>
          <w:b/>
          <w:bCs/>
          <w:szCs w:val="21"/>
          <w:lang w:val="en-US" w:eastAsia="zh-CN"/>
        </w:rPr>
        <w:t>01</w:t>
      </w:r>
      <w:r>
        <w:rPr>
          <w:rFonts w:hint="eastAsia" w:ascii="仿宋" w:hAnsi="仿宋" w:cs="仿宋_GB2312"/>
          <w:b/>
          <w:bCs/>
          <w:szCs w:val="21"/>
        </w:rPr>
        <w:t xml:space="preserve">                                           报价单位：元</w:t>
      </w:r>
    </w:p>
    <w:tbl>
      <w:tblPr>
        <w:tblStyle w:val="8"/>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881"/>
        <w:gridCol w:w="1300"/>
        <w:gridCol w:w="2334"/>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r>
              <w:rPr>
                <w:rFonts w:hint="eastAsia" w:ascii="宋体" w:hAnsi="宋体"/>
                <w:kern w:val="0"/>
              </w:rPr>
              <w:t>元/车次</w:t>
            </w:r>
            <w:r>
              <w:rPr>
                <w:rFonts w:hint="eastAsia" w:ascii="仿宋" w:hAnsi="仿宋" w:cs="仿宋_GB2312"/>
                <w:szCs w:val="21"/>
              </w:rPr>
              <w:t>）</w:t>
            </w:r>
          </w:p>
        </w:tc>
        <w:tc>
          <w:tcPr>
            <w:tcW w:w="88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300"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2334"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424"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2021年公共设施维护中心外雇车辆运送垃圾招标项目</w:t>
            </w:r>
          </w:p>
        </w:tc>
        <w:tc>
          <w:tcPr>
            <w:tcW w:w="2373" w:type="dxa"/>
            <w:vAlign w:val="center"/>
          </w:tcPr>
          <w:p>
            <w:pPr>
              <w:adjustRightInd w:val="0"/>
              <w:snapToGrid w:val="0"/>
              <w:ind w:left="-62" w:leftChars="-26" w:right="-53" w:rightChars="-22"/>
              <w:jc w:val="left"/>
              <w:rPr>
                <w:rFonts w:hint="default" w:ascii="仿宋" w:hAnsi="仿宋" w:eastAsia="仿宋" w:cs="仿宋_GB2312"/>
                <w:szCs w:val="21"/>
                <w:lang w:val="en-US" w:eastAsia="zh-CN"/>
              </w:rPr>
            </w:pPr>
            <w:r>
              <w:rPr>
                <w:rFonts w:hint="eastAsia" w:ascii="仿宋" w:hAnsi="仿宋" w:cs="仿宋_GB2312"/>
                <w:szCs w:val="21"/>
              </w:rPr>
              <w:t>小写：</w:t>
            </w:r>
            <w:r>
              <w:rPr>
                <w:rFonts w:hint="eastAsia" w:ascii="仿宋" w:hAnsi="仿宋" w:cs="仿宋_GB2312"/>
                <w:szCs w:val="21"/>
                <w:lang w:val="en-US" w:eastAsia="zh-CN"/>
              </w:rPr>
              <w:t>775.00</w:t>
            </w:r>
          </w:p>
          <w:p>
            <w:pPr>
              <w:adjustRightInd w:val="0"/>
              <w:snapToGrid w:val="0"/>
              <w:ind w:left="-62" w:leftChars="-26" w:right="-53" w:rightChars="-22"/>
              <w:jc w:val="left"/>
              <w:rPr>
                <w:rFonts w:hint="eastAsia" w:ascii="仿宋" w:hAnsi="仿宋" w:eastAsia="仿宋" w:cs="仿宋_GB2312"/>
                <w:szCs w:val="21"/>
                <w:lang w:eastAsia="zh-CN"/>
              </w:rPr>
            </w:pPr>
            <w:r>
              <w:rPr>
                <w:rFonts w:hint="eastAsia" w:ascii="仿宋" w:hAnsi="仿宋" w:cs="仿宋_GB2312"/>
                <w:szCs w:val="21"/>
              </w:rPr>
              <w:t>大写：</w:t>
            </w:r>
            <w:r>
              <w:rPr>
                <w:rFonts w:hint="eastAsia" w:ascii="仿宋" w:hAnsi="仿宋" w:cs="仿宋_GB2312"/>
                <w:szCs w:val="21"/>
                <w:lang w:eastAsia="zh-CN"/>
              </w:rPr>
              <w:t>柒佰柒拾伍</w:t>
            </w:r>
          </w:p>
        </w:tc>
        <w:tc>
          <w:tcPr>
            <w:tcW w:w="881" w:type="dxa"/>
            <w:vAlign w:val="center"/>
          </w:tcPr>
          <w:p>
            <w:pPr>
              <w:adjustRightInd w:val="0"/>
              <w:snapToGrid w:val="0"/>
              <w:ind w:left="-62" w:leftChars="-26" w:right="-53" w:rightChars="-22"/>
              <w:jc w:val="center"/>
              <w:rPr>
                <w:rFonts w:hint="default" w:ascii="仿宋" w:hAnsi="仿宋" w:eastAsia="仿宋" w:cs="仿宋_GB2312"/>
                <w:szCs w:val="21"/>
                <w:lang w:val="en-US" w:eastAsia="zh-CN"/>
              </w:rPr>
            </w:pPr>
            <w:r>
              <w:rPr>
                <w:rFonts w:hint="eastAsia" w:ascii="仿宋" w:hAnsi="仿宋" w:cs="仿宋_GB2312"/>
                <w:szCs w:val="21"/>
                <w:lang w:val="en-US" w:eastAsia="zh-CN"/>
              </w:rPr>
              <w:t>120000</w:t>
            </w:r>
          </w:p>
        </w:tc>
        <w:tc>
          <w:tcPr>
            <w:tcW w:w="1300"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2021年1月1日至2021年12月31日</w:t>
            </w:r>
          </w:p>
        </w:tc>
        <w:tc>
          <w:tcPr>
            <w:tcW w:w="2334"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将位于营口机场北、嘉晨大道10号的城市生活垃圾处理厂分选后无法处理垃圾运至盖州市垃圾填埋场或大石桥虎庄垃圾填埋场进行卫生填埋（因大石桥虎庄垃圾填埋场正在进行扩容改造，暂时运至盖州市垃圾填埋场</w:t>
            </w:r>
          </w:p>
        </w:tc>
        <w:tc>
          <w:tcPr>
            <w:tcW w:w="424"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注：1报价按车次报，每车不超过限价800元.</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r>
        <w:rPr>
          <w:rFonts w:hint="eastAsia" w:ascii="宋体" w:hAnsi="宋体" w:cs="Lucida Sans Unicode"/>
          <w:u w:val="single"/>
        </w:rPr>
        <w:t>营口凯运运输有限公司</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2020年12月31日 </w:t>
      </w:r>
      <w:r>
        <w:rPr>
          <w:rFonts w:hint="eastAsia" w:ascii="仿宋" w:hAnsi="仿宋" w:cs="仿宋_GB2312"/>
          <w:szCs w:val="21"/>
        </w:rPr>
        <w:t xml:space="preserve"> </w:t>
      </w:r>
    </w:p>
    <w:p>
      <w:pPr>
        <w:pStyle w:val="3"/>
        <w:snapToGrid w:val="0"/>
        <w:spacing w:before="0" w:after="0" w:line="240" w:lineRule="auto"/>
        <w:rPr>
          <w:rFonts w:ascii="仿宋" w:hAnsi="仿宋" w:eastAsia="仿宋" w:cs="仿宋_GB2312"/>
          <w:szCs w:val="28"/>
        </w:rPr>
      </w:pP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lang w:val="en-US" w:eastAsia="zh-CN"/>
        </w:rPr>
        <w:t>12、</w:t>
      </w:r>
      <w:bookmarkStart w:id="2" w:name="_GoBack"/>
      <w:r>
        <w:rPr>
          <w:rFonts w:hint="eastAsia" w:ascii="仿宋" w:hAnsi="仿宋" w:cs="仿宋_GB2312"/>
          <w:b/>
          <w:bCs/>
          <w:sz w:val="32"/>
          <w:szCs w:val="32"/>
        </w:rPr>
        <w:t>服务价格明细表</w:t>
      </w:r>
      <w:bookmarkEnd w:id="2"/>
    </w:p>
    <w:p>
      <w:pPr>
        <w:adjustRightInd w:val="0"/>
        <w:snapToGrid w:val="0"/>
        <w:ind w:right="120" w:rightChars="50"/>
        <w:jc w:val="left"/>
        <w:rPr>
          <w:rFonts w:hint="eastAsia" w:ascii="仿宋" w:hAnsi="仿宋" w:eastAsia="仿宋" w:cs="仿宋_GB2312"/>
          <w:b/>
          <w:bCs/>
          <w:szCs w:val="21"/>
          <w:lang w:eastAsia="zh-CN"/>
        </w:rPr>
      </w:pPr>
      <w:r>
        <w:rPr>
          <w:rFonts w:hint="eastAsia" w:ascii="仿宋" w:hAnsi="仿宋" w:cs="仿宋_GB2312"/>
          <w:b/>
          <w:bCs/>
          <w:szCs w:val="21"/>
        </w:rPr>
        <w:t>包号：</w:t>
      </w:r>
      <w:r>
        <w:rPr>
          <w:rFonts w:hint="eastAsia" w:ascii="仿宋" w:hAnsi="仿宋" w:cs="仿宋_GB2312"/>
          <w:b/>
          <w:bCs/>
          <w:szCs w:val="21"/>
          <w:lang w:val="en-US" w:eastAsia="zh-CN"/>
        </w:rPr>
        <w:t>01</w:t>
      </w:r>
      <w:r>
        <w:rPr>
          <w:rFonts w:hint="eastAsia" w:ascii="仿宋" w:hAnsi="仿宋" w:cs="仿宋_GB2312"/>
          <w:b/>
          <w:bCs/>
          <w:szCs w:val="21"/>
        </w:rPr>
        <w:t xml:space="preserve">                                        报价单位：元/车次</w:t>
      </w:r>
    </w:p>
    <w:tbl>
      <w:tblPr>
        <w:tblStyle w:val="8"/>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hint="default" w:ascii="仿宋" w:hAnsi="仿宋" w:eastAsia="仿宋" w:cs="仿宋_GB2312"/>
                <w:szCs w:val="21"/>
                <w:lang w:val="en-US" w:eastAsia="zh-CN"/>
              </w:rPr>
            </w:pPr>
            <w:r>
              <w:rPr>
                <w:rFonts w:hint="eastAsia" w:ascii="仿宋" w:hAnsi="仿宋" w:cs="仿宋_GB2312"/>
                <w:szCs w:val="21"/>
                <w:lang w:val="en-US" w:eastAsia="zh-CN"/>
              </w:rPr>
              <w:t>01</w:t>
            </w:r>
          </w:p>
        </w:tc>
        <w:tc>
          <w:tcPr>
            <w:tcW w:w="3078" w:type="dxa"/>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2021年公共设施维护中心外雇车辆运送垃圾招标项目</w:t>
            </w:r>
          </w:p>
        </w:tc>
        <w:tc>
          <w:tcPr>
            <w:tcW w:w="1228" w:type="dxa"/>
            <w:vAlign w:val="center"/>
          </w:tcPr>
          <w:p>
            <w:pPr>
              <w:adjustRightInd w:val="0"/>
              <w:snapToGrid w:val="0"/>
              <w:ind w:right="120" w:rightChars="50"/>
              <w:jc w:val="center"/>
              <w:rPr>
                <w:rFonts w:hint="default" w:ascii="仿宋" w:hAnsi="仿宋" w:eastAsia="仿宋" w:cs="仿宋_GB2312"/>
                <w:szCs w:val="21"/>
                <w:lang w:val="en-US" w:eastAsia="zh-CN"/>
              </w:rPr>
            </w:pPr>
            <w:r>
              <w:rPr>
                <w:rFonts w:hint="eastAsia" w:ascii="仿宋" w:hAnsi="仿宋" w:cs="仿宋_GB2312"/>
                <w:szCs w:val="21"/>
                <w:lang w:val="en-US" w:eastAsia="zh-CN"/>
              </w:rPr>
              <w:t>775.00</w:t>
            </w:r>
          </w:p>
        </w:tc>
        <w:tc>
          <w:tcPr>
            <w:tcW w:w="1238" w:type="dxa"/>
            <w:vAlign w:val="center"/>
          </w:tcPr>
          <w:p>
            <w:pPr>
              <w:adjustRightInd w:val="0"/>
              <w:snapToGrid w:val="0"/>
              <w:ind w:right="120" w:rightChars="50"/>
              <w:jc w:val="center"/>
              <w:rPr>
                <w:rFonts w:hint="default" w:ascii="仿宋" w:hAnsi="仿宋" w:eastAsia="仿宋" w:cs="仿宋_GB2312"/>
                <w:szCs w:val="21"/>
                <w:lang w:val="en-US" w:eastAsia="zh-CN"/>
              </w:rPr>
            </w:pPr>
            <w:r>
              <w:rPr>
                <w:rFonts w:hint="eastAsia" w:ascii="仿宋" w:hAnsi="仿宋" w:cs="仿宋_GB2312"/>
                <w:szCs w:val="21"/>
                <w:lang w:val="en-US" w:eastAsia="zh-CN"/>
              </w:rPr>
              <w:t>775.00</w:t>
            </w: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hint="default" w:ascii="仿宋" w:hAnsi="仿宋" w:eastAsia="仿宋" w:cs="仿宋_GB2312"/>
                <w:szCs w:val="21"/>
                <w:lang w:val="en-US" w:eastAsia="zh-CN"/>
              </w:rPr>
            </w:pPr>
            <w:r>
              <w:rPr>
                <w:rFonts w:hint="eastAsia" w:ascii="仿宋" w:hAnsi="仿宋" w:cs="仿宋_GB2312"/>
                <w:szCs w:val="21"/>
                <w:lang w:val="en-US" w:eastAsia="zh-CN"/>
              </w:rPr>
              <w:t>775.00</w:t>
            </w: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r>
        <w:rPr>
          <w:rFonts w:hint="eastAsia" w:ascii="宋体" w:hAnsi="宋体" w:cs="Lucida Sans Unicode"/>
          <w:u w:val="single"/>
        </w:rPr>
        <w:t>营口凯运运输有限公司</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hint="eastAsia" w:ascii="仿宋" w:hAnsi="仿宋" w:eastAsia="仿宋" w:cs="仿宋_GB2312"/>
          <w:szCs w:val="28"/>
        </w:rPr>
      </w:pPr>
      <w:r>
        <w:rPr>
          <w:rFonts w:hint="eastAsia" w:ascii="仿宋" w:hAnsi="仿宋" w:cs="仿宋_GB2312"/>
        </w:rPr>
        <w:t>日期：</w:t>
      </w:r>
      <w:r>
        <w:rPr>
          <w:rFonts w:hint="eastAsia" w:ascii="仿宋" w:hAnsi="仿宋" w:cs="仿宋_GB2312"/>
          <w:u w:val="single"/>
        </w:rPr>
        <w:t xml:space="preserve"> 2020年12月31日 </w:t>
      </w:r>
      <w:r>
        <w:rPr>
          <w:rFonts w:hint="eastAsia" w:ascii="仿宋" w:hAnsi="仿宋" w:cs="仿宋_GB2312"/>
          <w:szCs w:val="21"/>
        </w:rPr>
        <w:t xml:space="preserve"> </w:t>
      </w:r>
      <w:sdt>
        <w:sdtPr>
          <w:rPr>
            <w:rFonts w:ascii="仿宋" w:hAnsi="仿宋"/>
          </w:rPr>
          <w:alias w:val="一表（对项目或各包的要求）"/>
          <w:tag w:val="一表（对项目或各包的要求）"/>
          <w:id w:val="1558982016"/>
          <w:lock w:val="sdtLocked"/>
        </w:sdtPr>
        <w:sdtEndPr>
          <w:rPr>
            <w:rFonts w:ascii="仿宋" w:hAnsi="仿宋"/>
          </w:rPr>
        </w:sdtEndPr>
        <w:sdtContent/>
      </w:sdt>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3"/>
        <w:snapToGrid w:val="0"/>
        <w:spacing w:before="0" w:after="0" w:line="240" w:lineRule="auto"/>
        <w:rPr>
          <w:rFonts w:hint="eastAsia" w:ascii="仿宋" w:hAnsi="仿宋" w:eastAsia="仿宋" w:cs="仿宋_GB2312"/>
          <w:szCs w:val="28"/>
        </w:rPr>
      </w:pPr>
    </w:p>
    <w:p>
      <w:pPr>
        <w:pStyle w:val="2"/>
        <w:ind w:left="0" w:leftChars="0" w:firstLine="0" w:firstLineChars="0"/>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054C6"/>
    <w:rsid w:val="0AE91F94"/>
    <w:rsid w:val="0BCE2EC9"/>
    <w:rsid w:val="0DDE0337"/>
    <w:rsid w:val="0E284F2C"/>
    <w:rsid w:val="0E5E40B5"/>
    <w:rsid w:val="12183006"/>
    <w:rsid w:val="12616566"/>
    <w:rsid w:val="13EC4767"/>
    <w:rsid w:val="14662FE5"/>
    <w:rsid w:val="14C07A6C"/>
    <w:rsid w:val="19E63C61"/>
    <w:rsid w:val="19E827C6"/>
    <w:rsid w:val="1E254130"/>
    <w:rsid w:val="1E6232D1"/>
    <w:rsid w:val="24EC2A89"/>
    <w:rsid w:val="282B6FAE"/>
    <w:rsid w:val="28EB4704"/>
    <w:rsid w:val="2D7562A9"/>
    <w:rsid w:val="30444835"/>
    <w:rsid w:val="318B5899"/>
    <w:rsid w:val="33F973E2"/>
    <w:rsid w:val="36A02027"/>
    <w:rsid w:val="38883E69"/>
    <w:rsid w:val="3AAF0CC0"/>
    <w:rsid w:val="3ABC032C"/>
    <w:rsid w:val="3ADE5D2D"/>
    <w:rsid w:val="3B25546E"/>
    <w:rsid w:val="3BF169C0"/>
    <w:rsid w:val="3D031F0D"/>
    <w:rsid w:val="3D5E1392"/>
    <w:rsid w:val="3E507013"/>
    <w:rsid w:val="3EC142B9"/>
    <w:rsid w:val="459620B8"/>
    <w:rsid w:val="45E52499"/>
    <w:rsid w:val="48413E2D"/>
    <w:rsid w:val="497910EA"/>
    <w:rsid w:val="4AC25B3C"/>
    <w:rsid w:val="4C5E75C5"/>
    <w:rsid w:val="4CCE005D"/>
    <w:rsid w:val="50DF60B8"/>
    <w:rsid w:val="52747BD2"/>
    <w:rsid w:val="56C40886"/>
    <w:rsid w:val="5825318C"/>
    <w:rsid w:val="59856B40"/>
    <w:rsid w:val="5D6861FF"/>
    <w:rsid w:val="61086D60"/>
    <w:rsid w:val="673902ED"/>
    <w:rsid w:val="69EC3A42"/>
    <w:rsid w:val="6C755EB0"/>
    <w:rsid w:val="6D643985"/>
    <w:rsid w:val="6E3513F3"/>
    <w:rsid w:val="6E855687"/>
    <w:rsid w:val="6FDE4810"/>
    <w:rsid w:val="705817D5"/>
    <w:rsid w:val="74BA5432"/>
    <w:rsid w:val="75997AD3"/>
    <w:rsid w:val="76F24A38"/>
    <w:rsid w:val="7CAD57A3"/>
    <w:rsid w:val="7DAE294E"/>
    <w:rsid w:val="7ED3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99"/>
    <w:pPr>
      <w:ind w:firstLine="420" w:firstLineChars="200"/>
    </w:pPr>
  </w:style>
  <w:style w:type="paragraph" w:styleId="4">
    <w:name w:val="Plain Text"/>
    <w:basedOn w:val="1"/>
    <w:qFormat/>
    <w:uiPriority w:val="99"/>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2-5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3-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3-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3-8"/>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4-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2020-12-15T07:30:00Z</dcterms:created>
  <dc:creator>john</dc:creator>
  <cp:lastModifiedBy>延</cp:lastModifiedBy>
  <cp:lastPrinted>2020-12-29T03:12:00Z</cp:lastPrinted>
  <dcterms:modified xsi:type="dcterms:W3CDTF">2020-12-30T05:19:51Z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