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hint="default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/>
          <w:lang w:val="en-US" w:eastAsia="zh-CN"/>
        </w:rPr>
        <w:t>4.</w:t>
      </w:r>
      <w:r>
        <w:rPr>
          <w:rStyle w:val="6"/>
          <w:rFonts w:hint="eastAsia"/>
        </w:rPr>
        <w:t>服务价格明细表</w:t>
      </w:r>
    </w:p>
    <w:p>
      <w:pPr>
        <w:spacing w:before="319" w:beforeLines="100" w:after="319" w:afterLines="100" w:line="360" w:lineRule="auto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服务价格明细表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包号：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报价单位：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人民币元</w:t>
      </w:r>
    </w:p>
    <w:tbl>
      <w:tblPr>
        <w:tblStyle w:val="4"/>
        <w:tblW w:w="8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634"/>
        <w:gridCol w:w="1672"/>
        <w:gridCol w:w="1846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-65" w:leftChars="-31" w:right="-46" w:rightChars="-22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-65" w:leftChars="-31" w:right="-46" w:rightChars="-22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服务名称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-65" w:leftChars="-31" w:right="-46" w:rightChars="-22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-65" w:leftChars="-31" w:right="-46" w:rightChars="-22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-65" w:leftChars="-31" w:right="-46" w:rightChars="-22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工资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31000.00/月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372000.00/年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工伤保险18%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5580.00/月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66960.00/年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服装费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108.33/月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1300.00/年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管理费用（含税金额4%）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1643.74/月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19724.91/年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税金（含税金额6.72%）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2761.49/月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33137.85/年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6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41093.56/月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493122.7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6/年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注：1.此表中，总价应和报价一览表的响应总价相一致。</w:t>
      </w:r>
    </w:p>
    <w:p>
      <w:pPr>
        <w:adjustRightInd w:val="0"/>
        <w:snapToGrid w:val="0"/>
        <w:spacing w:line="360" w:lineRule="auto"/>
        <w:ind w:right="105" w:rightChars="50" w:firstLine="840" w:firstLineChars="400"/>
        <w:jc w:val="lef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2.本表可根据实际情况进行拓展。</w:t>
      </w:r>
    </w:p>
    <w:p>
      <w:pPr>
        <w:adjustRightInd w:val="0"/>
        <w:snapToGrid w:val="0"/>
        <w:spacing w:line="360" w:lineRule="auto"/>
        <w:ind w:right="105" w:rightChars="50" w:firstLine="840" w:firstLineChars="400"/>
        <w:jc w:val="lef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3.本表格须准备一份电子版</w:t>
      </w:r>
      <w:r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盘并做好标记、密封，递交响应文件时一并递交。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right="105" w:rightChars="50" w:firstLine="476" w:firstLineChars="227"/>
        <w:jc w:val="lef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ind w:right="105" w:rightChars="50"/>
        <w:jc w:val="left"/>
        <w:rPr>
          <w:rFonts w:ascii="仿宋_GB2312" w:hAnsi="仿宋_GB2312" w:eastAsia="仿宋_GB2312" w:cs="仿宋_GB2312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(加盖单位公章):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>营口信帮劳务派遣有限公司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480" w:lineRule="auto"/>
        <w:ind w:right="105" w:rightChars="50"/>
        <w:jc w:val="left"/>
        <w:rPr>
          <w:rFonts w:ascii="仿宋_GB2312" w:hAnsi="仿宋_GB2312" w:eastAsia="仿宋_GB2312" w:cs="仿宋_GB2312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法定代表人（或非法人组织负责人）或其授权委托人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(签字或盖章)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adjustRightInd w:val="0"/>
        <w:snapToGrid w:val="0"/>
        <w:spacing w:line="480" w:lineRule="auto"/>
        <w:ind w:right="1050" w:rightChars="500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日           期: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21年3</w:t>
      </w:r>
      <w:r>
        <w:rPr>
          <w:rFonts w:hint="eastAsia" w:ascii="仿宋_GB2312" w:hAnsi="仿宋_GB2312" w:eastAsia="仿宋_GB2312" w:cs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A4A38"/>
    <w:rsid w:val="310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character" w:customStyle="1" w:styleId="6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2021-03-31T01:34:00Z</dcterms:created>
  <dc:creator>小茉莉</dc:creator>
  <cp:lastModifiedBy>小茉莉</cp:lastModifiedBy>
  <dcterms:modified xsi:type="dcterms:W3CDTF">2021-03-31T01:35:46Z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6CDF2A2503A84D56A5489FFE9AA06D6D</vt:lpwstr>
  </property>
</Properties>
</file>