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DF" w:rsidRPr="00DB5F1B" w:rsidRDefault="00A65B99" w:rsidP="00822FE5">
      <w:pPr>
        <w:pStyle w:val="2"/>
        <w:rPr>
          <w:rFonts w:ascii="仿宋" w:hAnsi="仿宋"/>
        </w:rPr>
      </w:pPr>
      <w:bookmarkStart w:id="0" w:name="_Toc72416044"/>
      <w:r w:rsidRPr="00DB5F1B">
        <w:rPr>
          <w:rFonts w:ascii="仿宋" w:hAnsi="仿宋" w:hint="eastAsia"/>
        </w:rPr>
        <w:t>四</w:t>
      </w:r>
      <w:r w:rsidRPr="00DB5F1B">
        <w:rPr>
          <w:rFonts w:ascii="仿宋" w:hAnsi="仿宋"/>
        </w:rPr>
        <w:t>、</w:t>
      </w:r>
      <w:r w:rsidR="00517FDF" w:rsidRPr="00DB5F1B">
        <w:rPr>
          <w:rFonts w:ascii="仿宋" w:hAnsi="仿宋" w:hint="eastAsia"/>
        </w:rPr>
        <w:t>分项报价表</w:t>
      </w:r>
      <w:bookmarkEnd w:id="0"/>
    </w:p>
    <w:p w:rsidR="00517FDF" w:rsidRPr="00DB5F1B" w:rsidRDefault="00517FDF" w:rsidP="00517FDF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_GB2312"/>
          <w:b/>
          <w:bCs/>
          <w:szCs w:val="21"/>
        </w:rPr>
      </w:pPr>
      <w:r w:rsidRPr="00DB5F1B">
        <w:rPr>
          <w:rFonts w:ascii="仿宋" w:eastAsia="仿宋" w:hAnsi="仿宋" w:cs="仿宋_GB2312" w:hint="eastAsia"/>
          <w:b/>
          <w:bCs/>
          <w:szCs w:val="21"/>
        </w:rPr>
        <w:t>包号：</w:t>
      </w:r>
      <w:r w:rsidR="003373C4" w:rsidRPr="00DB5F1B">
        <w:rPr>
          <w:rFonts w:ascii="仿宋" w:eastAsia="仿宋" w:hAnsi="仿宋" w:cs="仿宋_GB2312" w:hint="eastAsia"/>
          <w:b/>
          <w:bCs/>
          <w:szCs w:val="21"/>
        </w:rPr>
        <w:t>第1包</w:t>
      </w:r>
      <w:r w:rsidRPr="00DB5F1B">
        <w:rPr>
          <w:rFonts w:ascii="仿宋" w:eastAsia="仿宋" w:hAnsi="仿宋" w:cs="仿宋_GB2312" w:hint="eastAsia"/>
          <w:b/>
          <w:bCs/>
          <w:szCs w:val="21"/>
        </w:rPr>
        <w:t xml:space="preserve">                      </w:t>
      </w:r>
      <w:r w:rsidR="003373C4" w:rsidRPr="00DB5F1B">
        <w:rPr>
          <w:rFonts w:ascii="仿宋" w:eastAsia="仿宋" w:hAnsi="仿宋" w:cs="仿宋_GB2312" w:hint="eastAsia"/>
          <w:b/>
          <w:bCs/>
          <w:szCs w:val="21"/>
        </w:rPr>
        <w:t xml:space="preserve">                     </w:t>
      </w:r>
      <w:r w:rsidR="00820DD9" w:rsidRPr="00DB5F1B">
        <w:rPr>
          <w:rFonts w:ascii="仿宋" w:eastAsia="仿宋" w:hAnsi="仿宋" w:cs="仿宋_GB2312"/>
          <w:b/>
          <w:bCs/>
          <w:szCs w:val="21"/>
        </w:rPr>
        <w:t xml:space="preserve">                                                      </w:t>
      </w:r>
      <w:r w:rsidRPr="00DB5F1B">
        <w:rPr>
          <w:rFonts w:ascii="仿宋" w:eastAsia="仿宋" w:hAnsi="仿宋" w:cs="仿宋_GB2312" w:hint="eastAsia"/>
          <w:b/>
          <w:bCs/>
          <w:szCs w:val="21"/>
        </w:rPr>
        <w:t>报价单位：</w:t>
      </w:r>
      <w:r w:rsidR="003373C4" w:rsidRPr="00DB5F1B">
        <w:rPr>
          <w:rFonts w:ascii="仿宋" w:eastAsia="仿宋" w:hAnsi="仿宋" w:cs="仿宋_GB2312" w:hint="eastAsia"/>
          <w:b/>
          <w:bCs/>
          <w:szCs w:val="21"/>
        </w:rPr>
        <w:t>人民币（元）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1555"/>
        <w:gridCol w:w="844"/>
        <w:gridCol w:w="4459"/>
        <w:gridCol w:w="665"/>
        <w:gridCol w:w="1092"/>
        <w:gridCol w:w="1913"/>
        <w:gridCol w:w="846"/>
        <w:gridCol w:w="1214"/>
        <w:gridCol w:w="664"/>
      </w:tblGrid>
      <w:tr w:rsidR="00820DD9" w:rsidRPr="00DB5F1B" w:rsidTr="00820DD9">
        <w:trPr>
          <w:trHeight w:val="27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原产地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制造商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820DD9" w:rsidRPr="00DB5F1B" w:rsidTr="00820DD9">
        <w:trPr>
          <w:trHeight w:val="27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D9" w:rsidRPr="00DB5F1B" w:rsidRDefault="00820DD9" w:rsidP="00820D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D9" w:rsidRPr="00DB5F1B" w:rsidRDefault="00820DD9" w:rsidP="00820D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DD9" w:rsidRPr="00DB5F1B" w:rsidRDefault="00820DD9" w:rsidP="00820D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D9" w:rsidRPr="00DB5F1B" w:rsidRDefault="00820DD9" w:rsidP="00820D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0DD9" w:rsidRPr="00DB5F1B" w:rsidRDefault="00820DD9" w:rsidP="00820D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D9" w:rsidRPr="00DB5F1B" w:rsidRDefault="00820DD9" w:rsidP="00820D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D9" w:rsidRPr="00DB5F1B" w:rsidRDefault="00820DD9" w:rsidP="00820D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DD9" w:rsidRPr="00DB5F1B" w:rsidRDefault="00820DD9" w:rsidP="00820D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20DD9" w:rsidRPr="00DB5F1B" w:rsidTr="00820DD9">
        <w:trPr>
          <w:trHeight w:val="983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考试作弊防控管理平台软件（校级）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恒生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2114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汉尚考试作弊防控管理平台软件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1.支持标准WebService接口，可通过浏览器页面进行系统管理工作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2.支持对系统设备进行查询、增加、删除、远程开关、固件升级等操作；可按照实际考场管理方式对设备进行远程管理；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3.系统平台设置考试计划，即开机时间和关机时间，所有屏蔽终端将自动开启或者自动关闭；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4.可实现对系统设备的IP地址、工作状态、教室位置、分组情况、在线状态、MAC地址、版本等信息的查询和管理；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5.按照教育考试实际机构、虚拟机构进行单级和多级管理，并兼容网上巡查域名管理；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6.可自动呈现所有作弊信号特征，包括信号类型（语音或数传)、出现时间、考试场次、出现时的频点等；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7.提供已还原的语音和数传类作弊器材发射信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号内容的回放、查看、记录、查询、下载、统计功能；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8.不影响屏蔽效果的情况下，对作弊语音信号监听内容进行保存取证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9.支持智能化、自动化考试模式管理；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10.系统可根据考试计划实现无人值守式管理，也支持人工操作模式。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11.为方便管理和数据收集，系统应能实现多级级联，上级平台能够查看下级管理平台的所有信息，包括设备信息，信号统计，信号还原等信息；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12.平台支持设备信息实时显示,可直接预览查看屏蔽设备各通道的运行状态,侦测服务器在线运行情况；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13.支持语音、数传等信号的自动解调；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14.输出工作状态报告，包括屏蔽器的数量、工作状态，平台的级联信息、运行状态等；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15.系统具备密码登录、用户权限设置功能；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16.具备管理员操作日志记录、查询功能；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17.支持语音、数传等解调后信号文件的自动上传；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18.黑白名单库支持手工编辑、上级平台下发；实现资源共享，可预留考务通信频点（段），不影响正常通讯；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 xml:space="preserve">19. </w:t>
            </w:r>
            <w:r w:rsidR="0021148F"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我公司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承诺所建设的校级考试作弊防控管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理平台软件可与营口市考试作弊防控管理平台无缝兼容对接，校级平台软件能接收营口市平台下发的作弊防控频点，实现直接屏蔽。所需SDK对接事宜和对接费用由</w:t>
            </w:r>
            <w:r w:rsidR="0021148F"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我公司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自行承担。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浙江杭州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杭州恒生数字设备科技有限公司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DD9" w:rsidRPr="00DB5F1B" w:rsidRDefault="00820DD9" w:rsidP="00820DD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10,000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50,000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0DD9" w:rsidRPr="00DB5F1B" w:rsidTr="00820DD9">
        <w:trPr>
          <w:trHeight w:val="169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侦测服务器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恒生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HISOME-RSDS1000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1.符合《电子考场系统通用要求GBT 36449-2018》相关要求；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2.采用嵌入式架构设计，系统稳定可靠，可以防止被勒索病毒等恶性病毒攻击；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3.侦测引导频率范围50MHz-3000MHz；支持无人值守式侦测引导阻断工作模式；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4.支持包括语音和数传类型的专业作弊设备信号采集和还原；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5.支持自动保存捕获信号文件和还原内容生成；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6.侦测子模块在引导阻断完成可疑信号屏蔽的同时，可以对可疑信号进行捕捉，通道之间互不影响；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7.RJ45，支持TCP/IP协议和UDP广播/组播协议，具备联网能力；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8.支持与标准化考点平台连接，实现可疑频点及作弊信号还原内容上报功能；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 xml:space="preserve">9.侦测动态范围≥70dB；    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10.设备状态实时上报，支持平台远程设备工作状态查看和管理；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11.可提供实时检测无线电信号频谱图及频率列表；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12.通过软硬件升级对可能出现的新一代无线电作弊信号进行分析、还原并有效防控；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13.支持对已捕获的异常信号信息进行分类汇总；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14.可完成无线电信号实时侦测、可疑信号自动采集还原和自动引导阻断；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15.支持对可疑作弊信号频点信息和还原内容的平台上传及管理；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16.具有黑白名单库功能，支持手工编辑名单库；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17.设备支持软硬件升级扩展提升系统功能和性能；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18.侦测子模块对可疑信号的侦测频率误差≤25KHz。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浙江杭州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杭州恒生数字设备科技有限公司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DD9" w:rsidRPr="00DB5F1B" w:rsidRDefault="00820DD9" w:rsidP="00820DD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57,992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289,960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0DD9" w:rsidRPr="00DB5F1B" w:rsidTr="00820DD9">
        <w:trPr>
          <w:trHeight w:val="169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侦测引导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屏蔽终端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恒生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0712C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HISOME-RSTI300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1. 符合《电子考场系统通用要求GBT 36449-2018》相关要求；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2.屏蔽信号有效覆盖标准化考场教室考生落座范围，单台设备对10米以外考场范围外的通讯没有干扰；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3.侦测引导阻断频率范围：50MHz-3000MHz；可以并发阻断同时出现在任意频率上的任意多的不同信号，对对讲机U段、对讲机V段、无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线隐形耳机、骨传导耳机、无线数字传输接收工具任意多的无线信号进行直接屏蔽，实现全部屏蔽电信、移动、联通等运营商2G/3G/4G频段，WIFI（2.4/5.8G）蓝牙频段、公众对讲频段、5G的作弊信号；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4.可以屏蔽教室内背景场强-50dBm以下、通透环境下视周边基站远近；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5.设备能够根据管理平台软件设定的考试时间自动开启/关闭设备的通道；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6.支持平台远程管理，屏蔽终端工作状态查看和管理；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7.可以教室为单位对设备进行集中管理；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8.设备具备扩展横槽、扩展接口；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9.实现对5G信号全网屏蔽2515-2675MHz，3300MHz-3600MHz，4800MHz-5000MHz，并根据最终5G商用频谱调整；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10.屏蔽终端侦测引导阻断频率：50MHz-3000MHz，设备为低电压供电，输入电压不超过36V；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11.阻断子模块可以通过网络进行远程批量升级，方便设备的后期维护；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12. 绝缘外壳,隐蔽式定向天线阵列设计，支持壁挂等多种使用场景；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13.采用无风扇设计，绿色环保，避免设备的噪声对学生造成干扰，确保设备连续工作的噪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音指标不会随时间而恶化；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14.阻断子模块预留的RJ45网络接口（大于等于2口）可以实现正常的交换功能，作为备用交换机使用；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15. 支持接受远程开关指令，单独或整体通道开启/关闭；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支持无人操作管理模式，可按设置考试计划提供智能管理功能；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16.具有高可靠性，安全散热，支持7×24小时，连续工作性能稳定；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17.含安装过程中所需的所有交换设备、管材、强弱电线缆、辅材、配件等；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 xml:space="preserve">18. </w:t>
            </w:r>
            <w:r w:rsidR="0021148F"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我公司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承诺用于考场的侦测引导屏蔽终端必须可以与市级/校级考试作弊防控管理平台互联互通，设备能接收营口市下发的作弊防控频点，实现直接屏蔽。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296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浙江杭州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杭州恒生数字设备科技有限公司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DD9" w:rsidRPr="00DB5F1B" w:rsidRDefault="00820DD9" w:rsidP="00820DD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4,950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1,465,200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0DD9" w:rsidRPr="00DB5F1B" w:rsidTr="00820DD9">
        <w:trPr>
          <w:trHeight w:val="169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5G信号屏蔽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模块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恒生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定制</w:t>
            </w: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原有屏蔽器加装5G信号屏蔽模块, 实现对5G信号全网屏蔽2515-2675MHz，3300MHz-3600MHz、4800MHz-5000MHz屏蔽，并根据最终5G商用频谱调整。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浙江杭州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杭州恒生数字设备科技有限公司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DD9" w:rsidRPr="00DB5F1B" w:rsidRDefault="00820DD9" w:rsidP="00820DD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1,280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67,840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B5F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0DD9" w:rsidRPr="00DB5F1B" w:rsidTr="00820DD9">
        <w:trPr>
          <w:trHeight w:val="780"/>
        </w:trPr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1"/>
              </w:rPr>
            </w:pPr>
            <w:r w:rsidRPr="00DB5F1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1"/>
              </w:rPr>
              <w:t>总价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1"/>
              </w:rPr>
            </w:pPr>
            <w:r w:rsidRPr="00DB5F1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1"/>
              </w:rPr>
            </w:pPr>
            <w:r w:rsidRPr="00DB5F1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1"/>
              </w:rPr>
            </w:pPr>
            <w:r w:rsidRPr="00DB5F1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1"/>
              </w:rPr>
            </w:pPr>
            <w:r w:rsidRPr="00DB5F1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1"/>
              </w:rPr>
            </w:pPr>
            <w:r w:rsidRPr="00DB5F1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1"/>
              </w:rPr>
            </w:pPr>
            <w:r w:rsidRPr="00DB5F1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1"/>
              </w:rPr>
            </w:pPr>
            <w:r w:rsidRPr="00DB5F1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1"/>
              </w:rPr>
              <w:t xml:space="preserve">1,873,000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D9" w:rsidRPr="00DB5F1B" w:rsidRDefault="00820DD9" w:rsidP="00820DD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1"/>
              </w:rPr>
            </w:pPr>
            <w:r w:rsidRPr="00DB5F1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</w:tr>
    </w:tbl>
    <w:p w:rsidR="00517FDF" w:rsidRPr="00DB5F1B" w:rsidRDefault="00517FDF" w:rsidP="00517FDF">
      <w:pPr>
        <w:adjustRightInd w:val="0"/>
        <w:snapToGrid w:val="0"/>
        <w:spacing w:line="360" w:lineRule="auto"/>
        <w:ind w:rightChars="50" w:right="105" w:firstLineChars="200" w:firstLine="420"/>
        <w:jc w:val="left"/>
        <w:rPr>
          <w:rFonts w:ascii="仿宋" w:eastAsia="仿宋" w:hAnsi="仿宋" w:cs="仿宋_GB2312"/>
          <w:szCs w:val="21"/>
        </w:rPr>
      </w:pPr>
      <w:r w:rsidRPr="00DB5F1B">
        <w:rPr>
          <w:rFonts w:ascii="仿宋" w:eastAsia="仿宋" w:hAnsi="仿宋" w:cs="仿宋_GB2312" w:hint="eastAsia"/>
          <w:szCs w:val="21"/>
        </w:rPr>
        <w:t>注：1.此表中，总价应和报价一览表的响应总价相一致。</w:t>
      </w:r>
    </w:p>
    <w:p w:rsidR="00517FDF" w:rsidRPr="00DB5F1B" w:rsidRDefault="00517FDF" w:rsidP="00517FDF">
      <w:pPr>
        <w:adjustRightInd w:val="0"/>
        <w:snapToGrid w:val="0"/>
        <w:spacing w:line="360" w:lineRule="auto"/>
        <w:ind w:rightChars="50" w:right="105" w:firstLineChars="400" w:firstLine="840"/>
        <w:jc w:val="left"/>
        <w:rPr>
          <w:rFonts w:ascii="仿宋" w:eastAsia="仿宋" w:hAnsi="仿宋" w:cs="仿宋_GB2312"/>
          <w:b/>
          <w:sz w:val="28"/>
          <w:szCs w:val="28"/>
        </w:rPr>
      </w:pPr>
      <w:r w:rsidRPr="00DB5F1B">
        <w:rPr>
          <w:rFonts w:ascii="仿宋" w:eastAsia="仿宋" w:hAnsi="仿宋" w:cs="仿宋_GB2312" w:hint="eastAsia"/>
          <w:szCs w:val="21"/>
        </w:rPr>
        <w:t>2.本表格须准备一份电子版</w:t>
      </w:r>
      <w:r w:rsidRPr="00DB5F1B">
        <w:rPr>
          <w:rFonts w:ascii="仿宋" w:eastAsia="仿宋" w:hAnsi="仿宋" w:cs="仿宋_GB2312"/>
          <w:szCs w:val="21"/>
        </w:rPr>
        <w:t>U</w:t>
      </w:r>
      <w:r w:rsidRPr="00DB5F1B">
        <w:rPr>
          <w:rFonts w:ascii="仿宋" w:eastAsia="仿宋" w:hAnsi="仿宋" w:cs="仿宋_GB2312" w:hint="eastAsia"/>
          <w:szCs w:val="21"/>
        </w:rPr>
        <w:t>盘并做好标记、密封，递交响应文件时一并递交。</w:t>
      </w:r>
    </w:p>
    <w:p w:rsidR="00517FDF" w:rsidRPr="00DB5F1B" w:rsidRDefault="00517FDF" w:rsidP="00517FDF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_GB2312"/>
          <w:szCs w:val="21"/>
        </w:rPr>
      </w:pPr>
    </w:p>
    <w:p w:rsidR="00517FDF" w:rsidRPr="00DB5F1B" w:rsidRDefault="00517FDF" w:rsidP="00517FDF">
      <w:pPr>
        <w:adjustRightInd w:val="0"/>
        <w:snapToGrid w:val="0"/>
        <w:spacing w:line="480" w:lineRule="auto"/>
        <w:ind w:rightChars="50" w:right="105"/>
        <w:jc w:val="left"/>
        <w:rPr>
          <w:rFonts w:ascii="仿宋" w:eastAsia="仿宋" w:hAnsi="仿宋" w:cs="仿宋_GB2312"/>
          <w:szCs w:val="21"/>
          <w:u w:val="single"/>
        </w:rPr>
      </w:pPr>
      <w:r w:rsidRPr="00DB5F1B">
        <w:rPr>
          <w:rFonts w:ascii="仿宋" w:eastAsia="仿宋" w:hAnsi="仿宋" w:cs="仿宋_GB2312" w:hint="eastAsia"/>
          <w:szCs w:val="21"/>
        </w:rPr>
        <w:t>供应商(加盖单位公章):</w:t>
      </w:r>
      <w:r w:rsidR="006C43D7" w:rsidRPr="00DB5F1B">
        <w:rPr>
          <w:rFonts w:ascii="仿宋" w:eastAsia="仿宋" w:hAnsi="仿宋" w:hint="eastAsia"/>
        </w:rPr>
        <w:t xml:space="preserve"> </w:t>
      </w:r>
      <w:r w:rsidR="006C43D7" w:rsidRPr="00DB5F1B">
        <w:rPr>
          <w:rFonts w:ascii="仿宋" w:eastAsia="仿宋" w:hAnsi="仿宋" w:cs="仿宋_GB2312" w:hint="eastAsia"/>
          <w:szCs w:val="21"/>
          <w:u w:val="single"/>
        </w:rPr>
        <w:t>辽宁万维网络信息技术有限公司</w:t>
      </w:r>
    </w:p>
    <w:p w:rsidR="00517FDF" w:rsidRPr="00DB5F1B" w:rsidRDefault="00517FDF" w:rsidP="00517FDF">
      <w:pPr>
        <w:adjustRightInd w:val="0"/>
        <w:snapToGrid w:val="0"/>
        <w:spacing w:line="480" w:lineRule="auto"/>
        <w:ind w:rightChars="50" w:right="105"/>
        <w:jc w:val="left"/>
        <w:rPr>
          <w:rFonts w:ascii="仿宋" w:eastAsia="仿宋" w:hAnsi="仿宋" w:cs="仿宋_GB2312"/>
          <w:szCs w:val="21"/>
          <w:u w:val="single"/>
        </w:rPr>
      </w:pPr>
      <w:r w:rsidRPr="00DB5F1B">
        <w:rPr>
          <w:rFonts w:ascii="仿宋" w:eastAsia="仿宋" w:hAnsi="仿宋" w:cs="仿宋_GB2312" w:hint="eastAsia"/>
          <w:szCs w:val="21"/>
        </w:rPr>
        <w:t>法定代表人（或非法人组织负责人）或其授权委托人</w:t>
      </w:r>
      <w:r w:rsidRPr="00DB5F1B">
        <w:rPr>
          <w:rFonts w:ascii="仿宋" w:eastAsia="仿宋" w:hAnsi="仿宋" w:cs="仿宋_GB2312" w:hint="eastAsia"/>
        </w:rPr>
        <w:t xml:space="preserve"> (签字或盖章)</w:t>
      </w:r>
      <w:r w:rsidRPr="00DB5F1B">
        <w:rPr>
          <w:rFonts w:ascii="仿宋" w:eastAsia="仿宋" w:hAnsi="仿宋" w:cs="仿宋_GB2312" w:hint="eastAsia"/>
          <w:szCs w:val="21"/>
        </w:rPr>
        <w:t>:</w:t>
      </w:r>
      <w:r w:rsidRPr="00DB5F1B">
        <w:rPr>
          <w:rFonts w:ascii="仿宋" w:eastAsia="仿宋" w:hAnsi="仿宋" w:cs="仿宋_GB2312" w:hint="eastAsia"/>
          <w:szCs w:val="21"/>
          <w:u w:val="single"/>
        </w:rPr>
        <w:t xml:space="preserve">             </w:t>
      </w:r>
    </w:p>
    <w:p w:rsidR="00517FDF" w:rsidRPr="00DB5F1B" w:rsidRDefault="00517FDF" w:rsidP="00517FDF">
      <w:pPr>
        <w:adjustRightInd w:val="0"/>
        <w:snapToGrid w:val="0"/>
        <w:spacing w:line="480" w:lineRule="auto"/>
        <w:ind w:rightChars="50" w:right="105"/>
        <w:jc w:val="left"/>
        <w:rPr>
          <w:rFonts w:ascii="仿宋" w:eastAsia="仿宋" w:hAnsi="仿宋" w:cs="仿宋_GB2312"/>
          <w:szCs w:val="21"/>
          <w:u w:val="single"/>
        </w:rPr>
      </w:pPr>
      <w:r w:rsidRPr="00DB5F1B">
        <w:rPr>
          <w:rFonts w:ascii="仿宋" w:eastAsia="仿宋" w:hAnsi="仿宋" w:cs="仿宋_GB2312" w:hint="eastAsia"/>
          <w:szCs w:val="21"/>
        </w:rPr>
        <w:t>日     期</w:t>
      </w:r>
      <w:r w:rsidR="005640C8" w:rsidRPr="00DB5F1B">
        <w:rPr>
          <w:rFonts w:ascii="仿宋" w:eastAsia="仿宋" w:hAnsi="仿宋" w:cs="仿宋_GB2312" w:hint="eastAsia"/>
          <w:szCs w:val="21"/>
        </w:rPr>
        <w:t>:</w:t>
      </w:r>
      <w:r w:rsidR="005640C8" w:rsidRPr="00DB5F1B">
        <w:rPr>
          <w:rFonts w:ascii="仿宋" w:eastAsia="仿宋" w:hAnsi="仿宋" w:cs="仿宋_GB2312" w:hint="eastAsia"/>
          <w:szCs w:val="21"/>
          <w:u w:val="single"/>
        </w:rPr>
        <w:t>2021年5月2</w:t>
      </w:r>
      <w:r w:rsidR="00051A8B">
        <w:rPr>
          <w:rFonts w:ascii="仿宋" w:eastAsia="仿宋" w:hAnsi="仿宋" w:cs="仿宋_GB2312"/>
          <w:szCs w:val="21"/>
          <w:u w:val="single"/>
        </w:rPr>
        <w:t>6</w:t>
      </w:r>
      <w:bookmarkStart w:id="1" w:name="_GoBack"/>
      <w:bookmarkEnd w:id="1"/>
      <w:r w:rsidR="005640C8" w:rsidRPr="00DB5F1B">
        <w:rPr>
          <w:rFonts w:ascii="仿宋" w:eastAsia="仿宋" w:hAnsi="仿宋" w:cs="仿宋_GB2312" w:hint="eastAsia"/>
          <w:szCs w:val="21"/>
          <w:u w:val="single"/>
        </w:rPr>
        <w:t>日</w:t>
      </w:r>
    </w:p>
    <w:p w:rsidR="00517FDF" w:rsidRPr="00DB5F1B" w:rsidRDefault="00517FDF" w:rsidP="00517FDF">
      <w:pPr>
        <w:adjustRightInd w:val="0"/>
        <w:snapToGrid w:val="0"/>
        <w:spacing w:line="480" w:lineRule="auto"/>
        <w:ind w:rightChars="50" w:right="105"/>
        <w:jc w:val="left"/>
        <w:rPr>
          <w:rFonts w:ascii="仿宋" w:eastAsia="仿宋" w:hAnsi="仿宋" w:cs="仿宋_GB2312"/>
          <w:szCs w:val="21"/>
        </w:rPr>
      </w:pPr>
      <w:r w:rsidRPr="00DB5F1B">
        <w:rPr>
          <w:rFonts w:ascii="仿宋" w:eastAsia="仿宋" w:hAnsi="仿宋" w:cs="仿宋_GB2312" w:hint="eastAsia"/>
          <w:szCs w:val="21"/>
        </w:rPr>
        <w:t xml:space="preserve">              </w:t>
      </w:r>
    </w:p>
    <w:p w:rsidR="00517FDF" w:rsidRPr="00DB5F1B" w:rsidRDefault="00517FDF" w:rsidP="00A65B99">
      <w:pPr>
        <w:rPr>
          <w:rFonts w:ascii="仿宋" w:eastAsia="仿宋" w:hAnsi="仿宋"/>
        </w:rPr>
      </w:pPr>
    </w:p>
    <w:sectPr w:rsidR="00517FDF" w:rsidRPr="00DB5F1B" w:rsidSect="002900E0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4E6" w:rsidRDefault="007E54E6" w:rsidP="00517FDF">
      <w:r>
        <w:separator/>
      </w:r>
    </w:p>
  </w:endnote>
  <w:endnote w:type="continuationSeparator" w:id="0">
    <w:p w:rsidR="007E54E6" w:rsidRDefault="007E54E6" w:rsidP="0051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4E6" w:rsidRDefault="007E54E6" w:rsidP="00517FDF">
      <w:r>
        <w:separator/>
      </w:r>
    </w:p>
  </w:footnote>
  <w:footnote w:type="continuationSeparator" w:id="0">
    <w:p w:rsidR="007E54E6" w:rsidRDefault="007E54E6" w:rsidP="0051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A1E8D1"/>
    <w:multiLevelType w:val="singleLevel"/>
    <w:tmpl w:val="B9A1E8D1"/>
    <w:lvl w:ilvl="0">
      <w:start w:val="1"/>
      <w:numFmt w:val="decimal"/>
      <w:suff w:val="nothing"/>
      <w:lvlText w:val="（%1）"/>
      <w:lvlJc w:val="left"/>
    </w:lvl>
  </w:abstractNum>
  <w:abstractNum w:abstractNumId="1">
    <w:nsid w:val="1AA43629"/>
    <w:multiLevelType w:val="hybridMultilevel"/>
    <w:tmpl w:val="59AA2B04"/>
    <w:lvl w:ilvl="0" w:tplc="17D6B11E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260DEC"/>
    <w:multiLevelType w:val="hybridMultilevel"/>
    <w:tmpl w:val="3C3C539A"/>
    <w:lvl w:ilvl="0" w:tplc="BD1C920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D35369"/>
    <w:multiLevelType w:val="hybridMultilevel"/>
    <w:tmpl w:val="3EBE513C"/>
    <w:lvl w:ilvl="0" w:tplc="04090001">
      <w:start w:val="1"/>
      <w:numFmt w:val="bullet"/>
      <w:lvlText w:val="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>
    <w:nsid w:val="65F23271"/>
    <w:multiLevelType w:val="hybridMultilevel"/>
    <w:tmpl w:val="C1349E62"/>
    <w:lvl w:ilvl="0" w:tplc="C74E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C354B34"/>
    <w:multiLevelType w:val="singleLevel"/>
    <w:tmpl w:val="6C354B34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B9"/>
    <w:rsid w:val="000104A9"/>
    <w:rsid w:val="00051A8B"/>
    <w:rsid w:val="000712CF"/>
    <w:rsid w:val="000A45FC"/>
    <w:rsid w:val="001262B9"/>
    <w:rsid w:val="00146FB8"/>
    <w:rsid w:val="001808D6"/>
    <w:rsid w:val="001D0A20"/>
    <w:rsid w:val="001E2F4F"/>
    <w:rsid w:val="0021148F"/>
    <w:rsid w:val="002900E0"/>
    <w:rsid w:val="003373C4"/>
    <w:rsid w:val="00372BCF"/>
    <w:rsid w:val="0049764D"/>
    <w:rsid w:val="00517FDF"/>
    <w:rsid w:val="005640C8"/>
    <w:rsid w:val="00680B4B"/>
    <w:rsid w:val="006C43D7"/>
    <w:rsid w:val="006E3020"/>
    <w:rsid w:val="006E6E5D"/>
    <w:rsid w:val="007E54E6"/>
    <w:rsid w:val="00820DD9"/>
    <w:rsid w:val="00822FE5"/>
    <w:rsid w:val="008E0899"/>
    <w:rsid w:val="009316DE"/>
    <w:rsid w:val="00982EAA"/>
    <w:rsid w:val="009D07EC"/>
    <w:rsid w:val="00A65B99"/>
    <w:rsid w:val="00AA4C41"/>
    <w:rsid w:val="00B61A12"/>
    <w:rsid w:val="00B67334"/>
    <w:rsid w:val="00C044DD"/>
    <w:rsid w:val="00CB6719"/>
    <w:rsid w:val="00D5257B"/>
    <w:rsid w:val="00DB17E5"/>
    <w:rsid w:val="00DB5F1B"/>
    <w:rsid w:val="00E22418"/>
    <w:rsid w:val="00EB77F1"/>
    <w:rsid w:val="00EC353A"/>
    <w:rsid w:val="00F2034C"/>
    <w:rsid w:val="00F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0EEB557-6A72-42D5-AEC3-21C3B4F5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D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517FDF"/>
    <w:pPr>
      <w:keepNext/>
      <w:keepLines/>
      <w:spacing w:before="340" w:after="330" w:line="578" w:lineRule="auto"/>
      <w:jc w:val="left"/>
      <w:outlineLvl w:val="0"/>
    </w:pPr>
    <w:rPr>
      <w:rFonts w:eastAsia="仿宋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822FE5"/>
    <w:pPr>
      <w:keepNext/>
      <w:keepLines/>
      <w:spacing w:before="260" w:after="260" w:line="413" w:lineRule="auto"/>
      <w:jc w:val="center"/>
      <w:outlineLvl w:val="1"/>
    </w:pPr>
    <w:rPr>
      <w:rFonts w:ascii="Arial" w:eastAsia="仿宋" w:hAnsi="Arial"/>
      <w:b/>
      <w:sz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A4C41"/>
    <w:pPr>
      <w:keepNext/>
      <w:keepLines/>
      <w:spacing w:before="260" w:after="260" w:line="416" w:lineRule="auto"/>
      <w:jc w:val="center"/>
      <w:outlineLvl w:val="2"/>
    </w:pPr>
    <w:rPr>
      <w:rFonts w:eastAsia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17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17FDF"/>
    <w:rPr>
      <w:sz w:val="18"/>
      <w:szCs w:val="18"/>
    </w:rPr>
  </w:style>
  <w:style w:type="character" w:customStyle="1" w:styleId="2Char">
    <w:name w:val="标题 2 Char"/>
    <w:basedOn w:val="a0"/>
    <w:link w:val="2"/>
    <w:rsid w:val="00822FE5"/>
    <w:rPr>
      <w:rFonts w:ascii="Arial" w:eastAsia="仿宋" w:hAnsi="Arial"/>
      <w:b/>
      <w:sz w:val="32"/>
      <w:szCs w:val="24"/>
    </w:rPr>
  </w:style>
  <w:style w:type="paragraph" w:styleId="a5">
    <w:name w:val="Plain Text"/>
    <w:basedOn w:val="a"/>
    <w:link w:val="Char1"/>
    <w:uiPriority w:val="99"/>
    <w:qFormat/>
    <w:rsid w:val="00517FD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517FDF"/>
    <w:rPr>
      <w:rFonts w:ascii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rsid w:val="00517FDF"/>
    <w:rPr>
      <w:rFonts w:eastAsia="仿宋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65B99"/>
    <w:pPr>
      <w:ind w:firstLineChars="200" w:firstLine="420"/>
    </w:pPr>
  </w:style>
  <w:style w:type="paragraph" w:styleId="a7">
    <w:name w:val="Normal Indent"/>
    <w:aliases w:val="表正文,正文非缩进,特点,段1,body text,鋘drad,????nd,???änd"/>
    <w:basedOn w:val="a"/>
    <w:rsid w:val="000104A9"/>
    <w:pPr>
      <w:widowControl/>
      <w:overflowPunct w:val="0"/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 w:hAnsi="Times New Roman" w:cs="Times New Roman"/>
      <w:kern w:val="0"/>
      <w:sz w:val="24"/>
      <w:szCs w:val="20"/>
    </w:rPr>
  </w:style>
  <w:style w:type="paragraph" w:styleId="a8">
    <w:name w:val="Block Text"/>
    <w:basedOn w:val="a"/>
    <w:rsid w:val="000104A9"/>
    <w:pPr>
      <w:tabs>
        <w:tab w:val="left" w:pos="540"/>
        <w:tab w:val="left" w:pos="2070"/>
      </w:tabs>
      <w:spacing w:line="360" w:lineRule="auto"/>
      <w:ind w:left="900" w:right="-151" w:hanging="450"/>
    </w:pPr>
    <w:rPr>
      <w:rFonts w:ascii="Times New Roman" w:eastAsia="宋体" w:hAnsi="Times New Roman" w:cs="Times New Roman"/>
      <w:sz w:val="24"/>
    </w:rPr>
  </w:style>
  <w:style w:type="character" w:customStyle="1" w:styleId="3Char">
    <w:name w:val="标题 3 Char"/>
    <w:basedOn w:val="a0"/>
    <w:link w:val="3"/>
    <w:uiPriority w:val="9"/>
    <w:rsid w:val="00AA4C41"/>
    <w:rPr>
      <w:rFonts w:eastAsia="仿宋"/>
      <w:b/>
      <w:bCs/>
      <w:sz w:val="32"/>
      <w:szCs w:val="32"/>
    </w:rPr>
  </w:style>
  <w:style w:type="paragraph" w:styleId="a9">
    <w:name w:val="table of authorities"/>
    <w:basedOn w:val="a"/>
    <w:next w:val="a"/>
    <w:uiPriority w:val="99"/>
    <w:semiHidden/>
    <w:unhideWhenUsed/>
    <w:rsid w:val="00AA4C41"/>
    <w:pPr>
      <w:ind w:leftChars="200" w:left="420"/>
    </w:pPr>
    <w:rPr>
      <w:rFonts w:ascii="Times New Roman" w:eastAsia="仿宋" w:hAnsi="Times New Roman" w:cs="Times New Roman"/>
    </w:rPr>
  </w:style>
  <w:style w:type="paragraph" w:styleId="TOC">
    <w:name w:val="TOC Heading"/>
    <w:basedOn w:val="1"/>
    <w:next w:val="a"/>
    <w:uiPriority w:val="39"/>
    <w:unhideWhenUsed/>
    <w:qFormat/>
    <w:rsid w:val="00822FE5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822FE5"/>
    <w:pPr>
      <w:tabs>
        <w:tab w:val="right" w:leader="dot" w:pos="8290"/>
      </w:tabs>
    </w:pPr>
    <w:rPr>
      <w:rFonts w:ascii="仿宋" w:eastAsia="仿宋" w:hAnsi="仿宋"/>
      <w:b/>
      <w:noProof/>
    </w:rPr>
  </w:style>
  <w:style w:type="paragraph" w:styleId="20">
    <w:name w:val="toc 2"/>
    <w:basedOn w:val="a"/>
    <w:next w:val="a"/>
    <w:autoRedefine/>
    <w:uiPriority w:val="39"/>
    <w:unhideWhenUsed/>
    <w:rsid w:val="00822FE5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822FE5"/>
    <w:pPr>
      <w:ind w:leftChars="400" w:left="840"/>
    </w:pPr>
  </w:style>
  <w:style w:type="character" w:styleId="aa">
    <w:name w:val="Hyperlink"/>
    <w:basedOn w:val="a0"/>
    <w:uiPriority w:val="99"/>
    <w:unhideWhenUsed/>
    <w:rsid w:val="00822FE5"/>
    <w:rPr>
      <w:color w:val="0563C1" w:themeColor="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6E3020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E3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3C55A-B16B-453B-B686-9CD6E0E8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cp:lastPrinted>2021-05-21T08:43:00Z</cp:lastPrinted>
  <dcterms:created xsi:type="dcterms:W3CDTF">2021-05-20T00:10:00Z</dcterms:created>
  <dcterms:modified xsi:type="dcterms:W3CDTF">2021-05-28T07:16:00Z</dcterms:modified>
</cp:coreProperties>
</file>