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319" w:beforeLines="100" w:after="319" w:afterLines="100" w:line="360" w:lineRule="auto"/>
        <w:rPr>
          <w:rFonts w:ascii="仿宋_GB2312" w:hAnsi="仿宋_GB2312" w:eastAsia="仿宋_GB2312" w:cs="仿宋_GB2312"/>
        </w:rPr>
      </w:pPr>
      <w:bookmarkStart w:id="0" w:name="_Toc17590"/>
      <w:bookmarkStart w:id="1" w:name="_Toc7298"/>
      <w:r>
        <w:rPr>
          <w:rFonts w:hint="eastAsia" w:ascii="仿宋_GB2312" w:hAnsi="仿宋_GB2312" w:eastAsia="仿宋_GB2312" w:cs="仿宋_GB2312"/>
        </w:rPr>
        <w:t>第三章 货物需求</w:t>
      </w:r>
      <w:bookmarkEnd w:id="0"/>
      <w:bookmarkEnd w:id="1"/>
    </w:p>
    <w:p>
      <w:pPr>
        <w:spacing w:line="360" w:lineRule="auto"/>
        <w:rPr>
          <w:rFonts w:ascii="宋体" w:hAnsi="宋体" w:cs="宋体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  </w:t>
      </w:r>
      <w:r>
        <w:rPr>
          <w:rFonts w:hint="eastAsia" w:ascii="宋体" w:hAnsi="宋体" w:cs="宋体"/>
          <w:b/>
          <w:sz w:val="30"/>
          <w:szCs w:val="30"/>
        </w:rPr>
        <w:t>一、建设要求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项目中所涉及到的所有设备，需符合本次招标采购的技术功能要求。并按甲方要求，负责所有设备全部交付工作，包括但不限于：组织协调安排、运输管理安排、组织实施计划、进行强弱电综合布线工作、设备安装调试工作、信息安全管理保障、技术培训服务、售后服务保障等全部工作，达到交钥匙标准。项目实施过程中产生的所有管材、线材、辅材、配件、人工等均需投标人考虑周全并提供，甲方不再支付额外所需费用。</w:t>
      </w:r>
    </w:p>
    <w:p>
      <w:pPr>
        <w:spacing w:line="360" w:lineRule="auto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二、其他要求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1.交货/交付时间：合同签订后45天内。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2.交货/交付地点：营口市中心医院指定地点。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3.最高限价：70万元。</w:t>
      </w:r>
    </w:p>
    <w:p>
      <w:pPr>
        <w:spacing w:line="360" w:lineRule="auto"/>
        <w:ind w:left="280" w:hanging="280" w:hangingChars="1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4.付款方式：设备安装调试验收合格后付合同价款的95%，剩余5%作为质保金一年后付清。</w:t>
      </w:r>
    </w:p>
    <w:p>
      <w:pPr>
        <w:spacing w:line="360" w:lineRule="auto"/>
        <w:ind w:left="280" w:hanging="280" w:hangingChars="1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5.核心产品：台式电脑主机</w:t>
      </w:r>
    </w:p>
    <w:p>
      <w:pPr>
        <w:spacing w:line="360" w:lineRule="auto"/>
        <w:ind w:left="280" w:hanging="280" w:hangingChars="1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6.强制节能产品：台式电脑主机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7.售后服务要求：所有设备质量保证期不少于（1）年。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8.服务支持：要求接到报修后2小时响应，24小时内到达现场。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9.验收标准：按照财政部及省财政厅关于履约验收相关规定执行。</w:t>
      </w: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三、设备采购清单及技术参数</w:t>
      </w:r>
    </w:p>
    <w:tbl>
      <w:tblPr>
        <w:tblStyle w:val="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536"/>
        <w:gridCol w:w="4862"/>
        <w:gridCol w:w="731"/>
        <w:gridCol w:w="7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2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产品参数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台式电脑主机</w:t>
            </w:r>
          </w:p>
        </w:tc>
        <w:tc>
          <w:tcPr>
            <w:tcW w:w="2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1.CPU≥i5-9400处理器，核心数量≥6核，主频≥2.9GHz；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Style w:val="5"/>
                <w:rFonts w:hint="default"/>
                <w:color w:val="auto"/>
              </w:rPr>
              <w:t>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2.内存≥8G DDR4-2666内存；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3.硬盘≥256G SSD固态硬盘；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4.显卡采用集成显卡；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5.声卡采用集成HD Audio，前置≥2个音频接口；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6.集成10/100/1000M以太网卡；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7.接口≥8个USB接口(前置≥4个USB 3.1 G1，后置≥4个USB 2.0)、≥1组PS/2接口、≥1个串口、≥1个VGA接口（VGA非转接），≥1个HDMI接口；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8.扩展槽≥1个PCI-E*16，≥2个PCI-E*1；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9.原厂防水键盘、抗菌鼠标；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10.出厂预装正版win10 64位中文版原装系统。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4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883" w:firstLineChars="200"/>
        <w:rPr>
          <w:rFonts w:ascii="仿宋_GB2312" w:hAnsi="仿宋_GB2312" w:eastAsia="仿宋_GB2312" w:cs="仿宋_GB2312"/>
          <w:b/>
          <w:kern w:val="44"/>
          <w:sz w:val="44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12AF9"/>
    <w:rsid w:val="4571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/>
      <w:jc w:val="center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2022-02-16T07:32:00Z</dcterms:created>
  <dc:creator>苗辰</dc:creator>
  <cp:lastModifiedBy>苗辰</cp:lastModifiedBy>
  <dcterms:modified xsi:type="dcterms:W3CDTF">2022-02-16T07:32:58Z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