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_GB2312" w:hAnsi="仿宋_GB2312" w:eastAsia="仿宋_GB2312" w:cs="仿宋_GB2312"/>
          <w:b/>
          <w:sz w:val="32"/>
          <w:szCs w:val="32"/>
        </w:rPr>
      </w:pPr>
    </w:p>
    <w:p>
      <w:pPr>
        <w:spacing w:line="480" w:lineRule="exact"/>
        <w:jc w:val="center"/>
        <w:rPr>
          <w:rFonts w:ascii="仿宋_GB2312" w:hAnsi="仿宋_GB2312" w:eastAsia="仿宋_GB2312" w:cs="仿宋_GB2312"/>
          <w:b/>
          <w:sz w:val="32"/>
          <w:szCs w:val="32"/>
        </w:rPr>
      </w:pPr>
    </w:p>
    <w:p>
      <w:pPr>
        <w:spacing w:line="360" w:lineRule="auto"/>
        <w:jc w:val="center"/>
        <w:rPr>
          <w:rFonts w:ascii="仿宋_GB2312" w:hAnsi="仿宋_GB2312" w:eastAsia="仿宋_GB2312" w:cs="仿宋_GB2312"/>
          <w:b/>
          <w:sz w:val="52"/>
          <w:szCs w:val="52"/>
        </w:rPr>
      </w:pPr>
    </w:p>
    <w:p>
      <w:pPr>
        <w:spacing w:line="360" w:lineRule="auto"/>
        <w:jc w:val="center"/>
        <w:rPr>
          <w:rFonts w:ascii="仿宋_GB2312" w:hAnsi="仿宋_GB2312" w:eastAsia="仿宋_GB2312" w:cs="仿宋_GB2312"/>
          <w:b/>
          <w:sz w:val="52"/>
          <w:szCs w:val="52"/>
        </w:rPr>
      </w:pPr>
    </w:p>
    <w:p>
      <w:pPr>
        <w:spacing w:line="360" w:lineRule="auto"/>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辽宁省政府采购项目</w:t>
      </w:r>
    </w:p>
    <w:p>
      <w:pPr>
        <w:spacing w:line="360" w:lineRule="auto"/>
        <w:jc w:val="center"/>
        <w:rPr>
          <w:rFonts w:hint="eastAsia" w:ascii="仿宋_GB2312" w:hAnsi="仿宋_GB2312" w:eastAsia="仿宋_GB2312" w:cs="仿宋_GB2312"/>
          <w:b/>
          <w:sz w:val="24"/>
          <w:szCs w:val="24"/>
        </w:rPr>
      </w:pPr>
    </w:p>
    <w:p>
      <w:pPr>
        <w:spacing w:line="360" w:lineRule="auto"/>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服务类竞争性磋商</w:t>
      </w:r>
    </w:p>
    <w:p>
      <w:pPr>
        <w:spacing w:line="360" w:lineRule="auto"/>
        <w:jc w:val="center"/>
        <w:rPr>
          <w:rFonts w:ascii="仿宋_GB2312" w:hAnsi="仿宋_GB2312" w:eastAsia="仿宋_GB2312" w:cs="仿宋_GB2312"/>
          <w:b/>
          <w:sz w:val="24"/>
        </w:rPr>
      </w:pPr>
    </w:p>
    <w:p>
      <w:pPr>
        <w:spacing w:line="360" w:lineRule="auto"/>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lang w:val="en-US" w:eastAsia="zh-CN"/>
        </w:rPr>
        <w:t>采购</w:t>
      </w:r>
      <w:r>
        <w:rPr>
          <w:rFonts w:hint="eastAsia" w:ascii="仿宋_GB2312" w:hAnsi="仿宋_GB2312" w:eastAsia="仿宋_GB2312" w:cs="仿宋_GB2312"/>
          <w:b/>
          <w:sz w:val="48"/>
          <w:szCs w:val="48"/>
        </w:rPr>
        <w:t>文件</w:t>
      </w: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36"/>
          <w:szCs w:val="36"/>
        </w:rPr>
      </w:pPr>
    </w:p>
    <w:p>
      <w:pPr>
        <w:spacing w:line="360" w:lineRule="auto"/>
        <w:ind w:firstLine="723" w:firstLineChars="20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项目名称：营口市城乡建设与公用事业中心</w:t>
      </w:r>
    </w:p>
    <w:p>
      <w:pPr>
        <w:spacing w:line="360" w:lineRule="auto"/>
        <w:ind w:firstLine="2530" w:firstLineChars="700"/>
        <w:rPr>
          <w:rFonts w:hint="eastAsia" w:ascii="仿宋_GB2312" w:hAnsi="仿宋_GB2312" w:eastAsia="仿宋_GB2312" w:cs="仿宋_GB2312"/>
          <w:b/>
          <w:sz w:val="36"/>
          <w:szCs w:val="36"/>
          <w:lang w:val="en-US" w:eastAsia="zh-CN"/>
        </w:rPr>
      </w:pPr>
      <w:r>
        <w:rPr>
          <w:rFonts w:hint="eastAsia" w:ascii="仿宋_GB2312" w:hAnsi="仿宋_GB2312" w:eastAsia="仿宋_GB2312" w:cs="仿宋_GB2312"/>
          <w:b/>
          <w:sz w:val="36"/>
          <w:szCs w:val="36"/>
        </w:rPr>
        <w:t>物业管理</w:t>
      </w:r>
      <w:r>
        <w:rPr>
          <w:rFonts w:hint="eastAsia" w:ascii="仿宋_GB2312" w:hAnsi="仿宋_GB2312" w:eastAsia="仿宋_GB2312" w:cs="仿宋_GB2312"/>
          <w:b/>
          <w:sz w:val="36"/>
          <w:szCs w:val="36"/>
          <w:lang w:eastAsia="zh-CN"/>
        </w:rPr>
        <w:t>服务项目</w:t>
      </w:r>
    </w:p>
    <w:p>
      <w:pPr>
        <w:spacing w:line="360" w:lineRule="auto"/>
        <w:ind w:firstLine="723" w:firstLineChars="200"/>
        <w:rPr>
          <w:rFonts w:hint="default" w:ascii="仿宋_GB2312" w:hAnsi="仿宋_GB2312" w:eastAsia="仿宋_GB2312" w:cs="仿宋_GB2312"/>
          <w:b/>
          <w:color w:val="FFFF00"/>
          <w:sz w:val="36"/>
          <w:szCs w:val="36"/>
          <w:lang w:val="en-US" w:eastAsia="zh-CN"/>
        </w:rPr>
      </w:pPr>
      <w:r>
        <w:rPr>
          <w:rFonts w:hint="eastAsia" w:ascii="仿宋_GB2312" w:hAnsi="仿宋_GB2312" w:eastAsia="仿宋_GB2312" w:cs="仿宋_GB2312"/>
          <w:b/>
          <w:sz w:val="36"/>
          <w:szCs w:val="36"/>
        </w:rPr>
        <w:t>项目编号：</w:t>
      </w:r>
      <w:r>
        <w:rPr>
          <w:rFonts w:hint="eastAsia" w:ascii="仿宋_GB2312" w:hAnsi="仿宋_GB2312" w:eastAsia="仿宋_GB2312" w:cs="仿宋_GB2312"/>
          <w:b/>
          <w:sz w:val="36"/>
          <w:szCs w:val="36"/>
          <w:lang w:val="en-US" w:eastAsia="zh-CN"/>
        </w:rPr>
        <w:t>JH22-210800-01618(</w:t>
      </w:r>
      <w:r>
        <w:rPr>
          <w:rFonts w:hint="eastAsia" w:ascii="仿宋_GB2312" w:hAnsi="仿宋_GB2312" w:eastAsia="仿宋_GB2312" w:cs="仿宋_GB2312"/>
          <w:b/>
          <w:sz w:val="36"/>
          <w:szCs w:val="36"/>
        </w:rPr>
        <w:t>YKSGZC</w:t>
      </w:r>
      <w:r>
        <w:rPr>
          <w:rFonts w:hint="eastAsia" w:ascii="仿宋_GB2312" w:hAnsi="仿宋_GB2312" w:eastAsia="仿宋_GB2312" w:cs="仿宋_GB2312"/>
          <w:b/>
          <w:sz w:val="36"/>
          <w:szCs w:val="36"/>
          <w:lang w:val="en-US" w:eastAsia="zh-CN"/>
        </w:rPr>
        <w:t>2022026)</w:t>
      </w:r>
    </w:p>
    <w:p>
      <w:pPr>
        <w:spacing w:line="360" w:lineRule="auto"/>
        <w:ind w:firstLine="723" w:firstLineChars="200"/>
        <w:jc w:val="both"/>
        <w:rPr>
          <w:rFonts w:hint="eastAsia" w:ascii="仿宋_GB2312" w:hAnsi="仿宋_GB2312" w:eastAsia="仿宋_GB2312" w:cs="仿宋_GB2312"/>
          <w:b/>
          <w:sz w:val="36"/>
          <w:szCs w:val="36"/>
          <w:lang w:val="en-US" w:eastAsia="zh-CN"/>
        </w:rPr>
      </w:pPr>
      <w:r>
        <w:rPr>
          <w:rFonts w:hint="eastAsia" w:ascii="仿宋_GB2312" w:hAnsi="仿宋_GB2312" w:eastAsia="仿宋_GB2312" w:cs="仿宋_GB2312"/>
          <w:b/>
          <w:sz w:val="36"/>
          <w:szCs w:val="36"/>
        </w:rPr>
        <w:t>编制单位：营口市</w:t>
      </w:r>
      <w:r>
        <w:rPr>
          <w:rFonts w:hint="eastAsia" w:ascii="仿宋_GB2312" w:hAnsi="仿宋_GB2312" w:eastAsia="仿宋_GB2312" w:cs="仿宋_GB2312"/>
          <w:b/>
          <w:sz w:val="36"/>
          <w:szCs w:val="36"/>
          <w:lang w:eastAsia="zh-CN"/>
        </w:rPr>
        <w:t>营商环境建设中心</w:t>
      </w:r>
    </w:p>
    <w:p>
      <w:pPr>
        <w:spacing w:line="360" w:lineRule="auto"/>
        <w:ind w:firstLine="2168" w:firstLineChars="600"/>
        <w:jc w:val="both"/>
        <w:rPr>
          <w:rFonts w:hint="eastAsia" w:ascii="仿宋_GB2312" w:hAnsi="仿宋_GB2312" w:eastAsia="仿宋_GB2312" w:cs="仿宋_GB2312"/>
          <w:b/>
          <w:bCs/>
          <w:sz w:val="36"/>
          <w:szCs w:val="44"/>
          <w:lang w:eastAsia="zh-CN"/>
        </w:rPr>
        <w:sectPr>
          <w:pgSz w:w="11906" w:h="16838"/>
          <w:pgMar w:top="1440" w:right="1803" w:bottom="1440" w:left="1803" w:header="851" w:footer="992" w:gutter="0"/>
          <w:cols w:space="720" w:num="1"/>
          <w:docGrid w:type="lines" w:linePitch="312" w:charSpace="0"/>
        </w:sectPr>
      </w:pPr>
      <w:r>
        <w:rPr>
          <w:rFonts w:hint="eastAsia" w:ascii="仿宋_GB2312" w:hAnsi="仿宋_GB2312" w:eastAsia="仿宋_GB2312" w:cs="仿宋_GB2312"/>
          <w:b/>
          <w:bCs/>
          <w:sz w:val="36"/>
          <w:szCs w:val="44"/>
          <w:lang w:eastAsia="zh-CN"/>
        </w:rPr>
        <w:t>（营口市公共资源交易中心）</w:t>
      </w:r>
    </w:p>
    <w:p>
      <w:pPr>
        <w:spacing w:line="480" w:lineRule="auto"/>
        <w:jc w:val="center"/>
      </w:pPr>
    </w:p>
    <w:p>
      <w:pPr>
        <w:spacing w:line="480" w:lineRule="auto"/>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目</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44"/>
          <w:szCs w:val="44"/>
        </w:rPr>
        <w:t>录</w:t>
      </w:r>
    </w:p>
    <w:p>
      <w:pPr>
        <w:spacing w:line="360" w:lineRule="auto"/>
        <w:jc w:val="center"/>
        <w:rPr>
          <w:rFonts w:hint="eastAsia" w:ascii="仿宋_GB2312" w:hAnsi="仿宋_GB2312" w:eastAsia="仿宋_GB2312" w:cs="仿宋_GB2312"/>
          <w:b/>
          <w:bCs/>
          <w:sz w:val="36"/>
          <w:szCs w:val="44"/>
          <w:lang w:val="zh-CN" w:eastAsia="zh-CN"/>
        </w:rPr>
      </w:pPr>
    </w:p>
    <w:p>
      <w:pPr>
        <w:pStyle w:val="12"/>
        <w:tabs>
          <w:tab w:val="right" w:leader="dot" w:pos="8300"/>
        </w:tabs>
        <w:spacing w:line="480" w:lineRule="auto"/>
        <w:rPr>
          <w:rFonts w:hint="eastAsia" w:ascii="仿宋_GB2312" w:hAnsi="仿宋_GB2312" w:eastAsia="仿宋_GB2312" w:cs="仿宋_GB2312"/>
          <w:b/>
          <w:bCs/>
          <w:sz w:val="24"/>
          <w:lang/>
        </w:rPr>
      </w:pPr>
      <w:r>
        <w:rPr>
          <w:rFonts w:hint="eastAsia" w:ascii="仿宋_GB2312" w:hAnsi="仿宋_GB2312" w:eastAsia="仿宋_GB2312" w:cs="仿宋_GB2312"/>
          <w:b/>
          <w:bCs/>
          <w:sz w:val="24"/>
        </w:rPr>
        <w:fldChar w:fldCharType="begin"/>
      </w:r>
      <w:r>
        <w:rPr>
          <w:rFonts w:hint="eastAsia" w:ascii="仿宋_GB2312" w:hAnsi="仿宋_GB2312" w:eastAsia="仿宋_GB2312" w:cs="仿宋_GB2312"/>
          <w:b/>
          <w:bCs/>
          <w:sz w:val="24"/>
        </w:rPr>
        <w:instrText xml:space="preserve">TOC \o "1-1" \h \u </w:instrText>
      </w:r>
      <w:r>
        <w:rPr>
          <w:rFonts w:hint="eastAsia" w:ascii="仿宋_GB2312" w:hAnsi="仿宋_GB2312" w:eastAsia="仿宋_GB2312" w:cs="仿宋_GB2312"/>
          <w:b/>
          <w:bCs/>
          <w:sz w:val="24"/>
        </w:rPr>
        <w:fldChar w:fldCharType="separate"/>
      </w:r>
      <w:r>
        <w:rPr>
          <w:rFonts w:hint="eastAsia" w:ascii="仿宋_GB2312" w:hAnsi="仿宋_GB2312" w:eastAsia="仿宋_GB2312" w:cs="仿宋_GB2312"/>
          <w:b/>
          <w:bCs/>
          <w:sz w:val="24"/>
          <w:lang/>
        </w:rPr>
        <w:fldChar w:fldCharType="begin"/>
      </w:r>
      <w:r>
        <w:rPr>
          <w:rFonts w:hint="eastAsia" w:ascii="仿宋_GB2312" w:hAnsi="仿宋_GB2312" w:eastAsia="仿宋_GB2312" w:cs="仿宋_GB2312"/>
          <w:b/>
          <w:bCs/>
          <w:sz w:val="24"/>
          <w:lang/>
        </w:rPr>
        <w:instrText xml:space="preserve"> HYPERLINK \l _Toc13820 </w:instrText>
      </w:r>
      <w:r>
        <w:rPr>
          <w:rFonts w:hint="eastAsia" w:ascii="仿宋_GB2312" w:hAnsi="仿宋_GB2312" w:eastAsia="仿宋_GB2312" w:cs="仿宋_GB2312"/>
          <w:b/>
          <w:bCs/>
          <w:sz w:val="24"/>
          <w:lang/>
        </w:rPr>
        <w:fldChar w:fldCharType="separate"/>
      </w:r>
      <w:r>
        <w:rPr>
          <w:rFonts w:hint="eastAsia" w:ascii="仿宋_GB2312" w:hAnsi="仿宋_GB2312" w:eastAsia="仿宋_GB2312" w:cs="仿宋_GB2312"/>
          <w:b/>
          <w:bCs/>
          <w:sz w:val="24"/>
          <w:lang w:val="en-US" w:eastAsia="zh-CN"/>
        </w:rPr>
        <w:t>竞争性磋商</w:t>
      </w:r>
      <w:r>
        <w:rPr>
          <w:rFonts w:hint="eastAsia" w:ascii="仿宋_GB2312" w:hAnsi="仿宋_GB2312" w:eastAsia="仿宋_GB2312" w:cs="仿宋_GB2312"/>
          <w:b/>
          <w:bCs/>
          <w:sz w:val="24"/>
          <w:lang/>
        </w:rPr>
        <w:t>公告</w:t>
      </w:r>
      <w:r>
        <w:rPr>
          <w:rFonts w:hint="eastAsia" w:ascii="仿宋_GB2312" w:hAnsi="仿宋_GB2312" w:eastAsia="仿宋_GB2312" w:cs="仿宋_GB2312"/>
          <w:b/>
          <w:bCs/>
          <w:sz w:val="24"/>
          <w:lang/>
        </w:rPr>
        <w:tab/>
      </w:r>
      <w:r>
        <w:rPr>
          <w:rFonts w:hint="eastAsia" w:ascii="仿宋_GB2312" w:hAnsi="仿宋_GB2312" w:eastAsia="仿宋_GB2312" w:cs="仿宋_GB2312"/>
          <w:b/>
          <w:bCs/>
          <w:sz w:val="24"/>
          <w:lang w:val="en-US" w:eastAsia="zh-CN"/>
        </w:rPr>
        <w:t>3</w:t>
      </w:r>
      <w:r>
        <w:rPr>
          <w:rFonts w:hint="eastAsia" w:ascii="仿宋_GB2312" w:hAnsi="仿宋_GB2312" w:eastAsia="仿宋_GB2312" w:cs="仿宋_GB2312"/>
          <w:b/>
          <w:bCs/>
          <w:sz w:val="24"/>
          <w:lang/>
        </w:rPr>
        <w:fldChar w:fldCharType="end"/>
      </w:r>
    </w:p>
    <w:p>
      <w:pPr>
        <w:pStyle w:val="12"/>
        <w:tabs>
          <w:tab w:val="right" w:leader="dot" w:pos="8300"/>
        </w:tabs>
        <w:spacing w:line="480" w:lineRule="auto"/>
        <w:rPr>
          <w:rFonts w:hint="eastAsia" w:ascii="仿宋_GB2312" w:hAnsi="仿宋_GB2312" w:eastAsia="仿宋_GB2312" w:cs="仿宋_GB2312"/>
          <w:b/>
          <w:bCs/>
          <w:sz w:val="24"/>
          <w:lang/>
        </w:rPr>
      </w:pPr>
      <w:r>
        <w:rPr>
          <w:rFonts w:hint="eastAsia" w:ascii="仿宋_GB2312" w:hAnsi="仿宋_GB2312" w:eastAsia="仿宋_GB2312" w:cs="仿宋_GB2312"/>
          <w:b/>
          <w:bCs/>
          <w:sz w:val="24"/>
          <w:lang/>
        </w:rPr>
        <w:fldChar w:fldCharType="begin"/>
      </w:r>
      <w:r>
        <w:rPr>
          <w:rFonts w:hint="eastAsia" w:ascii="仿宋_GB2312" w:hAnsi="仿宋_GB2312" w:eastAsia="仿宋_GB2312" w:cs="仿宋_GB2312"/>
          <w:b/>
          <w:bCs/>
          <w:sz w:val="24"/>
          <w:lang/>
        </w:rPr>
        <w:instrText xml:space="preserve"> HYPERLINK \l _Toc9645 </w:instrText>
      </w:r>
      <w:r>
        <w:rPr>
          <w:rFonts w:hint="eastAsia" w:ascii="仿宋_GB2312" w:hAnsi="仿宋_GB2312" w:eastAsia="仿宋_GB2312" w:cs="仿宋_GB2312"/>
          <w:b/>
          <w:bCs/>
          <w:sz w:val="24"/>
          <w:lang/>
        </w:rPr>
        <w:fldChar w:fldCharType="separate"/>
      </w:r>
      <w:r>
        <w:rPr>
          <w:rFonts w:hint="eastAsia" w:ascii="仿宋_GB2312" w:hAnsi="仿宋_GB2312" w:eastAsia="仿宋_GB2312" w:cs="仿宋_GB2312"/>
          <w:b/>
          <w:bCs/>
          <w:sz w:val="24"/>
          <w:lang/>
        </w:rPr>
        <w:t>第一章 供应商须知</w:t>
      </w:r>
      <w:r>
        <w:rPr>
          <w:rFonts w:hint="eastAsia" w:ascii="仿宋_GB2312" w:hAnsi="仿宋_GB2312" w:eastAsia="仿宋_GB2312" w:cs="仿宋_GB2312"/>
          <w:b/>
          <w:bCs/>
          <w:sz w:val="24"/>
          <w:lang/>
        </w:rPr>
        <w:tab/>
      </w:r>
      <w:r>
        <w:rPr>
          <w:rFonts w:hint="eastAsia" w:ascii="仿宋_GB2312" w:hAnsi="仿宋_GB2312" w:eastAsia="仿宋_GB2312" w:cs="仿宋_GB2312"/>
          <w:b/>
          <w:bCs/>
          <w:sz w:val="24"/>
          <w:lang w:val="en-US" w:eastAsia="zh-CN"/>
        </w:rPr>
        <w:t>6</w:t>
      </w:r>
      <w:r>
        <w:rPr>
          <w:rFonts w:hint="eastAsia" w:ascii="仿宋_GB2312" w:hAnsi="仿宋_GB2312" w:eastAsia="仿宋_GB2312" w:cs="仿宋_GB2312"/>
          <w:b/>
          <w:bCs/>
          <w:sz w:val="24"/>
          <w:lang/>
        </w:rPr>
        <w:fldChar w:fldCharType="end"/>
      </w:r>
    </w:p>
    <w:p>
      <w:pPr>
        <w:pStyle w:val="12"/>
        <w:tabs>
          <w:tab w:val="right" w:leader="dot" w:pos="8300"/>
        </w:tabs>
        <w:spacing w:line="480" w:lineRule="auto"/>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lang/>
        </w:rPr>
        <w:fldChar w:fldCharType="begin"/>
      </w:r>
      <w:r>
        <w:rPr>
          <w:rFonts w:hint="eastAsia" w:ascii="仿宋_GB2312" w:hAnsi="仿宋_GB2312" w:eastAsia="仿宋_GB2312" w:cs="仿宋_GB2312"/>
          <w:b/>
          <w:bCs/>
          <w:sz w:val="24"/>
          <w:lang/>
        </w:rPr>
        <w:instrText xml:space="preserve"> HYPERLINK \l _Toc10174 </w:instrText>
      </w:r>
      <w:r>
        <w:rPr>
          <w:rFonts w:hint="eastAsia" w:ascii="仿宋_GB2312" w:hAnsi="仿宋_GB2312" w:eastAsia="仿宋_GB2312" w:cs="仿宋_GB2312"/>
          <w:b/>
          <w:bCs/>
          <w:sz w:val="24"/>
          <w:lang/>
        </w:rPr>
        <w:fldChar w:fldCharType="separate"/>
      </w:r>
      <w:r>
        <w:rPr>
          <w:rFonts w:hint="eastAsia" w:ascii="仿宋_GB2312" w:hAnsi="仿宋_GB2312" w:eastAsia="仿宋_GB2312" w:cs="仿宋_GB2312"/>
          <w:b/>
          <w:bCs/>
          <w:sz w:val="24"/>
          <w:lang/>
        </w:rPr>
        <w:t>第二章 响应文件内容及格式</w:t>
      </w:r>
      <w:r>
        <w:rPr>
          <w:rFonts w:hint="eastAsia" w:ascii="仿宋_GB2312" w:hAnsi="仿宋_GB2312" w:eastAsia="仿宋_GB2312" w:cs="仿宋_GB2312"/>
          <w:b/>
          <w:bCs/>
          <w:sz w:val="24"/>
          <w:lang/>
        </w:rPr>
        <w:tab/>
      </w:r>
      <w:r>
        <w:rPr>
          <w:rFonts w:hint="eastAsia" w:ascii="仿宋_GB2312" w:hAnsi="仿宋_GB2312" w:eastAsia="仿宋_GB2312" w:cs="仿宋_GB2312"/>
          <w:b/>
          <w:bCs/>
          <w:sz w:val="24"/>
          <w:lang w:val="en-US" w:eastAsia="zh-CN"/>
        </w:rPr>
        <w:t>2</w:t>
      </w:r>
      <w:r>
        <w:rPr>
          <w:rFonts w:hint="eastAsia" w:ascii="仿宋_GB2312" w:hAnsi="仿宋_GB2312" w:eastAsia="仿宋_GB2312" w:cs="仿宋_GB2312"/>
          <w:b/>
          <w:bCs/>
          <w:sz w:val="24"/>
          <w:lang/>
        </w:rPr>
        <w:fldChar w:fldCharType="end"/>
      </w:r>
      <w:r>
        <w:rPr>
          <w:rFonts w:hint="eastAsia" w:ascii="仿宋_GB2312" w:hAnsi="仿宋_GB2312" w:eastAsia="仿宋_GB2312" w:cs="仿宋_GB2312"/>
          <w:b/>
          <w:bCs/>
          <w:sz w:val="24"/>
          <w:lang w:val="en-US" w:eastAsia="zh-CN"/>
        </w:rPr>
        <w:t>2</w:t>
      </w:r>
    </w:p>
    <w:p>
      <w:pPr>
        <w:pStyle w:val="12"/>
        <w:tabs>
          <w:tab w:val="right" w:leader="dot" w:pos="8300"/>
        </w:tabs>
        <w:spacing w:line="480" w:lineRule="auto"/>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lang/>
        </w:rPr>
        <w:fldChar w:fldCharType="begin"/>
      </w:r>
      <w:r>
        <w:rPr>
          <w:rFonts w:hint="eastAsia" w:ascii="仿宋_GB2312" w:hAnsi="仿宋_GB2312" w:eastAsia="仿宋_GB2312" w:cs="仿宋_GB2312"/>
          <w:b/>
          <w:bCs/>
          <w:sz w:val="24"/>
          <w:lang/>
        </w:rPr>
        <w:instrText xml:space="preserve"> HYPERLINK \l _Toc21962 </w:instrText>
      </w:r>
      <w:r>
        <w:rPr>
          <w:rFonts w:hint="eastAsia" w:ascii="仿宋_GB2312" w:hAnsi="仿宋_GB2312" w:eastAsia="仿宋_GB2312" w:cs="仿宋_GB2312"/>
          <w:b/>
          <w:bCs/>
          <w:sz w:val="24"/>
          <w:lang/>
        </w:rPr>
        <w:fldChar w:fldCharType="separate"/>
      </w:r>
      <w:r>
        <w:rPr>
          <w:rFonts w:hint="eastAsia" w:ascii="仿宋_GB2312" w:hAnsi="仿宋_GB2312" w:eastAsia="仿宋_GB2312" w:cs="仿宋_GB2312"/>
          <w:b/>
          <w:bCs/>
          <w:sz w:val="24"/>
          <w:lang/>
        </w:rPr>
        <w:t>第三章  服务需求</w:t>
      </w:r>
      <w:r>
        <w:rPr>
          <w:rFonts w:hint="eastAsia" w:ascii="仿宋_GB2312" w:hAnsi="仿宋_GB2312" w:eastAsia="仿宋_GB2312" w:cs="仿宋_GB2312"/>
          <w:b/>
          <w:bCs/>
          <w:sz w:val="24"/>
          <w:lang/>
        </w:rPr>
        <w:tab/>
      </w:r>
      <w:r>
        <w:rPr>
          <w:rFonts w:hint="eastAsia" w:ascii="仿宋_GB2312" w:hAnsi="仿宋_GB2312" w:eastAsia="仿宋_GB2312" w:cs="仿宋_GB2312"/>
          <w:b/>
          <w:bCs/>
          <w:sz w:val="24"/>
          <w:lang w:val="en-US" w:eastAsia="zh-CN"/>
        </w:rPr>
        <w:t>6</w:t>
      </w:r>
      <w:r>
        <w:rPr>
          <w:rFonts w:hint="eastAsia" w:ascii="仿宋_GB2312" w:hAnsi="仿宋_GB2312" w:eastAsia="仿宋_GB2312" w:cs="仿宋_GB2312"/>
          <w:b/>
          <w:bCs/>
          <w:sz w:val="24"/>
          <w:lang/>
        </w:rPr>
        <w:fldChar w:fldCharType="end"/>
      </w:r>
      <w:r>
        <w:rPr>
          <w:rFonts w:hint="eastAsia" w:ascii="仿宋_GB2312" w:hAnsi="仿宋_GB2312" w:eastAsia="仿宋_GB2312" w:cs="仿宋_GB2312"/>
          <w:b/>
          <w:bCs/>
          <w:sz w:val="24"/>
          <w:lang w:val="en-US" w:eastAsia="zh-CN"/>
        </w:rPr>
        <w:t>6</w:t>
      </w:r>
    </w:p>
    <w:p>
      <w:pPr>
        <w:pStyle w:val="12"/>
        <w:tabs>
          <w:tab w:val="right" w:leader="dot" w:pos="8300"/>
        </w:tabs>
        <w:spacing w:line="480" w:lineRule="auto"/>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lang/>
        </w:rPr>
        <w:fldChar w:fldCharType="begin"/>
      </w:r>
      <w:r>
        <w:rPr>
          <w:rFonts w:hint="eastAsia" w:ascii="仿宋_GB2312" w:hAnsi="仿宋_GB2312" w:eastAsia="仿宋_GB2312" w:cs="仿宋_GB2312"/>
          <w:b/>
          <w:bCs/>
          <w:sz w:val="24"/>
          <w:lang/>
        </w:rPr>
        <w:instrText xml:space="preserve"> HYPERLINK \l _Toc30686 </w:instrText>
      </w:r>
      <w:r>
        <w:rPr>
          <w:rFonts w:hint="eastAsia" w:ascii="仿宋_GB2312" w:hAnsi="仿宋_GB2312" w:eastAsia="仿宋_GB2312" w:cs="仿宋_GB2312"/>
          <w:b/>
          <w:bCs/>
          <w:sz w:val="24"/>
          <w:lang/>
        </w:rPr>
        <w:fldChar w:fldCharType="separate"/>
      </w:r>
      <w:r>
        <w:rPr>
          <w:rFonts w:hint="eastAsia" w:ascii="仿宋_GB2312" w:hAnsi="仿宋_GB2312" w:eastAsia="仿宋_GB2312" w:cs="仿宋_GB2312"/>
          <w:b/>
          <w:bCs/>
          <w:sz w:val="24"/>
          <w:lang/>
        </w:rPr>
        <w:t>第四章 磋商内容、磋商过程中可能实质性变动的内容</w:t>
      </w:r>
      <w:r>
        <w:rPr>
          <w:rFonts w:hint="eastAsia" w:ascii="仿宋_GB2312" w:hAnsi="仿宋_GB2312" w:eastAsia="仿宋_GB2312" w:cs="仿宋_GB2312"/>
          <w:b/>
          <w:bCs/>
          <w:sz w:val="24"/>
          <w:lang/>
        </w:rPr>
        <w:tab/>
      </w:r>
      <w:r>
        <w:rPr>
          <w:rFonts w:hint="eastAsia" w:ascii="仿宋_GB2312" w:hAnsi="仿宋_GB2312" w:eastAsia="仿宋_GB2312" w:cs="仿宋_GB2312"/>
          <w:b/>
          <w:bCs/>
          <w:sz w:val="24"/>
          <w:lang w:val="en-US" w:eastAsia="zh-CN"/>
        </w:rPr>
        <w:t>8</w:t>
      </w:r>
      <w:r>
        <w:rPr>
          <w:rFonts w:hint="eastAsia" w:ascii="仿宋_GB2312" w:hAnsi="仿宋_GB2312" w:eastAsia="仿宋_GB2312" w:cs="仿宋_GB2312"/>
          <w:b/>
          <w:bCs/>
          <w:sz w:val="24"/>
          <w:lang/>
        </w:rPr>
        <w:fldChar w:fldCharType="end"/>
      </w:r>
      <w:r>
        <w:rPr>
          <w:rFonts w:hint="eastAsia" w:ascii="仿宋_GB2312" w:hAnsi="仿宋_GB2312" w:eastAsia="仿宋_GB2312" w:cs="仿宋_GB2312"/>
          <w:b/>
          <w:bCs/>
          <w:sz w:val="24"/>
          <w:lang w:val="en-US" w:eastAsia="zh-CN"/>
        </w:rPr>
        <w:t>2</w:t>
      </w:r>
    </w:p>
    <w:p>
      <w:pPr>
        <w:pStyle w:val="12"/>
        <w:tabs>
          <w:tab w:val="right" w:leader="dot" w:pos="8300"/>
        </w:tabs>
        <w:spacing w:line="480" w:lineRule="auto"/>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lang/>
        </w:rPr>
        <w:fldChar w:fldCharType="begin"/>
      </w:r>
      <w:r>
        <w:rPr>
          <w:rFonts w:hint="eastAsia" w:ascii="仿宋_GB2312" w:hAnsi="仿宋_GB2312" w:eastAsia="仿宋_GB2312" w:cs="仿宋_GB2312"/>
          <w:b/>
          <w:bCs/>
          <w:sz w:val="24"/>
          <w:lang/>
        </w:rPr>
        <w:instrText xml:space="preserve"> HYPERLINK \l _Toc29226 </w:instrText>
      </w:r>
      <w:r>
        <w:rPr>
          <w:rFonts w:hint="eastAsia" w:ascii="仿宋_GB2312" w:hAnsi="仿宋_GB2312" w:eastAsia="仿宋_GB2312" w:cs="仿宋_GB2312"/>
          <w:b/>
          <w:bCs/>
          <w:sz w:val="24"/>
          <w:lang/>
        </w:rPr>
        <w:fldChar w:fldCharType="separate"/>
      </w:r>
      <w:r>
        <w:rPr>
          <w:rFonts w:hint="eastAsia" w:ascii="仿宋_GB2312" w:hAnsi="仿宋_GB2312" w:eastAsia="仿宋_GB2312" w:cs="仿宋_GB2312"/>
          <w:b/>
          <w:bCs/>
          <w:sz w:val="24"/>
          <w:lang/>
        </w:rPr>
        <w:t>第五章 评审办法</w:t>
      </w:r>
      <w:r>
        <w:rPr>
          <w:rFonts w:hint="eastAsia" w:ascii="仿宋_GB2312" w:hAnsi="仿宋_GB2312" w:eastAsia="仿宋_GB2312" w:cs="仿宋_GB2312"/>
          <w:b/>
          <w:bCs/>
          <w:sz w:val="24"/>
          <w:lang/>
        </w:rPr>
        <w:tab/>
      </w:r>
      <w:r>
        <w:rPr>
          <w:rFonts w:hint="eastAsia" w:ascii="仿宋_GB2312" w:hAnsi="仿宋_GB2312" w:eastAsia="仿宋_GB2312" w:cs="仿宋_GB2312"/>
          <w:b/>
          <w:bCs/>
          <w:sz w:val="24"/>
          <w:lang w:val="en-US" w:eastAsia="zh-CN"/>
        </w:rPr>
        <w:t>8</w:t>
      </w:r>
      <w:r>
        <w:rPr>
          <w:rFonts w:hint="eastAsia" w:ascii="仿宋_GB2312" w:hAnsi="仿宋_GB2312" w:eastAsia="仿宋_GB2312" w:cs="仿宋_GB2312"/>
          <w:b/>
          <w:bCs/>
          <w:sz w:val="24"/>
          <w:lang/>
        </w:rPr>
        <w:fldChar w:fldCharType="end"/>
      </w:r>
      <w:r>
        <w:rPr>
          <w:rFonts w:hint="eastAsia" w:ascii="仿宋_GB2312" w:hAnsi="仿宋_GB2312" w:eastAsia="仿宋_GB2312" w:cs="仿宋_GB2312"/>
          <w:b/>
          <w:bCs/>
          <w:sz w:val="24"/>
          <w:lang w:val="en-US" w:eastAsia="zh-CN"/>
        </w:rPr>
        <w:t>3</w:t>
      </w:r>
    </w:p>
    <w:p>
      <w:pPr>
        <w:pStyle w:val="12"/>
        <w:tabs>
          <w:tab w:val="right" w:leader="dot" w:pos="8300"/>
        </w:tabs>
        <w:spacing w:line="480" w:lineRule="auto"/>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sz w:val="24"/>
          <w:lang/>
        </w:rPr>
        <w:fldChar w:fldCharType="begin"/>
      </w:r>
      <w:r>
        <w:rPr>
          <w:rFonts w:hint="eastAsia" w:ascii="仿宋_GB2312" w:hAnsi="仿宋_GB2312" w:eastAsia="仿宋_GB2312" w:cs="仿宋_GB2312"/>
          <w:b/>
          <w:bCs/>
          <w:sz w:val="24"/>
          <w:lang/>
        </w:rPr>
        <w:instrText xml:space="preserve"> HYPERLINK \l _Toc29210 </w:instrText>
      </w:r>
      <w:r>
        <w:rPr>
          <w:rFonts w:hint="eastAsia" w:ascii="仿宋_GB2312" w:hAnsi="仿宋_GB2312" w:eastAsia="仿宋_GB2312" w:cs="仿宋_GB2312"/>
          <w:b/>
          <w:bCs/>
          <w:sz w:val="24"/>
          <w:lang/>
        </w:rPr>
        <w:fldChar w:fldCharType="separate"/>
      </w:r>
      <w:r>
        <w:rPr>
          <w:rFonts w:hint="eastAsia" w:ascii="仿宋_GB2312" w:hAnsi="仿宋_GB2312" w:eastAsia="仿宋_GB2312" w:cs="仿宋_GB2312"/>
          <w:b/>
          <w:bCs/>
          <w:sz w:val="24"/>
          <w:lang/>
        </w:rPr>
        <w:t>第六章  政府采购合同条款及格式</w:t>
      </w:r>
      <w:r>
        <w:rPr>
          <w:rFonts w:hint="eastAsia" w:ascii="仿宋_GB2312" w:hAnsi="仿宋_GB2312" w:eastAsia="仿宋_GB2312" w:cs="仿宋_GB2312"/>
          <w:b/>
          <w:bCs/>
          <w:sz w:val="24"/>
          <w:lang/>
        </w:rPr>
        <w:tab/>
      </w:r>
      <w:r>
        <w:rPr>
          <w:rFonts w:hint="eastAsia" w:ascii="仿宋_GB2312" w:hAnsi="仿宋_GB2312" w:eastAsia="仿宋_GB2312" w:cs="仿宋_GB2312"/>
          <w:b/>
          <w:bCs/>
          <w:sz w:val="24"/>
          <w:lang/>
        </w:rPr>
        <w:fldChar w:fldCharType="end"/>
      </w:r>
      <w:r>
        <w:rPr>
          <w:rFonts w:hint="eastAsia" w:ascii="仿宋_GB2312" w:hAnsi="仿宋_GB2312" w:eastAsia="仿宋_GB2312" w:cs="仿宋_GB2312"/>
          <w:b/>
          <w:bCs/>
          <w:sz w:val="24"/>
          <w:lang w:val="en-US" w:eastAsia="zh-CN"/>
        </w:rPr>
        <w:t>91</w:t>
      </w:r>
    </w:p>
    <w:p>
      <w:pPr>
        <w:pStyle w:val="34"/>
        <w:tabs>
          <w:tab w:val="left" w:pos="1834"/>
          <w:tab w:val="right" w:leader="dot" w:pos="8306"/>
        </w:tabs>
        <w:rPr>
          <w:rFonts w:hint="eastAsia" w:ascii="仿宋_GB2312" w:hAnsi="仿宋_GB2312" w:eastAsia="仿宋_GB2312" w:cs="仿宋_GB2312"/>
          <w:bCs/>
        </w:rPr>
        <w:sectPr>
          <w:pgSz w:w="11906" w:h="16838"/>
          <w:pgMar w:top="1440" w:right="1803" w:bottom="1440" w:left="1803" w:header="851" w:footer="992" w:gutter="0"/>
          <w:cols w:space="720" w:num="1"/>
          <w:docGrid w:type="lines" w:linePitch="312" w:charSpace="0"/>
        </w:sectPr>
      </w:pPr>
      <w:r>
        <w:rPr>
          <w:rFonts w:hint="eastAsia" w:ascii="仿宋_GB2312" w:hAnsi="仿宋_GB2312" w:eastAsia="仿宋_GB2312" w:cs="仿宋_GB2312"/>
          <w:b/>
          <w:bCs/>
          <w:sz w:val="24"/>
        </w:rPr>
        <w:fldChar w:fldCharType="end"/>
      </w:r>
      <w:bookmarkStart w:id="0" w:name="_Toc4485616"/>
    </w:p>
    <w:p>
      <w:pPr>
        <w:pStyle w:val="2"/>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仿宋_GB2312" w:hAnsi="仿宋_GB2312" w:eastAsia="仿宋_GB2312" w:cs="仿宋_GB2312"/>
          <w:bCs/>
          <w:lang w:val="en-US" w:eastAsia="zh-CN"/>
        </w:rPr>
      </w:pPr>
      <w:bookmarkStart w:id="1" w:name="_Toc13820"/>
      <w:r>
        <w:rPr>
          <w:rFonts w:hint="eastAsia" w:ascii="仿宋_GB2312" w:hAnsi="仿宋_GB2312" w:eastAsia="仿宋_GB2312" w:cs="仿宋_GB2312"/>
          <w:bCs/>
          <w:lang w:val="en-US" w:eastAsia="zh-CN"/>
        </w:rPr>
        <w:t>营口市城乡建设与公用事业中心</w:t>
      </w:r>
    </w:p>
    <w:p>
      <w:pPr>
        <w:pStyle w:val="2"/>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ascii="仿宋" w:hAnsi="仿宋" w:eastAsia="仿宋"/>
          <w:szCs w:val="21"/>
        </w:rPr>
      </w:pPr>
      <w:r>
        <w:rPr>
          <w:rFonts w:hint="eastAsia" w:ascii="仿宋_GB2312" w:hAnsi="仿宋_GB2312" w:eastAsia="仿宋_GB2312" w:cs="仿宋_GB2312"/>
          <w:bCs/>
          <w:lang w:val="en-US" w:eastAsia="zh-CN"/>
        </w:rPr>
        <w:t>物业管理服务项目竞争性磋商</w:t>
      </w:r>
      <w:r>
        <w:rPr>
          <w:rFonts w:hint="eastAsia" w:ascii="仿宋_GB2312" w:hAnsi="仿宋_GB2312" w:eastAsia="仿宋_GB2312" w:cs="仿宋_GB2312"/>
        </w:rPr>
        <w:t>公告</w:t>
      </w:r>
      <w:bookmarkEnd w:id="0"/>
      <w:bookmarkEnd w:id="1"/>
      <w:bookmarkStart w:id="2" w:name="_Toc4485617"/>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360" w:lineRule="auto"/>
        <w:ind w:firstLine="420" w:firstLineChars="200"/>
        <w:textAlignment w:val="auto"/>
        <w:rPr>
          <w:rFonts w:hint="eastAsia" w:ascii="仿宋" w:hAnsi="仿宋" w:eastAsia="仿宋"/>
          <w:szCs w:val="21"/>
          <w:lang w:eastAsia="zh-CN"/>
        </w:rPr>
      </w:pPr>
      <w:r>
        <w:rPr>
          <w:rFonts w:hint="eastAsia" w:ascii="仿宋" w:hAnsi="仿宋" w:eastAsia="仿宋"/>
          <w:szCs w:val="21"/>
          <w:lang w:eastAsia="zh-CN"/>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360" w:lineRule="auto"/>
        <w:ind w:firstLine="420" w:firstLineChars="200"/>
        <w:textAlignment w:val="auto"/>
        <w:rPr>
          <w:rFonts w:ascii="仿宋" w:hAnsi="仿宋" w:eastAsia="仿宋"/>
          <w:szCs w:val="21"/>
        </w:rPr>
      </w:pPr>
      <w:r>
        <w:rPr>
          <w:rFonts w:hint="eastAsia" w:ascii="仿宋" w:hAnsi="仿宋" w:eastAsia="仿宋"/>
          <w:szCs w:val="21"/>
        </w:rPr>
        <w:t>营口市城乡建设与公用事业中心物业管理服务项目项目编号：JH22-210800-01618(YKSGZC2022026)采购项目的潜在供应商应在</w:t>
      </w:r>
      <w:r>
        <w:rPr>
          <w:rFonts w:hint="eastAsia" w:ascii="仿宋" w:hAnsi="仿宋" w:eastAsia="仿宋"/>
          <w:szCs w:val="21"/>
          <w:lang w:eastAsia="zh-CN"/>
        </w:rPr>
        <w:t>辽宁政府采购网</w:t>
      </w:r>
      <w:r>
        <w:rPr>
          <w:rFonts w:hint="eastAsia" w:ascii="仿宋" w:hAnsi="仿宋" w:eastAsia="仿宋"/>
          <w:szCs w:val="21"/>
        </w:rPr>
        <w:t>获取采购文件，并于</w:t>
      </w:r>
      <w:r>
        <w:rPr>
          <w:rFonts w:hint="eastAsia" w:ascii="仿宋" w:hAnsi="仿宋" w:eastAsia="仿宋"/>
          <w:color w:val="FF0000"/>
          <w:szCs w:val="21"/>
          <w:u w:val="single"/>
          <w:lang w:val="en-US" w:eastAsia="zh-CN"/>
        </w:rPr>
        <w:t>2022</w:t>
      </w:r>
      <w:r>
        <w:rPr>
          <w:rFonts w:hint="eastAsia" w:ascii="仿宋" w:hAnsi="仿宋" w:eastAsia="仿宋"/>
          <w:color w:val="FF0000"/>
          <w:szCs w:val="21"/>
          <w:u w:val="single"/>
          <w:lang w:eastAsia="zh-CN"/>
        </w:rPr>
        <w:t>年</w:t>
      </w:r>
      <w:r>
        <w:rPr>
          <w:rFonts w:hint="eastAsia" w:ascii="仿宋" w:hAnsi="仿宋" w:eastAsia="仿宋"/>
          <w:bCs/>
          <w:color w:val="FF0000"/>
          <w:szCs w:val="21"/>
          <w:u w:val="single"/>
        </w:rPr>
        <w:t xml:space="preserve"> </w:t>
      </w:r>
      <w:r>
        <w:rPr>
          <w:rFonts w:hint="eastAsia" w:ascii="仿宋" w:hAnsi="仿宋" w:eastAsia="仿宋"/>
          <w:bCs/>
          <w:color w:val="FF0000"/>
          <w:szCs w:val="21"/>
          <w:u w:val="single"/>
          <w:lang w:val="en-US" w:eastAsia="zh-CN"/>
        </w:rPr>
        <w:t>6</w:t>
      </w:r>
      <w:r>
        <w:rPr>
          <w:rFonts w:hint="eastAsia" w:ascii="仿宋" w:hAnsi="仿宋" w:eastAsia="仿宋"/>
          <w:bCs/>
          <w:color w:val="FF0000"/>
          <w:szCs w:val="21"/>
          <w:u w:val="single"/>
        </w:rPr>
        <w:t>月</w:t>
      </w:r>
      <w:r>
        <w:rPr>
          <w:rFonts w:hint="eastAsia" w:ascii="仿宋" w:hAnsi="仿宋" w:eastAsia="仿宋"/>
          <w:bCs/>
          <w:color w:val="FF0000"/>
          <w:szCs w:val="21"/>
          <w:u w:val="single"/>
          <w:lang w:val="en-US" w:eastAsia="zh-CN"/>
        </w:rPr>
        <w:t>24</w:t>
      </w:r>
      <w:r>
        <w:rPr>
          <w:rFonts w:hint="eastAsia" w:ascii="仿宋" w:hAnsi="仿宋" w:eastAsia="仿宋"/>
          <w:bCs/>
          <w:color w:val="FF0000"/>
          <w:szCs w:val="21"/>
          <w:u w:val="single"/>
        </w:rPr>
        <w:t>日</w:t>
      </w:r>
      <w:r>
        <w:rPr>
          <w:rFonts w:hint="eastAsia" w:ascii="仿宋" w:hAnsi="仿宋" w:eastAsia="仿宋"/>
          <w:bCs/>
          <w:color w:val="FF0000"/>
          <w:szCs w:val="21"/>
          <w:u w:val="single"/>
          <w:lang w:val="en-US" w:eastAsia="zh-CN"/>
        </w:rPr>
        <w:t>9</w:t>
      </w:r>
      <w:r>
        <w:rPr>
          <w:rFonts w:hint="eastAsia" w:ascii="仿宋" w:hAnsi="仿宋" w:eastAsia="仿宋"/>
          <w:bCs/>
          <w:color w:val="FF0000"/>
          <w:szCs w:val="21"/>
          <w:u w:val="single"/>
          <w:lang w:val="en-US" w:eastAsia="zh-CN"/>
        </w:rPr>
        <w:t>时</w:t>
      </w:r>
      <w:r>
        <w:rPr>
          <w:rFonts w:hint="eastAsia" w:ascii="仿宋" w:hAnsi="仿宋" w:eastAsia="仿宋"/>
          <w:bCs/>
          <w:color w:val="FF0000"/>
          <w:szCs w:val="21"/>
          <w:u w:val="single"/>
          <w:lang w:val="en-US" w:eastAsia="zh-CN"/>
        </w:rPr>
        <w:t>30</w:t>
      </w:r>
      <w:r>
        <w:rPr>
          <w:rFonts w:hint="eastAsia" w:ascii="仿宋" w:hAnsi="仿宋" w:eastAsia="仿宋"/>
          <w:bCs/>
          <w:color w:val="FF0000"/>
          <w:szCs w:val="21"/>
          <w:u w:val="single"/>
        </w:rPr>
        <w:t>分</w:t>
      </w:r>
      <w:r>
        <w:rPr>
          <w:rFonts w:hint="eastAsia" w:ascii="仿宋" w:hAnsi="仿宋" w:eastAsia="仿宋"/>
          <w:bCs/>
          <w:szCs w:val="21"/>
        </w:rPr>
        <w:t>（北京时间）前提交响应</w:t>
      </w:r>
      <w:r>
        <w:rPr>
          <w:rFonts w:ascii="仿宋" w:hAnsi="仿宋" w:eastAsia="仿宋"/>
          <w:bCs/>
          <w:szCs w:val="21"/>
        </w:rPr>
        <w:t>文件</w:t>
      </w:r>
      <w:r>
        <w:rPr>
          <w:rFonts w:hint="eastAsia" w:ascii="仿宋" w:hAnsi="仿宋" w:eastAsia="仿宋"/>
          <w:szCs w:val="21"/>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outlineLvl w:val="1"/>
        <w:rPr>
          <w:rFonts w:hint="eastAsia" w:ascii="仿宋" w:hAnsi="仿宋" w:eastAsia="仿宋" w:cs="宋体"/>
          <w:bCs/>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ascii="仿宋" w:hAnsi="仿宋" w:eastAsia="仿宋" w:cs="宋体"/>
          <w:bCs/>
          <w:szCs w:val="21"/>
        </w:rPr>
      </w:pPr>
      <w:r>
        <w:rPr>
          <w:rFonts w:hint="eastAsia" w:ascii="仿宋" w:hAnsi="仿宋" w:eastAsia="仿宋" w:cs="宋体"/>
          <w:bCs/>
          <w:szCs w:val="21"/>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仿宋" w:hAnsi="仿宋" w:eastAsia="仿宋"/>
          <w:szCs w:val="21"/>
        </w:rPr>
      </w:pPr>
      <w:r>
        <w:rPr>
          <w:rFonts w:hint="eastAsia" w:ascii="仿宋" w:hAnsi="仿宋" w:eastAsia="仿宋"/>
          <w:szCs w:val="21"/>
        </w:rPr>
        <w:t>项目编号：JH22-210800-01618(YKSGZC2022026)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ascii="仿宋" w:hAnsi="仿宋" w:eastAsia="仿宋"/>
          <w:szCs w:val="21"/>
          <w:u w:val="single"/>
        </w:rPr>
      </w:pPr>
      <w:r>
        <w:rPr>
          <w:rFonts w:hint="eastAsia" w:ascii="仿宋" w:hAnsi="仿宋" w:eastAsia="仿宋"/>
          <w:szCs w:val="21"/>
        </w:rPr>
        <w:t>项目名称：营口市城乡建设与公用事业中心物业管理服务项目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ascii="仿宋" w:hAnsi="仿宋" w:eastAsia="仿宋"/>
          <w:szCs w:val="21"/>
        </w:rPr>
      </w:pPr>
      <w:r>
        <w:rPr>
          <w:rFonts w:hint="eastAsia" w:ascii="仿宋" w:hAnsi="仿宋" w:eastAsia="仿宋"/>
          <w:szCs w:val="21"/>
        </w:rPr>
        <w:t>采购方式：</w:t>
      </w:r>
      <w:r>
        <w:rPr>
          <w:rFonts w:hint="eastAsia" w:ascii="仿宋" w:hAnsi="仿宋" w:eastAsia="仿宋"/>
          <w:color w:val="FF0000"/>
          <w:szCs w:val="21"/>
        </w:rPr>
        <w:t>竞争性磋商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default" w:ascii="仿宋" w:hAnsi="仿宋" w:eastAsia="仿宋"/>
          <w:szCs w:val="21"/>
          <w:lang w:val="en-US" w:eastAsia="zh-CN"/>
        </w:rPr>
      </w:pPr>
      <w:r>
        <w:rPr>
          <w:rFonts w:hint="eastAsia" w:ascii="仿宋" w:hAnsi="仿宋" w:eastAsia="仿宋"/>
          <w:szCs w:val="21"/>
        </w:rPr>
        <w:t>预算金额：</w:t>
      </w:r>
      <w:r>
        <w:rPr>
          <w:rFonts w:hint="eastAsia" w:ascii="仿宋" w:hAnsi="仿宋" w:eastAsia="仿宋"/>
          <w:szCs w:val="21"/>
          <w:lang w:val="en-US" w:eastAsia="zh-CN"/>
        </w:rPr>
        <w:t>500，000.00元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ascii="仿宋" w:hAnsi="仿宋" w:eastAsia="仿宋"/>
          <w:szCs w:val="21"/>
        </w:rPr>
      </w:pPr>
      <w:r>
        <w:rPr>
          <w:rFonts w:hint="eastAsia" w:ascii="仿宋" w:hAnsi="仿宋" w:eastAsia="仿宋"/>
          <w:szCs w:val="21"/>
        </w:rPr>
        <w:t>最高限价（如有）：500，000.00元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仿宋" w:hAnsi="仿宋" w:eastAsia="仿宋"/>
          <w:szCs w:val="21"/>
        </w:rPr>
      </w:pPr>
      <w:r>
        <w:rPr>
          <w:rFonts w:hint="eastAsia" w:ascii="仿宋" w:hAnsi="仿宋" w:eastAsia="仿宋"/>
          <w:szCs w:val="21"/>
        </w:rPr>
        <w:t>采购需求：</w:t>
      </w:r>
      <w:r>
        <w:rPr>
          <w:rFonts w:hint="eastAsia" w:ascii="仿宋" w:hAnsi="仿宋" w:eastAsia="仿宋"/>
          <w:szCs w:val="21"/>
          <w:lang w:eastAsia="zh-CN"/>
        </w:rPr>
        <w:t>详见</w:t>
      </w:r>
      <w:r>
        <w:rPr>
          <w:rFonts w:hint="eastAsia" w:ascii="仿宋" w:hAnsi="仿宋" w:eastAsia="仿宋"/>
          <w:szCs w:val="21"/>
        </w:rPr>
        <w:t>第三章服务需求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仿宋" w:hAnsi="仿宋" w:eastAsia="仿宋"/>
          <w:szCs w:val="21"/>
          <w:highlight w:val="none"/>
        </w:rPr>
      </w:pPr>
      <w:r>
        <w:rPr>
          <w:rFonts w:hint="eastAsia" w:ascii="仿宋" w:hAnsi="仿宋" w:eastAsia="仿宋"/>
          <w:szCs w:val="21"/>
        </w:rPr>
        <w:t>合同履行期限：</w:t>
      </w:r>
      <w:r>
        <w:rPr>
          <w:rFonts w:hint="eastAsia" w:ascii="仿宋" w:hAnsi="仿宋" w:eastAsia="仿宋"/>
          <w:szCs w:val="21"/>
          <w:highlight w:val="none"/>
        </w:rPr>
        <w:t>2022年7月1日至2023年6月30日止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仿宋" w:hAnsi="仿宋" w:eastAsia="仿宋"/>
          <w:szCs w:val="21"/>
        </w:rPr>
      </w:pPr>
      <w:r>
        <w:rPr>
          <w:rFonts w:hint="eastAsia" w:ascii="仿宋" w:hAnsi="仿宋" w:eastAsia="仿宋"/>
          <w:szCs w:val="21"/>
        </w:rPr>
        <w:t>需落实的政府采购政策内容：中小微企业（含监狱企业）的相关规定；促进残疾人就业政府采购政策的相关规定；节能产品、环境标志产品的相关规定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default" w:ascii="仿宋" w:hAnsi="仿宋" w:eastAsia="仿宋"/>
          <w:szCs w:val="21"/>
          <w:lang w:val="en-US" w:eastAsia="zh-CN"/>
        </w:rPr>
      </w:pPr>
      <w:r>
        <w:rPr>
          <w:rFonts w:hint="eastAsia" w:ascii="仿宋" w:hAnsi="仿宋" w:eastAsia="仿宋"/>
          <w:szCs w:val="21"/>
        </w:rPr>
        <w:t>本项目</w:t>
      </w:r>
      <w:r>
        <w:rPr>
          <w:rFonts w:hint="eastAsia" w:ascii="仿宋" w:hAnsi="仿宋" w:eastAsia="仿宋"/>
          <w:color w:val="auto"/>
          <w:szCs w:val="21"/>
        </w:rPr>
        <w:t>（</w:t>
      </w:r>
      <w:r>
        <w:rPr>
          <w:rFonts w:hint="eastAsia" w:ascii="仿宋" w:hAnsi="仿宋" w:eastAsia="仿宋"/>
          <w:i/>
          <w:color w:val="auto"/>
          <w:szCs w:val="21"/>
        </w:rPr>
        <w:t>是</w:t>
      </w:r>
      <w:r>
        <w:rPr>
          <w:rFonts w:ascii="仿宋" w:hAnsi="仿宋" w:eastAsia="仿宋"/>
          <w:i/>
          <w:color w:val="auto"/>
          <w:szCs w:val="21"/>
        </w:rPr>
        <w:t>/否</w:t>
      </w:r>
      <w:r>
        <w:rPr>
          <w:rFonts w:hint="eastAsia" w:ascii="仿宋" w:hAnsi="仿宋" w:eastAsia="仿宋"/>
          <w:color w:val="auto"/>
          <w:szCs w:val="21"/>
        </w:rPr>
        <w:t>）</w:t>
      </w:r>
      <w:r>
        <w:rPr>
          <w:rFonts w:hint="eastAsia" w:ascii="仿宋" w:hAnsi="仿宋" w:eastAsia="仿宋"/>
          <w:szCs w:val="21"/>
        </w:rPr>
        <w:t>接受联合体</w:t>
      </w:r>
      <w:r>
        <w:rPr>
          <w:rFonts w:hint="eastAsia" w:ascii="仿宋" w:hAnsi="仿宋" w:eastAsia="仿宋"/>
          <w:szCs w:val="21"/>
          <w:lang w:eastAsia="zh-CN"/>
        </w:rPr>
        <w:t>：</w:t>
      </w:r>
      <w:r>
        <w:rPr>
          <w:rFonts w:hint="eastAsia" w:ascii="仿宋" w:hAnsi="仿宋" w:eastAsia="仿宋"/>
          <w:color w:val="FF0000"/>
          <w:szCs w:val="21"/>
          <w:lang w:eastAsia="zh-CN"/>
        </w:rPr>
        <w:t>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ascii="仿宋" w:hAnsi="仿宋" w:eastAsia="仿宋" w:cs="宋体"/>
          <w:bCs/>
          <w:szCs w:val="21"/>
        </w:rPr>
      </w:pPr>
      <w:r>
        <w:rPr>
          <w:rFonts w:hint="eastAsia" w:ascii="仿宋" w:hAnsi="仿宋" w:eastAsia="仿宋" w:cs="宋体"/>
          <w:bCs/>
          <w:szCs w:val="21"/>
        </w:rPr>
        <w:t>二、供应商的资格要求：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ascii="仿宋" w:hAnsi="仿宋" w:eastAsia="仿宋"/>
          <w:szCs w:val="21"/>
        </w:rPr>
      </w:pPr>
      <w:r>
        <w:rPr>
          <w:rFonts w:hint="eastAsia" w:ascii="仿宋" w:hAnsi="仿宋" w:eastAsia="仿宋"/>
          <w:szCs w:val="21"/>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left="630" w:leftChars="200" w:hanging="210" w:hangingChars="100"/>
        <w:jc w:val="left"/>
        <w:textAlignment w:val="auto"/>
        <w:rPr>
          <w:rFonts w:hint="eastAsia" w:ascii="仿宋" w:hAnsi="仿宋" w:eastAsia="仿宋"/>
          <w:szCs w:val="21"/>
          <w:lang w:eastAsia="zh-CN"/>
        </w:rPr>
      </w:pPr>
      <w:r>
        <w:rPr>
          <w:rFonts w:ascii="仿宋" w:hAnsi="仿宋" w:eastAsia="仿宋"/>
          <w:szCs w:val="21"/>
        </w:rPr>
        <w:t>2</w:t>
      </w:r>
      <w:r>
        <w:rPr>
          <w:rFonts w:hint="eastAsia" w:ascii="仿宋" w:hAnsi="仿宋" w:eastAsia="仿宋"/>
          <w:szCs w:val="21"/>
        </w:rPr>
        <w:t>.落实政府采购政策需满足的资格要求：</w:t>
      </w:r>
      <w:r>
        <w:rPr>
          <w:rFonts w:hint="eastAsia" w:ascii="仿宋" w:hAnsi="仿宋" w:eastAsia="仿宋"/>
          <w:szCs w:val="21"/>
          <w:lang w:eastAsia="zh-CN"/>
        </w:rPr>
        <w:t>本项目专门面向中小微企业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仿宋" w:hAnsi="仿宋" w:eastAsia="仿宋"/>
          <w:i/>
          <w:iCs/>
          <w:color w:val="FF0000"/>
          <w:szCs w:val="21"/>
          <w:u w:val="single"/>
          <w:lang w:eastAsia="zh-CN"/>
        </w:rPr>
      </w:pPr>
      <w:r>
        <w:rPr>
          <w:rFonts w:hint="eastAsia" w:ascii="仿宋" w:hAnsi="仿宋" w:eastAsia="仿宋"/>
          <w:szCs w:val="21"/>
        </w:rPr>
        <w:t>3.本项目的特定资格要求：</w:t>
      </w:r>
      <w:r>
        <w:rPr>
          <w:rFonts w:hint="eastAsia" w:ascii="仿宋" w:hAnsi="仿宋" w:eastAsia="仿宋"/>
          <w:szCs w:val="21"/>
          <w:lang w:eastAsia="zh-CN"/>
        </w:rPr>
        <w:t>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ascii="仿宋" w:hAnsi="仿宋" w:eastAsia="仿宋" w:cs="宋体"/>
          <w:bCs/>
          <w:szCs w:val="21"/>
        </w:rPr>
      </w:pPr>
      <w:bookmarkStart w:id="3" w:name="_Toc9645"/>
      <w:r>
        <w:rPr>
          <w:rFonts w:hint="eastAsia" w:ascii="仿宋" w:hAnsi="仿宋" w:eastAsia="仿宋" w:cs="宋体"/>
          <w:bCs/>
          <w:szCs w:val="21"/>
        </w:rPr>
        <w:t>三、政府采购供应商入库须知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仿宋" w:hAnsi="仿宋" w:eastAsia="仿宋" w:cs="宋体"/>
          <w:szCs w:val="21"/>
        </w:rPr>
      </w:pPr>
      <w:r>
        <w:rPr>
          <w:rFonts w:hint="eastAsia" w:ascii="仿宋" w:hAnsi="仿宋" w:eastAsia="仿宋" w:cs="宋体"/>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仿宋" w:hAnsi="仿宋" w:eastAsia="仿宋" w:cs="宋体"/>
          <w:bCs/>
          <w:szCs w:val="21"/>
        </w:rPr>
      </w:pPr>
      <w:r>
        <w:rPr>
          <w:rFonts w:hint="eastAsia" w:ascii="仿宋" w:hAnsi="仿宋" w:eastAsia="仿宋" w:cs="宋体"/>
          <w:bCs/>
          <w:szCs w:val="21"/>
        </w:rPr>
        <w:t>四、获取采购文件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仿宋" w:hAnsi="仿宋" w:eastAsia="仿宋" w:cs="宋体"/>
          <w:szCs w:val="21"/>
        </w:rPr>
      </w:pPr>
      <w:r>
        <w:rPr>
          <w:rFonts w:hint="eastAsia" w:ascii="仿宋" w:hAnsi="仿宋" w:eastAsia="仿宋" w:cs="宋体"/>
          <w:szCs w:val="21"/>
        </w:rPr>
        <w:t>时间：</w:t>
      </w:r>
      <w:r>
        <w:rPr>
          <w:rFonts w:hint="eastAsia" w:ascii="仿宋" w:hAnsi="仿宋" w:eastAsia="仿宋" w:cs="宋体"/>
          <w:color w:val="FF0000"/>
          <w:szCs w:val="21"/>
          <w:u w:val="single"/>
        </w:rPr>
        <w:t xml:space="preserve"> </w:t>
      </w:r>
      <w:r>
        <w:rPr>
          <w:rFonts w:hint="eastAsia" w:ascii="仿宋" w:hAnsi="仿宋" w:eastAsia="仿宋" w:cs="宋体"/>
          <w:color w:val="FF0000"/>
          <w:szCs w:val="21"/>
          <w:u w:val="single"/>
          <w:lang w:val="en-US" w:eastAsia="zh-CN"/>
        </w:rPr>
        <w:t>2022</w:t>
      </w:r>
      <w:r>
        <w:rPr>
          <w:rFonts w:hint="eastAsia" w:ascii="仿宋" w:hAnsi="仿宋" w:eastAsia="仿宋" w:cs="宋体"/>
          <w:color w:val="FF0000"/>
          <w:szCs w:val="21"/>
          <w:u w:val="single"/>
        </w:rPr>
        <w:t xml:space="preserve">   年 </w:t>
      </w:r>
      <w:r>
        <w:rPr>
          <w:rFonts w:hint="eastAsia" w:ascii="仿宋" w:hAnsi="仿宋" w:eastAsia="仿宋" w:cs="宋体"/>
          <w:color w:val="FF0000"/>
          <w:szCs w:val="21"/>
          <w:u w:val="single"/>
          <w:lang w:val="en-US" w:eastAsia="zh-CN"/>
        </w:rPr>
        <w:t>6</w:t>
      </w:r>
      <w:r>
        <w:rPr>
          <w:rFonts w:hint="eastAsia" w:ascii="仿宋" w:hAnsi="仿宋" w:eastAsia="仿宋" w:cs="宋体"/>
          <w:color w:val="FF0000"/>
          <w:szCs w:val="21"/>
          <w:u w:val="single"/>
        </w:rPr>
        <w:t xml:space="preserve"> 月 </w:t>
      </w:r>
      <w:r>
        <w:rPr>
          <w:rFonts w:hint="eastAsia" w:ascii="仿宋" w:hAnsi="仿宋" w:eastAsia="仿宋" w:cs="宋体"/>
          <w:color w:val="FF0000"/>
          <w:szCs w:val="21"/>
          <w:u w:val="single"/>
          <w:lang w:val="en-US" w:eastAsia="zh-CN"/>
        </w:rPr>
        <w:t>14</w:t>
      </w:r>
      <w:r>
        <w:rPr>
          <w:rFonts w:hint="eastAsia" w:ascii="仿宋" w:hAnsi="仿宋" w:eastAsia="仿宋" w:cs="宋体"/>
          <w:color w:val="FF0000"/>
          <w:szCs w:val="21"/>
          <w:u w:val="single"/>
        </w:rPr>
        <w:t xml:space="preserve"> 日</w:t>
      </w:r>
      <w:r>
        <w:rPr>
          <w:rFonts w:hint="eastAsia" w:ascii="仿宋" w:hAnsi="仿宋" w:eastAsia="仿宋" w:cs="宋体"/>
          <w:color w:val="000000"/>
          <w:szCs w:val="21"/>
          <w:u w:val="none"/>
          <w:lang w:val="en-US" w:eastAsia="zh-CN"/>
        </w:rPr>
        <w:t>0</w:t>
      </w:r>
      <w:r>
        <w:rPr>
          <w:rFonts w:hint="eastAsia" w:ascii="仿宋" w:hAnsi="仿宋" w:eastAsia="仿宋" w:cs="宋体"/>
          <w:szCs w:val="21"/>
          <w:lang w:val="en-US" w:eastAsia="zh-CN"/>
        </w:rPr>
        <w:t>8</w:t>
      </w:r>
      <w:r>
        <w:rPr>
          <w:rFonts w:hint="eastAsia" w:ascii="仿宋" w:hAnsi="仿宋" w:eastAsia="仿宋" w:cs="宋体"/>
          <w:szCs w:val="21"/>
        </w:rPr>
        <w:t>时</w:t>
      </w:r>
      <w:r>
        <w:rPr>
          <w:rFonts w:hint="eastAsia" w:ascii="仿宋" w:hAnsi="仿宋" w:eastAsia="仿宋" w:cs="宋体"/>
          <w:szCs w:val="21"/>
          <w:lang w:val="en-US" w:eastAsia="zh-CN"/>
        </w:rPr>
        <w:t>3</w:t>
      </w:r>
      <w:r>
        <w:rPr>
          <w:rFonts w:hint="eastAsia" w:ascii="仿宋" w:hAnsi="仿宋" w:eastAsia="仿宋" w:cs="宋体"/>
          <w:szCs w:val="21"/>
        </w:rPr>
        <w:t>0分至</w:t>
      </w:r>
      <w:r>
        <w:rPr>
          <w:rFonts w:hint="eastAsia" w:ascii="仿宋" w:hAnsi="仿宋" w:eastAsia="仿宋" w:cs="宋体"/>
          <w:color w:val="FF0000"/>
          <w:szCs w:val="21"/>
          <w:u w:val="single"/>
        </w:rPr>
        <w:t xml:space="preserve">  </w:t>
      </w:r>
      <w:r>
        <w:rPr>
          <w:rFonts w:hint="eastAsia" w:ascii="仿宋" w:hAnsi="仿宋" w:eastAsia="仿宋" w:cs="宋体"/>
          <w:color w:val="FF0000"/>
          <w:szCs w:val="21"/>
          <w:u w:val="single"/>
          <w:lang w:val="en-US" w:eastAsia="zh-CN"/>
        </w:rPr>
        <w:t>2022</w:t>
      </w:r>
      <w:r>
        <w:rPr>
          <w:rFonts w:hint="eastAsia" w:ascii="仿宋" w:hAnsi="仿宋" w:eastAsia="仿宋" w:cs="宋体"/>
          <w:color w:val="FF0000"/>
          <w:szCs w:val="21"/>
          <w:u w:val="single"/>
        </w:rPr>
        <w:t xml:space="preserve">   年 </w:t>
      </w:r>
      <w:r>
        <w:rPr>
          <w:rFonts w:hint="eastAsia" w:ascii="仿宋" w:hAnsi="仿宋" w:eastAsia="仿宋" w:cs="宋体"/>
          <w:color w:val="FF0000"/>
          <w:szCs w:val="21"/>
          <w:u w:val="single"/>
          <w:lang w:val="en-US" w:eastAsia="zh-CN"/>
        </w:rPr>
        <w:t>6</w:t>
      </w:r>
      <w:r>
        <w:rPr>
          <w:rFonts w:hint="eastAsia" w:ascii="仿宋" w:hAnsi="仿宋" w:eastAsia="仿宋" w:cs="宋体"/>
          <w:color w:val="FF0000"/>
          <w:szCs w:val="21"/>
          <w:u w:val="single"/>
        </w:rPr>
        <w:t xml:space="preserve"> 月 </w:t>
      </w:r>
      <w:r>
        <w:rPr>
          <w:rFonts w:hint="eastAsia" w:ascii="仿宋" w:hAnsi="仿宋" w:eastAsia="仿宋" w:cs="宋体"/>
          <w:color w:val="FF0000"/>
          <w:szCs w:val="21"/>
          <w:u w:val="single"/>
          <w:lang w:val="en-US" w:eastAsia="zh-CN"/>
        </w:rPr>
        <w:t>20</w:t>
      </w:r>
      <w:r>
        <w:rPr>
          <w:rFonts w:hint="eastAsia" w:ascii="仿宋" w:hAnsi="仿宋" w:eastAsia="仿宋" w:cs="宋体"/>
          <w:color w:val="FF0000"/>
          <w:szCs w:val="21"/>
          <w:u w:val="single"/>
        </w:rPr>
        <w:t xml:space="preserve"> 日</w:t>
      </w:r>
      <w:r>
        <w:rPr>
          <w:rFonts w:hint="eastAsia" w:ascii="仿宋" w:hAnsi="仿宋" w:eastAsia="仿宋" w:cs="宋体"/>
          <w:szCs w:val="21"/>
          <w:lang w:val="en-US" w:eastAsia="zh-CN"/>
        </w:rPr>
        <w:t>17</w:t>
      </w:r>
      <w:r>
        <w:rPr>
          <w:rFonts w:hint="eastAsia" w:ascii="仿宋" w:hAnsi="仿宋" w:eastAsia="仿宋" w:cs="宋体"/>
          <w:szCs w:val="21"/>
        </w:rPr>
        <w:t>时</w:t>
      </w:r>
      <w:r>
        <w:rPr>
          <w:rFonts w:hint="eastAsia" w:ascii="仿宋" w:hAnsi="仿宋" w:eastAsia="仿宋" w:cs="宋体"/>
          <w:szCs w:val="21"/>
          <w:lang w:val="en-US" w:eastAsia="zh-CN"/>
        </w:rPr>
        <w:t>0</w:t>
      </w:r>
      <w:r>
        <w:rPr>
          <w:rFonts w:hint="eastAsia" w:ascii="仿宋" w:hAnsi="仿宋" w:eastAsia="仿宋" w:cs="宋体"/>
          <w:szCs w:val="21"/>
        </w:rPr>
        <w:t>0分（北京时间，法定节假日除外）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仿宋" w:hAnsi="仿宋" w:eastAsia="仿宋" w:cs="宋体"/>
          <w:szCs w:val="21"/>
        </w:rPr>
      </w:pPr>
      <w:r>
        <w:rPr>
          <w:rFonts w:hint="eastAsia" w:ascii="仿宋" w:hAnsi="仿宋" w:eastAsia="仿宋" w:cs="宋体"/>
          <w:szCs w:val="21"/>
        </w:rPr>
        <w:t>地点：</w:t>
      </w:r>
      <w:r>
        <w:rPr>
          <w:rFonts w:hint="eastAsia" w:ascii="仿宋" w:hAnsi="仿宋" w:eastAsia="仿宋" w:cs="宋体"/>
          <w:szCs w:val="21"/>
          <w:lang w:eastAsia="zh-CN"/>
        </w:rPr>
        <w:t>辽宁政府采购网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ascii="仿宋" w:hAnsi="仿宋" w:eastAsia="仿宋" w:cs="宋体"/>
          <w:szCs w:val="21"/>
          <w:u w:val="single"/>
        </w:rPr>
      </w:pPr>
      <w:r>
        <w:rPr>
          <w:rFonts w:hint="eastAsia" w:ascii="仿宋" w:hAnsi="仿宋" w:eastAsia="仿宋" w:cs="宋体"/>
          <w:szCs w:val="21"/>
        </w:rPr>
        <w:t>方式：在线下载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宋体"/>
          <w:bCs/>
          <w:szCs w:val="21"/>
        </w:rPr>
      </w:pPr>
      <w:r>
        <w:rPr>
          <w:rFonts w:hint="eastAsia" w:ascii="仿宋" w:hAnsi="仿宋" w:eastAsia="仿宋" w:cs="宋体"/>
          <w:bCs/>
          <w:szCs w:val="21"/>
        </w:rPr>
        <w:t>五、响应文件提交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outlineLvl w:val="1"/>
        <w:rPr>
          <w:rFonts w:hint="eastAsia" w:ascii="仿宋" w:hAnsi="仿宋" w:eastAsia="仿宋" w:cs="宋体"/>
          <w:bCs/>
          <w:szCs w:val="21"/>
        </w:rPr>
      </w:pPr>
      <w:r>
        <w:rPr>
          <w:rFonts w:hint="eastAsia" w:ascii="仿宋" w:hAnsi="仿宋" w:eastAsia="仿宋" w:cs="宋体"/>
          <w:bCs/>
          <w:szCs w:val="21"/>
        </w:rPr>
        <w:t>截止时间：</w:t>
      </w:r>
      <w:r>
        <w:rPr>
          <w:rFonts w:hint="eastAsia" w:ascii="仿宋" w:hAnsi="仿宋" w:eastAsia="仿宋" w:cs="宋体"/>
          <w:color w:val="FF0000"/>
          <w:szCs w:val="21"/>
          <w:u w:val="single"/>
        </w:rPr>
        <w:t xml:space="preserve">  </w:t>
      </w:r>
      <w:r>
        <w:rPr>
          <w:rFonts w:hint="eastAsia" w:ascii="仿宋" w:hAnsi="仿宋" w:eastAsia="仿宋" w:cs="宋体"/>
          <w:color w:val="FF0000"/>
          <w:szCs w:val="21"/>
          <w:u w:val="single"/>
          <w:lang w:val="en-US" w:eastAsia="zh-CN"/>
        </w:rPr>
        <w:t xml:space="preserve">2022  </w:t>
      </w:r>
      <w:r>
        <w:rPr>
          <w:rFonts w:hint="eastAsia" w:ascii="仿宋" w:hAnsi="仿宋" w:eastAsia="仿宋" w:cs="宋体"/>
          <w:color w:val="FF0000"/>
          <w:szCs w:val="21"/>
          <w:u w:val="single"/>
        </w:rPr>
        <w:t xml:space="preserve"> 年 </w:t>
      </w:r>
      <w:r>
        <w:rPr>
          <w:rFonts w:hint="eastAsia" w:ascii="仿宋" w:hAnsi="仿宋" w:eastAsia="仿宋" w:cs="宋体"/>
          <w:color w:val="FF0000"/>
          <w:szCs w:val="21"/>
          <w:u w:val="single"/>
          <w:lang w:val="en-US" w:eastAsia="zh-CN"/>
        </w:rPr>
        <w:t>6</w:t>
      </w:r>
      <w:r>
        <w:rPr>
          <w:rFonts w:hint="eastAsia" w:ascii="仿宋" w:hAnsi="仿宋" w:eastAsia="仿宋" w:cs="宋体"/>
          <w:color w:val="FF0000"/>
          <w:szCs w:val="21"/>
          <w:u w:val="single"/>
        </w:rPr>
        <w:t xml:space="preserve"> 月 </w:t>
      </w:r>
      <w:r>
        <w:rPr>
          <w:rFonts w:hint="eastAsia" w:ascii="仿宋" w:hAnsi="仿宋" w:eastAsia="仿宋" w:cs="宋体"/>
          <w:color w:val="FF0000"/>
          <w:szCs w:val="21"/>
          <w:u w:val="single"/>
          <w:lang w:val="en-US" w:eastAsia="zh-CN"/>
        </w:rPr>
        <w:t>24</w:t>
      </w:r>
      <w:r>
        <w:rPr>
          <w:rFonts w:hint="eastAsia" w:ascii="仿宋" w:hAnsi="仿宋" w:eastAsia="仿宋" w:cs="宋体"/>
          <w:color w:val="FF0000"/>
          <w:szCs w:val="21"/>
          <w:u w:val="single"/>
        </w:rPr>
        <w:t xml:space="preserve"> 日  </w:t>
      </w:r>
      <w:r>
        <w:rPr>
          <w:rFonts w:hint="eastAsia" w:ascii="仿宋" w:hAnsi="仿宋" w:eastAsia="仿宋" w:cs="宋体"/>
          <w:color w:val="FF0000"/>
          <w:szCs w:val="21"/>
          <w:u w:val="single"/>
          <w:lang w:val="en-US" w:eastAsia="zh-CN"/>
        </w:rPr>
        <w:t>9</w:t>
      </w:r>
      <w:r>
        <w:rPr>
          <w:rFonts w:hint="eastAsia" w:ascii="仿宋" w:hAnsi="仿宋" w:eastAsia="仿宋" w:cs="宋体"/>
          <w:color w:val="FF0000"/>
          <w:szCs w:val="21"/>
          <w:u w:val="single"/>
        </w:rPr>
        <w:t xml:space="preserve">  </w:t>
      </w:r>
      <w:r>
        <w:rPr>
          <w:rFonts w:hint="eastAsia" w:ascii="仿宋" w:hAnsi="仿宋" w:eastAsia="仿宋" w:cs="宋体"/>
          <w:color w:val="FF0000"/>
          <w:szCs w:val="21"/>
          <w:u w:val="single"/>
          <w:lang w:val="en-US" w:eastAsia="zh-CN"/>
        </w:rPr>
        <w:t>时</w:t>
      </w:r>
      <w:r>
        <w:rPr>
          <w:rFonts w:hint="eastAsia" w:ascii="仿宋" w:hAnsi="仿宋" w:eastAsia="仿宋" w:cs="宋体"/>
          <w:color w:val="FF0000"/>
          <w:szCs w:val="21"/>
          <w:u w:val="single"/>
        </w:rPr>
        <w:t xml:space="preserve">  </w:t>
      </w:r>
      <w:r>
        <w:rPr>
          <w:rFonts w:hint="eastAsia" w:ascii="仿宋" w:hAnsi="仿宋" w:eastAsia="仿宋" w:cs="宋体"/>
          <w:color w:val="FF0000"/>
          <w:szCs w:val="21"/>
          <w:u w:val="single"/>
          <w:lang w:val="en-US" w:eastAsia="zh-CN"/>
        </w:rPr>
        <w:t>30</w:t>
      </w:r>
      <w:r>
        <w:rPr>
          <w:rFonts w:hint="eastAsia" w:ascii="仿宋" w:hAnsi="仿宋" w:eastAsia="仿宋" w:cs="宋体"/>
          <w:color w:val="FF0000"/>
          <w:szCs w:val="21"/>
          <w:u w:val="single"/>
        </w:rPr>
        <w:t xml:space="preserve">  分</w:t>
      </w:r>
      <w:r>
        <w:rPr>
          <w:rFonts w:hint="eastAsia" w:ascii="仿宋" w:hAnsi="仿宋" w:eastAsia="仿宋" w:cs="宋体"/>
          <w:bCs/>
          <w:szCs w:val="21"/>
        </w:rPr>
        <w:t>（北京时间）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outlineLvl w:val="1"/>
        <w:rPr>
          <w:rFonts w:hint="eastAsia" w:ascii="仿宋" w:hAnsi="仿宋" w:eastAsia="仿宋" w:cs="宋体"/>
          <w:bCs/>
          <w:szCs w:val="21"/>
        </w:rPr>
      </w:pPr>
      <w:r>
        <w:rPr>
          <w:rFonts w:hint="eastAsia" w:ascii="仿宋" w:hAnsi="仿宋" w:eastAsia="仿宋" w:cs="宋体"/>
          <w:bCs/>
          <w:szCs w:val="21"/>
        </w:rPr>
        <w:t>地点：辽宁政府采购网电子评审系统上传提交电子文件</w:t>
      </w:r>
      <w:r>
        <w:rPr>
          <w:rFonts w:hint="eastAsia" w:ascii="仿宋" w:hAnsi="仿宋" w:eastAsia="仿宋" w:cs="宋体"/>
          <w:bCs/>
          <w:szCs w:val="21"/>
          <w:lang w:val="en-US" w:eastAsia="zh-CN"/>
        </w:rPr>
        <w:t>;</w:t>
      </w:r>
      <w:r>
        <w:rPr>
          <w:rFonts w:hint="eastAsia" w:ascii="仿宋" w:hAnsi="仿宋" w:eastAsia="仿宋" w:cs="宋体"/>
          <w:bCs/>
          <w:szCs w:val="21"/>
        </w:rPr>
        <w:t>备份文件（U盘）</w:t>
      </w:r>
      <w:r>
        <w:rPr>
          <w:rFonts w:hint="eastAsia" w:ascii="仿宋" w:hAnsi="仿宋" w:eastAsia="仿宋" w:cs="宋体"/>
          <w:bCs/>
          <w:szCs w:val="21"/>
          <w:lang w:eastAsia="zh-CN"/>
        </w:rPr>
        <w:t>递交至</w:t>
      </w:r>
      <w:r>
        <w:rPr>
          <w:rFonts w:hint="eastAsia" w:ascii="仿宋" w:hAnsi="仿宋" w:eastAsia="仿宋"/>
          <w:szCs w:val="21"/>
        </w:rPr>
        <w:t>营口市营商环境建设中心（营口市公共资源交易中心）</w:t>
      </w:r>
      <w:r>
        <w:rPr>
          <w:rFonts w:hint="eastAsia" w:ascii="仿宋" w:hAnsi="仿宋" w:eastAsia="仿宋" w:cs="宋体"/>
          <w:bCs/>
          <w:color w:val="FF0000"/>
          <w:szCs w:val="21"/>
        </w:rPr>
        <w:t>开标室</w:t>
      </w:r>
      <w:r>
        <w:rPr>
          <w:rFonts w:hint="eastAsia" w:ascii="仿宋" w:hAnsi="仿宋" w:eastAsia="仿宋" w:cs="宋体"/>
          <w:bCs/>
          <w:color w:val="FF0000"/>
          <w:szCs w:val="21"/>
          <w:lang w:eastAsia="zh-CN"/>
        </w:rPr>
        <w:t>五</w:t>
      </w:r>
      <w:r>
        <w:rPr>
          <w:rFonts w:hint="eastAsia" w:ascii="仿宋" w:hAnsi="仿宋" w:eastAsia="仿宋" w:cs="宋体"/>
          <w:bCs/>
          <w:color w:val="FF0000"/>
          <w:szCs w:val="21"/>
        </w:rPr>
        <w:t>（</w:t>
      </w:r>
      <w:r>
        <w:rPr>
          <w:rFonts w:hint="eastAsia" w:ascii="仿宋" w:hAnsi="仿宋" w:eastAsia="仿宋" w:cs="宋体"/>
          <w:bCs/>
          <w:color w:val="FF0000"/>
          <w:szCs w:val="21"/>
          <w:lang w:eastAsia="zh-CN"/>
        </w:rPr>
        <w:t>不见面开标室</w:t>
      </w:r>
      <w:r>
        <w:rPr>
          <w:rFonts w:hint="eastAsia" w:ascii="仿宋" w:hAnsi="仿宋" w:eastAsia="仿宋" w:cs="宋体"/>
          <w:bCs/>
          <w:color w:val="FF0000"/>
          <w:szCs w:val="21"/>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宋体"/>
          <w:bCs/>
          <w:szCs w:val="21"/>
        </w:rPr>
      </w:pPr>
      <w:r>
        <w:rPr>
          <w:rFonts w:hint="eastAsia" w:ascii="仿宋" w:hAnsi="仿宋" w:eastAsia="仿宋" w:cs="宋体"/>
          <w:bCs/>
          <w:szCs w:val="21"/>
        </w:rPr>
        <w:t>六、开启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outlineLvl w:val="1"/>
        <w:rPr>
          <w:rFonts w:hint="eastAsia" w:ascii="仿宋" w:hAnsi="仿宋" w:eastAsia="仿宋" w:cs="宋体"/>
          <w:bCs/>
          <w:szCs w:val="21"/>
        </w:rPr>
      </w:pPr>
      <w:r>
        <w:rPr>
          <w:rFonts w:hint="eastAsia" w:ascii="仿宋" w:hAnsi="仿宋" w:eastAsia="仿宋" w:cs="宋体"/>
          <w:bCs/>
          <w:szCs w:val="21"/>
        </w:rPr>
        <w:t>时间：</w:t>
      </w:r>
      <w:r>
        <w:rPr>
          <w:rFonts w:hint="eastAsia" w:ascii="仿宋" w:hAnsi="仿宋" w:eastAsia="仿宋" w:cs="宋体"/>
          <w:color w:val="FF0000"/>
          <w:szCs w:val="21"/>
          <w:u w:val="single"/>
        </w:rPr>
        <w:t xml:space="preserve">  </w:t>
      </w:r>
      <w:r>
        <w:rPr>
          <w:rFonts w:hint="eastAsia" w:ascii="仿宋" w:hAnsi="仿宋" w:eastAsia="仿宋" w:cs="宋体"/>
          <w:color w:val="FF0000"/>
          <w:szCs w:val="21"/>
          <w:u w:val="single"/>
          <w:lang w:val="en-US" w:eastAsia="zh-CN"/>
        </w:rPr>
        <w:t xml:space="preserve">2022  </w:t>
      </w:r>
      <w:r>
        <w:rPr>
          <w:rFonts w:hint="eastAsia" w:ascii="仿宋" w:hAnsi="仿宋" w:eastAsia="仿宋" w:cs="宋体"/>
          <w:color w:val="FF0000"/>
          <w:szCs w:val="21"/>
          <w:u w:val="single"/>
        </w:rPr>
        <w:t xml:space="preserve"> 年 </w:t>
      </w:r>
      <w:r>
        <w:rPr>
          <w:rFonts w:hint="eastAsia" w:ascii="仿宋" w:hAnsi="仿宋" w:eastAsia="仿宋" w:cs="宋体"/>
          <w:color w:val="FF0000"/>
          <w:szCs w:val="21"/>
          <w:u w:val="single"/>
          <w:lang w:val="en-US" w:eastAsia="zh-CN"/>
        </w:rPr>
        <w:t>6</w:t>
      </w:r>
      <w:r>
        <w:rPr>
          <w:rFonts w:hint="eastAsia" w:ascii="仿宋" w:hAnsi="仿宋" w:eastAsia="仿宋" w:cs="宋体"/>
          <w:color w:val="FF0000"/>
          <w:szCs w:val="21"/>
          <w:u w:val="single"/>
        </w:rPr>
        <w:t xml:space="preserve"> 月</w:t>
      </w:r>
      <w:r>
        <w:rPr>
          <w:rFonts w:hint="eastAsia" w:ascii="仿宋" w:hAnsi="仿宋" w:eastAsia="仿宋" w:cs="宋体"/>
          <w:color w:val="FF0000"/>
          <w:szCs w:val="21"/>
          <w:u w:val="single"/>
          <w:lang w:val="en-US" w:eastAsia="zh-CN"/>
        </w:rPr>
        <w:t>24</w:t>
      </w:r>
      <w:r>
        <w:rPr>
          <w:rFonts w:hint="eastAsia" w:ascii="仿宋" w:hAnsi="仿宋" w:eastAsia="仿宋" w:cs="宋体"/>
          <w:color w:val="FF0000"/>
          <w:szCs w:val="21"/>
          <w:u w:val="single"/>
        </w:rPr>
        <w:t xml:space="preserve">  日  </w:t>
      </w:r>
      <w:r>
        <w:rPr>
          <w:rFonts w:hint="eastAsia" w:ascii="仿宋" w:hAnsi="仿宋" w:eastAsia="仿宋" w:cs="宋体"/>
          <w:color w:val="FF0000"/>
          <w:szCs w:val="21"/>
          <w:u w:val="single"/>
          <w:lang w:val="en-US" w:eastAsia="zh-CN"/>
        </w:rPr>
        <w:t>9</w:t>
      </w:r>
      <w:r>
        <w:rPr>
          <w:rFonts w:hint="eastAsia" w:ascii="仿宋" w:hAnsi="仿宋" w:eastAsia="仿宋" w:cs="宋体"/>
          <w:color w:val="FF0000"/>
          <w:szCs w:val="21"/>
          <w:u w:val="single"/>
        </w:rPr>
        <w:t xml:space="preserve">  </w:t>
      </w:r>
      <w:r>
        <w:rPr>
          <w:rFonts w:hint="eastAsia" w:ascii="仿宋" w:hAnsi="仿宋" w:eastAsia="仿宋" w:cs="宋体"/>
          <w:color w:val="FF0000"/>
          <w:szCs w:val="21"/>
          <w:u w:val="single"/>
          <w:lang w:val="en-US" w:eastAsia="zh-CN"/>
        </w:rPr>
        <w:t>时</w:t>
      </w:r>
      <w:r>
        <w:rPr>
          <w:rFonts w:hint="eastAsia" w:ascii="仿宋" w:hAnsi="仿宋" w:eastAsia="仿宋" w:cs="宋体"/>
          <w:color w:val="FF0000"/>
          <w:szCs w:val="21"/>
          <w:u w:val="single"/>
        </w:rPr>
        <w:t xml:space="preserve">  </w:t>
      </w:r>
      <w:r>
        <w:rPr>
          <w:rFonts w:hint="eastAsia" w:ascii="仿宋" w:hAnsi="仿宋" w:eastAsia="仿宋" w:cs="宋体"/>
          <w:color w:val="FF0000"/>
          <w:szCs w:val="21"/>
          <w:u w:val="single"/>
          <w:lang w:val="en-US" w:eastAsia="zh-CN"/>
        </w:rPr>
        <w:t>30</w:t>
      </w:r>
      <w:r>
        <w:rPr>
          <w:rFonts w:hint="eastAsia" w:ascii="仿宋" w:hAnsi="仿宋" w:eastAsia="仿宋" w:cs="宋体"/>
          <w:color w:val="FF0000"/>
          <w:szCs w:val="21"/>
          <w:u w:val="single"/>
        </w:rPr>
        <w:t xml:space="preserve">  分</w:t>
      </w:r>
      <w:r>
        <w:rPr>
          <w:rFonts w:hint="eastAsia" w:ascii="仿宋" w:hAnsi="仿宋" w:eastAsia="仿宋" w:cs="宋体"/>
          <w:bCs/>
          <w:szCs w:val="21"/>
        </w:rPr>
        <w:t>（北京时间）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outlineLvl w:val="1"/>
        <w:rPr>
          <w:rFonts w:hint="eastAsia" w:ascii="仿宋" w:hAnsi="仿宋" w:eastAsia="仿宋" w:cs="宋体"/>
          <w:bCs/>
          <w:color w:val="FF0000"/>
          <w:szCs w:val="21"/>
        </w:rPr>
      </w:pPr>
      <w:r>
        <w:rPr>
          <w:rFonts w:hint="eastAsia" w:ascii="仿宋" w:hAnsi="仿宋" w:eastAsia="仿宋" w:cs="宋体"/>
          <w:bCs/>
          <w:szCs w:val="21"/>
        </w:rPr>
        <w:t>地点：辽宁政府采购网电子评审系统</w:t>
      </w:r>
      <w:r>
        <w:rPr>
          <w:rFonts w:hint="eastAsia" w:ascii="仿宋" w:hAnsi="仿宋" w:eastAsia="仿宋" w:cs="宋体"/>
          <w:bCs/>
          <w:szCs w:val="21"/>
          <w:lang w:eastAsia="zh-CN"/>
        </w:rPr>
        <w:t>供应商自行解密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宋体"/>
          <w:bCs/>
          <w:szCs w:val="21"/>
        </w:rPr>
      </w:pPr>
      <w:r>
        <w:rPr>
          <w:rFonts w:hint="eastAsia" w:ascii="仿宋" w:hAnsi="仿宋" w:eastAsia="仿宋" w:cs="宋体"/>
          <w:bCs/>
          <w:szCs w:val="21"/>
        </w:rPr>
        <w:t>七、公告期限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outlineLvl w:val="1"/>
        <w:rPr>
          <w:rFonts w:hint="eastAsia" w:ascii="仿宋" w:hAnsi="仿宋" w:eastAsia="仿宋" w:cs="宋体"/>
          <w:bCs/>
          <w:szCs w:val="21"/>
        </w:rPr>
      </w:pPr>
      <w:r>
        <w:rPr>
          <w:rFonts w:hint="eastAsia" w:ascii="仿宋" w:hAnsi="仿宋" w:eastAsia="仿宋" w:cs="宋体"/>
          <w:bCs/>
          <w:szCs w:val="21"/>
        </w:rPr>
        <w:t>自本公告发布之日起</w:t>
      </w:r>
      <w:r>
        <w:rPr>
          <w:rFonts w:hint="eastAsia" w:ascii="仿宋" w:hAnsi="仿宋" w:eastAsia="仿宋" w:cs="宋体"/>
          <w:bCs/>
          <w:szCs w:val="21"/>
          <w:lang w:val="en-US" w:eastAsia="zh-CN"/>
        </w:rPr>
        <w:t>3</w:t>
      </w:r>
      <w:r>
        <w:rPr>
          <w:rFonts w:hint="eastAsia" w:ascii="仿宋" w:hAnsi="仿宋" w:eastAsia="仿宋" w:cs="宋体"/>
          <w:bCs/>
          <w:szCs w:val="21"/>
        </w:rPr>
        <w:t>个工作日。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宋体"/>
          <w:bCs/>
          <w:szCs w:val="21"/>
        </w:rPr>
      </w:pPr>
      <w:r>
        <w:rPr>
          <w:rFonts w:hint="eastAsia" w:ascii="仿宋" w:hAnsi="仿宋" w:eastAsia="仿宋" w:cs="宋体"/>
          <w:bCs/>
          <w:szCs w:val="21"/>
        </w:rPr>
        <w:t>八、质疑与投诉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1"/>
        <w:rPr>
          <w:rFonts w:hint="eastAsia" w:ascii="仿宋" w:hAnsi="仿宋" w:eastAsia="仿宋" w:cs="宋体"/>
          <w:bCs/>
          <w:szCs w:val="21"/>
          <w:lang w:eastAsia="zh-CN"/>
        </w:rPr>
      </w:pPr>
      <w:r>
        <w:rPr>
          <w:rFonts w:hint="eastAsia" w:ascii="仿宋" w:hAnsi="仿宋" w:eastAsia="仿宋" w:cs="宋体"/>
          <w:bCs/>
          <w:szCs w:val="21"/>
          <w:lang w:eastAsia="zh-CN"/>
        </w:rPr>
        <w:t>供应商认为自己的权益受到损害的，可以在知道或者应知其权益受到损害之日起七个工作日内，向采购人或采购代理机构提出质疑。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1"/>
        <w:rPr>
          <w:rFonts w:hint="eastAsia" w:ascii="仿宋" w:hAnsi="仿宋" w:eastAsia="仿宋" w:cs="宋体"/>
          <w:bCs/>
          <w:szCs w:val="21"/>
          <w:lang w:eastAsia="zh-CN"/>
        </w:rPr>
      </w:pPr>
      <w:r>
        <w:rPr>
          <w:rFonts w:hint="eastAsia" w:ascii="仿宋" w:hAnsi="仿宋" w:eastAsia="仿宋" w:cs="宋体"/>
          <w:bCs/>
          <w:szCs w:val="21"/>
          <w:lang w:eastAsia="zh-CN"/>
        </w:rPr>
        <w:t>1、接收质疑函方式：线上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1"/>
        <w:rPr>
          <w:rFonts w:hint="eastAsia" w:ascii="仿宋" w:hAnsi="仿宋" w:eastAsia="仿宋" w:cs="宋体"/>
          <w:bCs/>
          <w:szCs w:val="21"/>
          <w:lang w:eastAsia="zh-CN"/>
        </w:rPr>
      </w:pPr>
      <w:r>
        <w:rPr>
          <w:rFonts w:hint="eastAsia" w:ascii="仿宋" w:hAnsi="仿宋" w:eastAsia="仿宋" w:cs="宋体"/>
          <w:bCs/>
          <w:szCs w:val="21"/>
          <w:lang w:eastAsia="zh-CN"/>
        </w:rPr>
        <w:t>2、质疑函内容、格式：应符合《政府采购质疑和投诉办法》相关规定和财政部制定的《政府采购质疑函范本》格式，详见辽宁政府采购网。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1"/>
        <w:rPr>
          <w:rFonts w:hint="eastAsia" w:ascii="仿宋" w:hAnsi="仿宋" w:eastAsia="仿宋" w:cs="宋体"/>
          <w:bCs/>
          <w:szCs w:val="21"/>
          <w:lang w:eastAsia="zh-CN"/>
        </w:rPr>
      </w:pPr>
      <w:r>
        <w:rPr>
          <w:rFonts w:hint="eastAsia" w:ascii="仿宋" w:hAnsi="仿宋" w:eastAsia="仿宋" w:cs="宋体"/>
          <w:bCs/>
          <w:szCs w:val="21"/>
          <w:lang w:eastAsia="zh-CN"/>
        </w:rPr>
        <w:t>质疑供应商对采购人、采购代理机构的答复不满意，或者采购人、采购代理机构未在规定时间内作出答复的，可以在答复期满后15个工作日内向本级财政部门提起投诉。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宋体"/>
          <w:bCs/>
          <w:szCs w:val="21"/>
        </w:rPr>
      </w:pPr>
      <w:r>
        <w:rPr>
          <w:rFonts w:hint="eastAsia" w:ascii="仿宋" w:hAnsi="仿宋" w:eastAsia="仿宋" w:cs="宋体"/>
          <w:bCs/>
          <w:szCs w:val="21"/>
          <w:lang w:eastAsia="zh-CN"/>
        </w:rPr>
        <w:t>九</w:t>
      </w:r>
      <w:r>
        <w:rPr>
          <w:rFonts w:hint="eastAsia" w:ascii="仿宋" w:hAnsi="仿宋" w:eastAsia="仿宋" w:cs="宋体"/>
          <w:bCs/>
          <w:szCs w:val="21"/>
        </w:rPr>
        <w:t>、其他补充事宜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outlineLvl w:val="1"/>
        <w:rPr>
          <w:rFonts w:hint="eastAsia" w:ascii="仿宋" w:hAnsi="仿宋" w:eastAsia="仿宋" w:cs="宋体"/>
          <w:bCs/>
          <w:color w:val="auto"/>
          <w:szCs w:val="21"/>
        </w:rPr>
      </w:pPr>
      <w:r>
        <w:rPr>
          <w:rFonts w:hint="eastAsia" w:ascii="仿宋" w:hAnsi="仿宋" w:eastAsia="仿宋" w:cs="宋体"/>
          <w:bCs/>
          <w:color w:val="auto"/>
          <w:szCs w:val="21"/>
        </w:rPr>
        <w:t>（1）供应商须及时办理CA数字证书，否则应自行承担无法正常参与项目的不利后果。供应商应详阅辽宁政府采购网首页”办事指南”中的“辽宁政府采购网关于办理CA数字证书的操作手册”和“辽宁政府采购网新版系统供应商操作手册”，具体规定详见《关于启用政府采购数字认证和电子招投标业务有关事宜的通知》（辽财采〔2020〕298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1"/>
        <w:rPr>
          <w:rFonts w:hint="eastAsia" w:ascii="仿宋" w:hAnsi="仿宋" w:eastAsia="仿宋" w:cs="宋体"/>
          <w:bCs/>
          <w:color w:val="auto"/>
          <w:szCs w:val="21"/>
        </w:rPr>
      </w:pPr>
      <w:r>
        <w:rPr>
          <w:rFonts w:hint="eastAsia" w:ascii="仿宋" w:hAnsi="仿宋" w:eastAsia="仿宋" w:cs="宋体"/>
          <w:bCs/>
          <w:color w:val="auto"/>
          <w:szCs w:val="21"/>
        </w:rPr>
        <w:t>（</w:t>
      </w:r>
      <w:r>
        <w:rPr>
          <w:rFonts w:hint="eastAsia" w:ascii="仿宋" w:hAnsi="仿宋" w:eastAsia="仿宋" w:cs="宋体"/>
          <w:bCs/>
          <w:color w:val="auto"/>
          <w:szCs w:val="21"/>
          <w:lang w:val="en-US" w:eastAsia="zh-CN"/>
        </w:rPr>
        <w:t>2</w:t>
      </w:r>
      <w:r>
        <w:rPr>
          <w:rFonts w:hint="eastAsia" w:ascii="仿宋" w:hAnsi="仿宋" w:eastAsia="仿宋" w:cs="宋体"/>
          <w:bCs/>
          <w:color w:val="auto"/>
          <w:szCs w:val="21"/>
        </w:rPr>
        <w:t>）因供应商原因未对文件校验造成信息缺失、文件内容或格式不正确以及备份文件不符合要求等问题影响评审的，由供应商自行承担相应责任。因供应商原因导致未在辽宁政府采购网</w:t>
      </w:r>
      <w:r>
        <w:rPr>
          <w:rFonts w:hint="eastAsia" w:ascii="仿宋" w:hAnsi="仿宋" w:eastAsia="仿宋" w:cs="宋体"/>
          <w:bCs/>
          <w:color w:val="auto"/>
          <w:szCs w:val="21"/>
          <w:lang w:eastAsia="zh-CN"/>
        </w:rPr>
        <w:t>上传、解密响应</w:t>
      </w:r>
      <w:r>
        <w:rPr>
          <w:rFonts w:hint="eastAsia" w:ascii="仿宋" w:hAnsi="仿宋" w:eastAsia="仿宋" w:cs="宋体"/>
          <w:bCs/>
          <w:color w:val="auto"/>
          <w:szCs w:val="21"/>
        </w:rPr>
        <w:t>文件的按照无效</w:t>
      </w:r>
      <w:r>
        <w:rPr>
          <w:rFonts w:hint="eastAsia" w:ascii="仿宋" w:hAnsi="仿宋" w:eastAsia="仿宋" w:cs="宋体"/>
          <w:bCs/>
          <w:color w:val="auto"/>
          <w:szCs w:val="21"/>
          <w:lang w:eastAsia="zh-CN"/>
        </w:rPr>
        <w:t>响应文件</w:t>
      </w:r>
      <w:r>
        <w:rPr>
          <w:rFonts w:hint="eastAsia" w:ascii="仿宋" w:hAnsi="仿宋" w:eastAsia="仿宋" w:cs="宋体"/>
          <w:bCs/>
          <w:color w:val="auto"/>
          <w:szCs w:val="21"/>
        </w:rPr>
        <w:t>处理。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宋体"/>
          <w:bCs/>
          <w:szCs w:val="21"/>
          <w:lang w:eastAsia="zh-CN"/>
        </w:rPr>
      </w:pPr>
      <w:r>
        <w:rPr>
          <w:rFonts w:hint="eastAsia" w:ascii="仿宋" w:hAnsi="仿宋" w:eastAsia="仿宋" w:cs="宋体"/>
          <w:bCs/>
          <w:szCs w:val="21"/>
        </w:rPr>
        <w:t>十、凡对本次采购提出询问，请按</w:t>
      </w:r>
      <w:r>
        <w:rPr>
          <w:rFonts w:ascii="仿宋" w:hAnsi="仿宋" w:eastAsia="仿宋" w:cs="宋体"/>
          <w:bCs/>
          <w:szCs w:val="21"/>
        </w:rPr>
        <w:t>以下方式</w:t>
      </w:r>
      <w:r>
        <w:rPr>
          <w:rFonts w:hint="eastAsia" w:ascii="仿宋" w:hAnsi="仿宋" w:eastAsia="仿宋" w:cs="宋体"/>
          <w:bCs/>
          <w:szCs w:val="21"/>
        </w:rPr>
        <w:t>联系。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outlineLvl w:val="1"/>
        <w:rPr>
          <w:rFonts w:ascii="仿宋" w:hAnsi="仿宋" w:eastAsia="仿宋" w:cs="宋体"/>
          <w:bCs/>
          <w:szCs w:val="21"/>
        </w:rPr>
      </w:pPr>
      <w:bookmarkStart w:id="4" w:name="_Toc35393637"/>
      <w:bookmarkStart w:id="5" w:name="_Toc28359019"/>
      <w:bookmarkStart w:id="6" w:name="_Toc35393806"/>
      <w:bookmarkStart w:id="7" w:name="_Toc28359096"/>
      <w:r>
        <w:rPr>
          <w:rFonts w:hint="eastAsia" w:ascii="仿宋" w:hAnsi="仿宋" w:eastAsia="仿宋" w:cs="宋体"/>
          <w:bCs/>
          <w:szCs w:val="21"/>
        </w:rPr>
        <w:t>1.采购人信息</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仿宋" w:hAnsi="仿宋" w:eastAsia="仿宋"/>
          <w:szCs w:val="21"/>
          <w:lang w:eastAsia="zh-CN"/>
        </w:rPr>
      </w:pPr>
      <w:r>
        <w:rPr>
          <w:rFonts w:hint="eastAsia" w:ascii="仿宋" w:hAnsi="仿宋" w:eastAsia="仿宋"/>
          <w:szCs w:val="21"/>
        </w:rPr>
        <w:t>名    称：</w:t>
      </w:r>
      <w:r>
        <w:rPr>
          <w:rFonts w:hint="eastAsia" w:ascii="仿宋" w:hAnsi="仿宋" w:eastAsia="仿宋"/>
          <w:szCs w:val="21"/>
          <w:lang w:eastAsia="zh-CN"/>
        </w:rPr>
        <w:t>营口市城乡建设与公用事业中心（营口市人民政府房屋征收管理办公室）</w:t>
      </w:r>
    </w:p>
    <w:p>
      <w:pPr>
        <w:keepNext w:val="0"/>
        <w:keepLines w:val="0"/>
        <w:pageBreakBefore w:val="0"/>
        <w:widowControl w:val="0"/>
        <w:kinsoku/>
        <w:wordWrap/>
        <w:overflowPunct/>
        <w:topLinePunct w:val="0"/>
        <w:autoSpaceDE/>
        <w:autoSpaceDN/>
        <w:bidi w:val="0"/>
        <w:adjustRightInd/>
        <w:snapToGrid/>
        <w:spacing w:line="360" w:lineRule="auto"/>
        <w:ind w:left="1470" w:leftChars="200" w:hanging="1050" w:hangingChars="500"/>
        <w:jc w:val="left"/>
        <w:textAlignment w:val="auto"/>
        <w:rPr>
          <w:rFonts w:ascii="仿宋" w:hAnsi="仿宋" w:eastAsia="仿宋"/>
          <w:szCs w:val="21"/>
        </w:rPr>
      </w:pPr>
      <w:r>
        <w:rPr>
          <w:rFonts w:hint="eastAsia" w:ascii="仿宋" w:hAnsi="仿宋" w:eastAsia="仿宋"/>
          <w:szCs w:val="21"/>
        </w:rPr>
        <w:t>地    址：营口市城乡建设与公用事业中心两处办公楼分别位于营口市站前区市府路北21号、营口市辽河大街东98甲</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default" w:ascii="仿宋" w:hAnsi="仿宋" w:eastAsia="仿宋"/>
          <w:szCs w:val="21"/>
          <w:lang w:val="en-US" w:eastAsia="zh-CN"/>
        </w:rPr>
      </w:pPr>
      <w:r>
        <w:rPr>
          <w:rFonts w:hint="eastAsia" w:ascii="仿宋" w:hAnsi="仿宋" w:eastAsia="仿宋"/>
          <w:szCs w:val="21"/>
        </w:rPr>
        <w:t>联系方式：</w:t>
      </w:r>
      <w:r>
        <w:rPr>
          <w:rFonts w:hint="eastAsia" w:ascii="仿宋" w:hAnsi="仿宋" w:eastAsia="仿宋"/>
          <w:szCs w:val="21"/>
          <w:lang w:val="en-US" w:eastAsia="zh-CN"/>
        </w:rPr>
        <w:t>0417-2827443</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outlineLvl w:val="1"/>
        <w:rPr>
          <w:rFonts w:ascii="仿宋" w:hAnsi="仿宋" w:eastAsia="仿宋" w:cs="宋体"/>
          <w:bCs/>
          <w:szCs w:val="21"/>
        </w:rPr>
      </w:pPr>
      <w:bookmarkStart w:id="8" w:name="_Toc35393638"/>
      <w:bookmarkStart w:id="9" w:name="_Toc28359097"/>
      <w:bookmarkStart w:id="10" w:name="_Toc28359020"/>
      <w:bookmarkStart w:id="11" w:name="_Toc35393807"/>
      <w:r>
        <w:rPr>
          <w:rFonts w:hint="eastAsia" w:ascii="仿宋" w:hAnsi="仿宋" w:eastAsia="仿宋" w:cs="宋体"/>
          <w:bCs/>
          <w:szCs w:val="21"/>
        </w:rPr>
        <w:t>2.采购代理机构信息</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仿宋" w:hAnsi="仿宋" w:eastAsia="仿宋"/>
          <w:szCs w:val="21"/>
        </w:rPr>
      </w:pPr>
      <w:r>
        <w:rPr>
          <w:rFonts w:hint="eastAsia" w:ascii="仿宋" w:hAnsi="仿宋" w:eastAsia="仿宋"/>
          <w:szCs w:val="21"/>
        </w:rPr>
        <w:t>名    称：营口市营商环境建设中心（营口市公共资源交易中心）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ascii="仿宋" w:hAnsi="仿宋" w:eastAsia="仿宋"/>
          <w:szCs w:val="21"/>
        </w:rPr>
      </w:pPr>
      <w:r>
        <w:rPr>
          <w:rFonts w:hint="eastAsia" w:ascii="仿宋" w:hAnsi="仿宋" w:eastAsia="仿宋"/>
          <w:szCs w:val="21"/>
        </w:rPr>
        <w:t>地    址：辽宁省营口市沿海产业基地民生路28号营口市民服务中心三楼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default" w:ascii="仿宋" w:hAnsi="仿宋" w:eastAsia="仿宋"/>
          <w:szCs w:val="21"/>
          <w:u w:val="single"/>
          <w:lang w:val="en-US" w:eastAsia="zh-CN"/>
        </w:rPr>
      </w:pPr>
      <w:r>
        <w:rPr>
          <w:rFonts w:hint="eastAsia" w:ascii="仿宋" w:hAnsi="仿宋" w:eastAsia="仿宋"/>
          <w:szCs w:val="21"/>
        </w:rPr>
        <w:t>联系方式：</w:t>
      </w:r>
      <w:r>
        <w:rPr>
          <w:rFonts w:ascii="仿宋" w:hAnsi="仿宋" w:eastAsia="仿宋"/>
          <w:szCs w:val="21"/>
        </w:rPr>
        <w:t>0417-</w:t>
      </w:r>
      <w:r>
        <w:rPr>
          <w:rFonts w:hint="eastAsia" w:ascii="仿宋" w:hAnsi="仿宋" w:eastAsia="仿宋"/>
          <w:szCs w:val="21"/>
          <w:lang w:val="en-US" w:eastAsia="zh-CN"/>
        </w:rPr>
        <w:t>2972505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ascii="仿宋" w:hAnsi="仿宋" w:eastAsia="仿宋" w:cs="宋体"/>
          <w:bCs/>
          <w:szCs w:val="21"/>
          <w:u w:val="single"/>
        </w:rPr>
      </w:pPr>
      <w:r>
        <w:rPr>
          <w:rFonts w:hint="eastAsia" w:ascii="仿宋" w:hAnsi="仿宋" w:eastAsia="仿宋" w:cs="宋体"/>
          <w:bCs/>
          <w:szCs w:val="21"/>
        </w:rPr>
        <w:t>开 户 行：中国建设银行股份有限公司营口新联大街支行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ascii="仿宋" w:hAnsi="仿宋" w:eastAsia="仿宋" w:cs="宋体"/>
          <w:bCs/>
          <w:szCs w:val="21"/>
        </w:rPr>
      </w:pPr>
      <w:r>
        <w:rPr>
          <w:rFonts w:hint="eastAsia" w:ascii="仿宋" w:hAnsi="仿宋" w:eastAsia="仿宋" w:cs="宋体"/>
          <w:bCs/>
          <w:szCs w:val="21"/>
        </w:rPr>
        <w:t>账户名称：营口市营商环境建设中心（营口市公共资源交易中心）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ascii="仿宋" w:hAnsi="仿宋" w:eastAsia="仿宋" w:cs="宋体"/>
          <w:bCs/>
          <w:szCs w:val="21"/>
        </w:rPr>
      </w:pPr>
      <w:r>
        <w:rPr>
          <w:rFonts w:hint="eastAsia" w:ascii="仿宋" w:hAnsi="仿宋" w:eastAsia="仿宋" w:cs="宋体"/>
          <w:bCs/>
          <w:szCs w:val="21"/>
        </w:rPr>
        <w:t>账    号：2</w:t>
      </w:r>
      <w:r>
        <w:rPr>
          <w:rFonts w:ascii="仿宋" w:hAnsi="仿宋" w:eastAsia="仿宋" w:cs="宋体"/>
          <w:bCs/>
          <w:szCs w:val="21"/>
        </w:rPr>
        <w:t>1050110852100000007</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outlineLvl w:val="1"/>
        <w:rPr>
          <w:rFonts w:ascii="仿宋" w:hAnsi="仿宋" w:eastAsia="仿宋" w:cs="宋体"/>
          <w:bCs/>
          <w:szCs w:val="21"/>
        </w:rPr>
      </w:pPr>
      <w:bookmarkStart w:id="12" w:name="_Toc28359098"/>
      <w:bookmarkStart w:id="13" w:name="_Toc35393639"/>
      <w:bookmarkStart w:id="14" w:name="_Toc28359021"/>
      <w:bookmarkStart w:id="15" w:name="_Toc35393808"/>
      <w:r>
        <w:rPr>
          <w:rFonts w:hint="eastAsia" w:ascii="仿宋" w:hAnsi="仿宋" w:eastAsia="仿宋" w:cs="宋体"/>
          <w:bCs/>
          <w:szCs w:val="21"/>
        </w:rPr>
        <w:t>3.项目联系</w:t>
      </w:r>
      <w:r>
        <w:rPr>
          <w:rFonts w:ascii="仿宋" w:hAnsi="仿宋" w:eastAsia="仿宋" w:cs="宋体"/>
          <w:bCs/>
          <w:szCs w:val="21"/>
        </w:rPr>
        <w:t>方式</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仿宋" w:hAnsi="仿宋" w:eastAsia="仿宋"/>
          <w:szCs w:val="21"/>
          <w:lang w:eastAsia="zh-CN"/>
        </w:rPr>
      </w:pPr>
      <w:r>
        <w:rPr>
          <w:rFonts w:hint="eastAsia" w:ascii="仿宋" w:hAnsi="仿宋" w:eastAsia="仿宋"/>
          <w:szCs w:val="21"/>
        </w:rPr>
        <w:t>项目联系人：</w:t>
      </w:r>
      <w:r>
        <w:rPr>
          <w:rFonts w:hint="eastAsia" w:ascii="仿宋" w:hAnsi="仿宋" w:eastAsia="仿宋"/>
          <w:szCs w:val="21"/>
          <w:lang w:eastAsia="zh-CN"/>
        </w:rPr>
        <w:t>伊先生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default" w:ascii="仿宋" w:hAnsi="仿宋" w:eastAsia="仿宋"/>
          <w:szCs w:val="21"/>
          <w:lang w:val="en-US" w:eastAsia="zh-CN"/>
        </w:rPr>
      </w:pPr>
      <w:r>
        <w:rPr>
          <w:rFonts w:hint="eastAsia" w:ascii="仿宋" w:hAnsi="仿宋" w:eastAsia="仿宋"/>
          <w:szCs w:val="21"/>
        </w:rPr>
        <w:t>电　　</w:t>
      </w:r>
      <w:r>
        <w:rPr>
          <w:rFonts w:hint="eastAsia" w:ascii="仿宋" w:hAnsi="仿宋" w:eastAsia="仿宋"/>
          <w:szCs w:val="21"/>
          <w:lang w:val="en-US" w:eastAsia="zh-CN"/>
        </w:rPr>
        <w:t xml:space="preserve"> </w:t>
      </w:r>
      <w:r>
        <w:rPr>
          <w:rFonts w:hint="eastAsia" w:ascii="仿宋" w:hAnsi="仿宋" w:eastAsia="仿宋"/>
          <w:szCs w:val="21"/>
        </w:rPr>
        <w:t xml:space="preserve"> 话：0417-</w:t>
      </w:r>
      <w:r>
        <w:rPr>
          <w:rFonts w:hint="eastAsia" w:ascii="仿宋" w:hAnsi="仿宋" w:eastAsia="仿宋"/>
          <w:szCs w:val="21"/>
          <w:lang w:val="en-US" w:eastAsia="zh-CN"/>
        </w:rPr>
        <w:t>2972505</w:t>
      </w:r>
    </w:p>
    <w:p>
      <w:pPr>
        <w:pStyle w:val="2"/>
        <w:adjustRightInd w:val="0"/>
        <w:snapToGrid w:val="0"/>
        <w:spacing w:before="319" w:beforeLines="100" w:after="319" w:afterLines="100" w:line="360" w:lineRule="auto"/>
        <w:jc w:val="center"/>
        <w:rPr>
          <w:rFonts w:hint="eastAsia" w:ascii="仿宋_GB2312" w:hAnsi="仿宋_GB2312" w:eastAsia="仿宋_GB2312" w:cs="仿宋_GB2312"/>
        </w:rPr>
      </w:pPr>
      <w:r>
        <w:rPr>
          <w:rFonts w:hint="eastAsia" w:ascii="仿宋_GB2312" w:hAnsi="仿宋_GB2312" w:eastAsia="仿宋_GB2312" w:cs="仿宋_GB2312"/>
        </w:rPr>
        <w:br w:type="page"/>
      </w:r>
      <w:r>
        <w:rPr>
          <w:rFonts w:hint="eastAsia" w:ascii="仿宋_GB2312" w:hAnsi="仿宋_GB2312" w:eastAsia="仿宋_GB2312" w:cs="仿宋_GB2312"/>
        </w:rPr>
        <w:t>第一章 供应商须知</w:t>
      </w:r>
      <w:bookmarkEnd w:id="2"/>
      <w:bookmarkEnd w:id="3"/>
    </w:p>
    <w:p>
      <w:pPr>
        <w:pStyle w:val="3"/>
        <w:adjustRightInd w:val="0"/>
        <w:snapToGrid w:val="0"/>
        <w:spacing w:before="0" w:after="0" w:line="360" w:lineRule="auto"/>
        <w:jc w:val="center"/>
        <w:rPr>
          <w:rFonts w:hint="eastAsia" w:ascii="仿宋_GB2312" w:hAnsi="仿宋_GB2312" w:eastAsia="仿宋_GB2312" w:cs="仿宋_GB2312"/>
        </w:rPr>
      </w:pPr>
      <w:bookmarkStart w:id="16" w:name="_Toc4485618"/>
      <w:bookmarkStart w:id="17" w:name="_Toc533340139"/>
      <w:r>
        <w:rPr>
          <w:rFonts w:hint="eastAsia" w:ascii="仿宋_GB2312" w:hAnsi="仿宋_GB2312" w:eastAsia="仿宋_GB2312" w:cs="仿宋_GB2312"/>
        </w:rPr>
        <w:t>一 供应商须知表</w:t>
      </w:r>
      <w:bookmarkEnd w:id="16"/>
      <w:bookmarkEnd w:id="17"/>
    </w:p>
    <w:tbl>
      <w:tblPr>
        <w:tblStyle w:val="16"/>
        <w:tblW w:w="8787" w:type="dxa"/>
        <w:jc w:val="center"/>
        <w:tblLayout w:type="fixed"/>
        <w:tblCellMar>
          <w:top w:w="0" w:type="dxa"/>
          <w:left w:w="108" w:type="dxa"/>
          <w:bottom w:w="0" w:type="dxa"/>
          <w:right w:w="108" w:type="dxa"/>
        </w:tblCellMar>
      </w:tblPr>
      <w:tblGrid>
        <w:gridCol w:w="885"/>
        <w:gridCol w:w="1544"/>
        <w:gridCol w:w="6358"/>
      </w:tblGrid>
      <w:tr>
        <w:tblPrEx>
          <w:tblCellMar>
            <w:top w:w="0" w:type="dxa"/>
            <w:left w:w="108" w:type="dxa"/>
            <w:bottom w:w="0" w:type="dxa"/>
            <w:right w:w="108" w:type="dxa"/>
          </w:tblCellMar>
        </w:tblPrEx>
        <w:trPr>
          <w:trHeight w:val="442" w:hRule="atLeast"/>
          <w:tblHeader/>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bookmarkStart w:id="18" w:name="招标项目基本内容及要求其他：Block"/>
            <w:bookmarkEnd w:id="18"/>
            <w:bookmarkStart w:id="19" w:name="招标项目基本内容及要求：Block"/>
            <w:bookmarkEnd w:id="19"/>
            <w:bookmarkStart w:id="20" w:name="sys_招标项目基本内容及要求：Block"/>
            <w:bookmarkEnd w:id="20"/>
            <w:bookmarkStart w:id="21" w:name="sys_招标项目基本内容及要求其他：Block"/>
            <w:bookmarkEnd w:id="21"/>
            <w:r>
              <w:rPr>
                <w:rFonts w:hint="eastAsia" w:ascii="仿宋_GB2312" w:hAnsi="仿宋_GB2312" w:eastAsia="仿宋_GB2312" w:cs="仿宋_GB2312"/>
                <w:kern w:val="0"/>
                <w:szCs w:val="21"/>
              </w:rPr>
              <w:t>条款号</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项   目</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内     容</w:t>
            </w:r>
          </w:p>
        </w:tc>
      </w:tr>
      <w:tr>
        <w:tblPrEx>
          <w:tblCellMar>
            <w:top w:w="0" w:type="dxa"/>
            <w:left w:w="108" w:type="dxa"/>
            <w:bottom w:w="0" w:type="dxa"/>
            <w:right w:w="108" w:type="dxa"/>
          </w:tblCellMar>
        </w:tblPrEx>
        <w:trPr>
          <w:trHeight w:val="1193"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widowControl/>
              <w:ind w:left="840" w:hanging="840" w:hangingChars="400"/>
              <w:jc w:val="left"/>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rPr>
              <w:t xml:space="preserve"> 营口市城乡建设与公用事业中心（营口市人民政府房屋征收管理办公室）</w:t>
            </w:r>
          </w:p>
          <w:p>
            <w:pPr>
              <w:widowControl/>
              <w:jc w:val="left"/>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rPr>
              <w:t xml:space="preserve">营口市站前区市府路北21号、营口市辽河大街东98甲               </w:t>
            </w:r>
          </w:p>
          <w:p>
            <w:pPr>
              <w:widowControl/>
              <w:jc w:val="left"/>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eastAsia="zh-CN"/>
              </w:rPr>
              <w:t>孙先生</w:t>
            </w:r>
          </w:p>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val="en-US" w:eastAsia="zh-CN"/>
              </w:rPr>
              <w:t>0417-2827443</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00"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采购代理机构</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rPr>
              <w:t>营口市营商环境建设中心（营口市公共资源交易中心）</w:t>
            </w:r>
          </w:p>
          <w:p>
            <w:pPr>
              <w:widowControl/>
              <w:ind w:left="735" w:hanging="735" w:hangingChars="350"/>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rPr>
              <w:t>辽宁省营口市沿海产业基地民生路28号营口市民服务中心三楼</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eastAsia="zh-CN"/>
              </w:rPr>
              <w:t>伊先生</w:t>
            </w:r>
            <w:r>
              <w:rPr>
                <w:rFonts w:hint="eastAsia" w:ascii="仿宋_GB2312" w:hAnsi="仿宋_GB2312" w:eastAsia="仿宋_GB2312" w:cs="仿宋_GB2312"/>
                <w:kern w:val="0"/>
                <w:szCs w:val="21"/>
                <w:u w:val="single"/>
              </w:rPr>
              <w:t xml:space="preserve"> </w:t>
            </w:r>
          </w:p>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0417-</w:t>
            </w:r>
            <w:r>
              <w:rPr>
                <w:rFonts w:hint="eastAsia" w:ascii="仿宋_GB2312" w:hAnsi="仿宋_GB2312" w:eastAsia="仿宋_GB2312" w:cs="仿宋_GB2312"/>
                <w:kern w:val="0"/>
                <w:szCs w:val="21"/>
                <w:u w:val="single"/>
                <w:lang w:val="en-US" w:eastAsia="zh-CN"/>
              </w:rPr>
              <w:t>2972505</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00"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1.3.4</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无</w:t>
            </w:r>
          </w:p>
        </w:tc>
      </w:tr>
      <w:tr>
        <w:tblPrEx>
          <w:tblCellMar>
            <w:top w:w="0" w:type="dxa"/>
            <w:left w:w="108" w:type="dxa"/>
            <w:bottom w:w="0" w:type="dxa"/>
            <w:right w:w="108" w:type="dxa"/>
          </w:tblCellMar>
        </w:tblPrEx>
        <w:trPr>
          <w:trHeight w:val="300"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1.3.5</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_GB2312" w:hAnsi="仿宋_GB2312" w:eastAsia="仿宋_GB2312" w:cs="仿宋_GB2312"/>
                <w:bCs/>
                <w:kern w:val="0"/>
                <w:szCs w:val="21"/>
              </w:rPr>
            </w:pPr>
            <w:r>
              <w:rPr>
                <w:rFonts w:hint="eastAsia" w:ascii="仿宋_GB2312" w:hAnsi="仿宋_GB2312" w:eastAsia="仿宋_GB2312" w:cs="仿宋_GB2312"/>
                <w:kern w:val="0"/>
                <w:szCs w:val="21"/>
              </w:rPr>
              <w:t>是否为专门面向</w:t>
            </w:r>
            <w:r>
              <w:rPr>
                <w:rFonts w:hint="eastAsia" w:ascii="仿宋_GB2312" w:hAnsi="仿宋_GB2312" w:eastAsia="仿宋_GB2312" w:cs="仿宋_GB2312"/>
                <w:szCs w:val="21"/>
              </w:rPr>
              <w:t>中小企业</w:t>
            </w:r>
            <w:r>
              <w:rPr>
                <w:rFonts w:hint="eastAsia" w:ascii="仿宋_GB2312" w:hAnsi="仿宋_GB2312" w:eastAsia="仿宋_GB2312" w:cs="仿宋_GB2312"/>
                <w:kern w:val="0"/>
                <w:szCs w:val="21"/>
              </w:rPr>
              <w:t>采购</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是</w:t>
            </w:r>
          </w:p>
          <w:p>
            <w:pPr>
              <w:rPr>
                <w:rFonts w:hint="eastAsia"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300"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1.3.6</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是否有政府强制采购的节能产品</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有，具体产品为</w:t>
            </w:r>
            <w:r>
              <w:rPr>
                <w:rFonts w:hint="eastAsia" w:ascii="仿宋_GB2312" w:hAnsi="仿宋_GB2312" w:eastAsia="仿宋_GB2312" w:cs="仿宋_GB2312"/>
                <w:bCs/>
                <w:kern w:val="0"/>
                <w:szCs w:val="21"/>
                <w:u w:val="single"/>
              </w:rPr>
              <w:t xml:space="preserve">        </w:t>
            </w:r>
          </w:p>
          <w:p>
            <w:pPr>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449"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jc w:val="center"/>
              <w:rPr>
                <w:rFonts w:hint="eastAsia" w:ascii="仿宋_GB2312" w:hAnsi="仿宋_GB2312" w:eastAsia="仿宋_GB2312" w:cs="仿宋_GB2312"/>
                <w:szCs w:val="21"/>
              </w:rPr>
            </w:pPr>
            <w:r>
              <w:rPr>
                <w:rFonts w:hint="eastAsia" w:ascii="仿宋_GB2312" w:hAnsi="仿宋_GB2312" w:eastAsia="仿宋_GB2312" w:cs="仿宋_GB2312"/>
                <w:bCs/>
                <w:kern w:val="0"/>
                <w:szCs w:val="21"/>
              </w:rPr>
              <w:t>是否允许联合体参加政府采购活动</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936"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项目预算金额、最高限价</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预算金额：</w:t>
            </w:r>
            <w:r>
              <w:rPr>
                <w:rFonts w:hint="eastAsia" w:ascii="仿宋_GB2312" w:hAnsi="仿宋_GB2312" w:eastAsia="仿宋_GB2312" w:cs="仿宋_GB2312"/>
                <w:bCs/>
                <w:kern w:val="0"/>
                <w:szCs w:val="21"/>
                <w:u w:val="single"/>
              </w:rPr>
              <w:t xml:space="preserve"> </w:t>
            </w:r>
            <w:r>
              <w:rPr>
                <w:rFonts w:hint="eastAsia" w:ascii="仿宋_GB2312" w:hAnsi="仿宋_GB2312" w:eastAsia="仿宋_GB2312" w:cs="仿宋_GB2312"/>
                <w:bCs/>
                <w:kern w:val="0"/>
                <w:szCs w:val="21"/>
                <w:u w:val="single"/>
                <w:lang w:val="en-US" w:eastAsia="zh-CN"/>
              </w:rPr>
              <w:t>500，000.00</w:t>
            </w:r>
            <w:r>
              <w:rPr>
                <w:rFonts w:hint="eastAsia" w:ascii="仿宋_GB2312" w:hAnsi="仿宋_GB2312" w:eastAsia="仿宋_GB2312" w:cs="仿宋_GB2312"/>
                <w:bCs/>
                <w:kern w:val="0"/>
                <w:szCs w:val="21"/>
                <w:u w:val="single"/>
              </w:rPr>
              <w:t xml:space="preserve">   </w:t>
            </w:r>
            <w:r>
              <w:rPr>
                <w:rFonts w:hint="eastAsia" w:ascii="仿宋_GB2312" w:hAnsi="仿宋_GB2312" w:eastAsia="仿宋_GB2312" w:cs="仿宋_GB2312"/>
                <w:bCs/>
                <w:kern w:val="0"/>
                <w:szCs w:val="21"/>
              </w:rPr>
              <w:t>元</w:t>
            </w:r>
          </w:p>
          <w:p>
            <w:pP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最高限价：</w:t>
            </w:r>
            <w:r>
              <w:rPr>
                <w:rFonts w:hint="eastAsia" w:ascii="仿宋_GB2312" w:hAnsi="仿宋_GB2312" w:eastAsia="仿宋_GB2312" w:cs="仿宋_GB2312"/>
                <w:bCs/>
                <w:kern w:val="0"/>
                <w:szCs w:val="21"/>
                <w:u w:val="single"/>
              </w:rPr>
              <w:t xml:space="preserve"> </w:t>
            </w:r>
            <w:r>
              <w:rPr>
                <w:rFonts w:hint="eastAsia" w:ascii="仿宋_GB2312" w:hAnsi="仿宋_GB2312" w:eastAsia="仿宋_GB2312" w:cs="仿宋_GB2312"/>
                <w:bCs/>
                <w:kern w:val="0"/>
                <w:szCs w:val="21"/>
                <w:u w:val="single"/>
                <w:lang w:val="en-US" w:eastAsia="zh-CN"/>
              </w:rPr>
              <w:t>500，000.00</w:t>
            </w:r>
            <w:r>
              <w:rPr>
                <w:rFonts w:hint="eastAsia" w:ascii="仿宋_GB2312" w:hAnsi="仿宋_GB2312" w:eastAsia="仿宋_GB2312" w:cs="仿宋_GB2312"/>
                <w:bCs/>
                <w:kern w:val="0"/>
                <w:szCs w:val="21"/>
                <w:u w:val="single"/>
              </w:rPr>
              <w:t xml:space="preserve">   </w:t>
            </w:r>
            <w:r>
              <w:rPr>
                <w:rFonts w:hint="eastAsia" w:ascii="仿宋_GB2312" w:hAnsi="仿宋_GB2312" w:eastAsia="仿宋_GB2312" w:cs="仿宋_GB2312"/>
                <w:bCs/>
                <w:kern w:val="0"/>
                <w:szCs w:val="21"/>
              </w:rPr>
              <w:t>元</w:t>
            </w:r>
          </w:p>
        </w:tc>
      </w:tr>
      <w:tr>
        <w:tblPrEx>
          <w:tblCellMar>
            <w:top w:w="0" w:type="dxa"/>
            <w:left w:w="108" w:type="dxa"/>
            <w:bottom w:w="0" w:type="dxa"/>
            <w:right w:w="108" w:type="dxa"/>
          </w:tblCellMar>
        </w:tblPrEx>
        <w:trPr>
          <w:trHeight w:val="300"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计量单位</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kern w:val="0"/>
                <w:szCs w:val="21"/>
              </w:rPr>
            </w:pPr>
            <w:r>
              <w:rPr>
                <w:rFonts w:hint="eastAsia" w:ascii="仿宋_GB2312" w:hAnsi="仿宋_GB2312" w:eastAsia="仿宋_GB2312" w:cs="仿宋_GB2312"/>
              </w:rPr>
              <w:t>■</w:t>
            </w:r>
            <w:r>
              <w:rPr>
                <w:rFonts w:hint="eastAsia" w:ascii="仿宋_GB2312" w:hAnsi="仿宋_GB2312" w:eastAsia="仿宋_GB2312" w:cs="仿宋_GB2312"/>
                <w:bCs/>
                <w:kern w:val="0"/>
                <w:szCs w:val="21"/>
              </w:rPr>
              <w:t>中华人民共和国法定计量单位</w:t>
            </w:r>
          </w:p>
          <w:p>
            <w:pP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sym w:font="Wingdings 2" w:char="00A3"/>
            </w:r>
            <w:r>
              <w:rPr>
                <w:rFonts w:hint="eastAsia" w:ascii="仿宋_GB2312" w:hAnsi="仿宋_GB2312" w:eastAsia="仿宋_GB2312" w:cs="仿宋_GB2312"/>
                <w:bCs/>
                <w:kern w:val="0"/>
                <w:szCs w:val="21"/>
              </w:rPr>
              <w:t>其他：</w:t>
            </w:r>
            <w:r>
              <w:rPr>
                <w:rFonts w:hint="eastAsia" w:ascii="仿宋_GB2312" w:hAnsi="仿宋_GB2312" w:eastAsia="仿宋_GB2312" w:cs="仿宋_GB2312"/>
                <w:bCs/>
                <w:kern w:val="0"/>
                <w:szCs w:val="21"/>
                <w:u w:val="single"/>
              </w:rPr>
              <w:t xml:space="preserve">             </w:t>
            </w:r>
          </w:p>
        </w:tc>
      </w:tr>
      <w:tr>
        <w:tblPrEx>
          <w:tblCellMar>
            <w:top w:w="0" w:type="dxa"/>
            <w:left w:w="108" w:type="dxa"/>
            <w:bottom w:w="0" w:type="dxa"/>
            <w:right w:w="108" w:type="dxa"/>
          </w:tblCellMar>
        </w:tblPrEx>
        <w:trPr>
          <w:trHeight w:val="300"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现场考察、磋商前答疑会</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不组织</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组织，时  间：</w:t>
            </w:r>
            <w:r>
              <w:rPr>
                <w:rFonts w:hint="eastAsia" w:ascii="仿宋_GB2312" w:hAnsi="仿宋_GB2312" w:eastAsia="仿宋_GB2312" w:cs="仿宋_GB2312"/>
                <w:bCs/>
                <w:kern w:val="0"/>
                <w:szCs w:val="21"/>
                <w:u w:val="single"/>
              </w:rPr>
              <w:t xml:space="preserve">         </w:t>
            </w:r>
          </w:p>
          <w:p>
            <w:pPr>
              <w:widowControl/>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地  点：</w:t>
            </w:r>
            <w:r>
              <w:rPr>
                <w:rFonts w:hint="eastAsia"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联系人：</w:t>
            </w:r>
            <w:r>
              <w:rPr>
                <w:rFonts w:hint="eastAsia"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bCs/>
                <w:kern w:val="0"/>
                <w:szCs w:val="21"/>
                <w:u w:val="single"/>
              </w:rPr>
              <w:t xml:space="preserve">         </w:t>
            </w:r>
          </w:p>
          <w:p>
            <w:p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组织，采购文件提供期限截止后以书面形式通知。</w:t>
            </w:r>
          </w:p>
        </w:tc>
      </w:tr>
      <w:tr>
        <w:tblPrEx>
          <w:tblCellMar>
            <w:top w:w="0" w:type="dxa"/>
            <w:left w:w="108" w:type="dxa"/>
            <w:bottom w:w="0" w:type="dxa"/>
            <w:right w:w="108" w:type="dxa"/>
          </w:tblCellMar>
        </w:tblPrEx>
        <w:trPr>
          <w:trHeight w:val="3063"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11.3</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需要提供样品</w:t>
            </w:r>
          </w:p>
          <w:p>
            <w:pPr>
              <w:rPr>
                <w:rFonts w:hint="eastAsia"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bCs/>
                <w:kern w:val="0"/>
                <w:szCs w:val="21"/>
              </w:rPr>
              <w:t>需要提供样品</w:t>
            </w:r>
          </w:p>
          <w:p>
            <w:pPr>
              <w:ind w:firstLine="210" w:firstLineChars="100"/>
              <w:rPr>
                <w:rFonts w:hint="eastAsia" w:ascii="仿宋_GB2312" w:hAnsi="仿宋_GB2312" w:eastAsia="仿宋_GB2312" w:cs="仿宋_GB2312"/>
                <w:bCs/>
                <w:kern w:val="0"/>
                <w:szCs w:val="21"/>
              </w:rPr>
            </w:pPr>
            <w:r>
              <w:rPr>
                <w:rFonts w:hint="eastAsia" w:ascii="仿宋_GB2312" w:hAnsi="仿宋_GB2312" w:eastAsia="仿宋_GB2312" w:cs="仿宋_GB2312"/>
                <w:kern w:val="0"/>
                <w:szCs w:val="21"/>
              </w:rPr>
              <w:t>1、递交</w:t>
            </w:r>
            <w:r>
              <w:rPr>
                <w:rFonts w:hint="eastAsia" w:ascii="仿宋_GB2312" w:hAnsi="仿宋_GB2312" w:eastAsia="仿宋_GB2312" w:cs="仿宋_GB2312"/>
                <w:bCs/>
                <w:kern w:val="0"/>
                <w:szCs w:val="21"/>
              </w:rPr>
              <w:t>样品的截止时间：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月</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日</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时</w:t>
            </w:r>
            <w:r>
              <w:rPr>
                <w:rFonts w:hint="eastAsia" w:ascii="仿宋_GB2312" w:hAnsi="仿宋_GB2312" w:eastAsia="仿宋_GB2312" w:cs="仿宋_GB2312"/>
                <w:bCs/>
                <w:kern w:val="0"/>
                <w:szCs w:val="21"/>
              </w:rPr>
              <w:t>（北京时间）</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递交样品地点：</w:t>
            </w:r>
            <w:r>
              <w:rPr>
                <w:rFonts w:hint="eastAsia"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递交样品联系人：</w:t>
            </w:r>
            <w:r>
              <w:rPr>
                <w:rFonts w:hint="eastAsia"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递交样品联系电话：</w:t>
            </w:r>
            <w:r>
              <w:rPr>
                <w:rFonts w:hint="eastAsia" w:ascii="仿宋_GB2312" w:hAnsi="仿宋_GB2312" w:eastAsia="仿宋_GB2312" w:cs="仿宋_GB2312"/>
                <w:kern w:val="0"/>
                <w:szCs w:val="21"/>
                <w:u w:val="single"/>
              </w:rPr>
              <w:t xml:space="preserve">                 </w:t>
            </w:r>
          </w:p>
          <w:p>
            <w:pPr>
              <w:ind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2、样品制作的标准和要求：</w:t>
            </w:r>
          </w:p>
          <w:p>
            <w:pPr>
              <w:ind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3、随样品提交相关检测报告要求：</w:t>
            </w:r>
          </w:p>
          <w:p>
            <w:pPr>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（包含是否要求提供、检测机构要求、检测内容等）</w:t>
            </w:r>
          </w:p>
          <w:p>
            <w:pPr>
              <w:numPr>
                <w:ilvl w:val="0"/>
                <w:numId w:val="2"/>
              </w:num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pPr>
              <w:ind w:left="210"/>
              <w:rPr>
                <w:rFonts w:hint="eastAsia" w:ascii="仿宋_GB2312" w:hAnsi="仿宋_GB2312" w:eastAsia="仿宋_GB2312" w:cs="仿宋_GB2312"/>
                <w:kern w:val="0"/>
                <w:szCs w:val="21"/>
              </w:rPr>
            </w:pPr>
          </w:p>
          <w:p>
            <w:pPr>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p>
            <w:pPr>
              <w:rPr>
                <w:rFonts w:hint="eastAsia"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提供演示</w:t>
            </w:r>
          </w:p>
          <w:p>
            <w:pPr>
              <w:ind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1、演示时间：</w:t>
            </w:r>
            <w:r>
              <w:rPr>
                <w:rFonts w:hint="eastAsia" w:ascii="仿宋_GB2312" w:hAnsi="仿宋_GB2312" w:eastAsia="仿宋_GB2312" w:cs="仿宋_GB2312"/>
                <w:kern w:val="0"/>
                <w:szCs w:val="21"/>
                <w:u w:val="single"/>
              </w:rPr>
              <w:t xml:space="preserve">             </w:t>
            </w:r>
          </w:p>
          <w:p>
            <w:p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演示地点：</w:t>
            </w:r>
            <w:r>
              <w:rPr>
                <w:rFonts w:hint="eastAsia" w:ascii="仿宋_GB2312" w:hAnsi="仿宋_GB2312" w:eastAsia="仿宋_GB2312" w:cs="仿宋_GB2312"/>
                <w:kern w:val="0"/>
                <w:szCs w:val="21"/>
                <w:u w:val="single"/>
              </w:rPr>
              <w:t xml:space="preserve">             </w:t>
            </w:r>
          </w:p>
          <w:p>
            <w:pPr>
              <w:ind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演示顺序：</w:t>
            </w:r>
            <w:r>
              <w:rPr>
                <w:rFonts w:hint="eastAsia" w:ascii="仿宋_GB2312" w:hAnsi="仿宋_GB2312" w:eastAsia="仿宋_GB2312" w:cs="仿宋_GB2312"/>
                <w:kern w:val="0"/>
                <w:szCs w:val="21"/>
                <w:u w:val="single"/>
              </w:rPr>
              <w:t xml:space="preserve">             </w:t>
            </w:r>
          </w:p>
          <w:p>
            <w:pPr>
              <w:ind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2、演示要求：</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（内容、设备等要求）</w:t>
            </w:r>
          </w:p>
        </w:tc>
      </w:tr>
      <w:tr>
        <w:tblPrEx>
          <w:tblCellMar>
            <w:top w:w="0" w:type="dxa"/>
            <w:left w:w="108" w:type="dxa"/>
            <w:bottom w:w="0" w:type="dxa"/>
            <w:right w:w="108" w:type="dxa"/>
          </w:tblCellMar>
        </w:tblPrEx>
        <w:trPr>
          <w:trHeight w:val="579"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12.1</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响应报价货币要求</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所有响应文件中均按</w:t>
            </w:r>
            <w:r>
              <w:rPr>
                <w:rFonts w:hint="eastAsia" w:ascii="仿宋_GB2312" w:hAnsi="仿宋_GB2312" w:eastAsia="仿宋_GB2312" w:cs="仿宋_GB2312"/>
                <w:kern w:val="0"/>
                <w:szCs w:val="21"/>
                <w:u w:val="single"/>
              </w:rPr>
              <w:t>人民币</w:t>
            </w:r>
            <w:r>
              <w:rPr>
                <w:rFonts w:hint="eastAsia" w:ascii="仿宋_GB2312" w:hAnsi="仿宋_GB2312" w:eastAsia="仿宋_GB2312" w:cs="仿宋_GB2312"/>
                <w:kern w:val="0"/>
                <w:szCs w:val="21"/>
              </w:rPr>
              <w:t>货币进行报价。</w:t>
            </w:r>
          </w:p>
          <w:p>
            <w:pPr>
              <w:ind w:firstLine="210" w:firstLineChars="100"/>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其它：</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14" w:hRule="atLeast"/>
          <w:jc w:val="center"/>
        </w:trPr>
        <w:tc>
          <w:tcPr>
            <w:tcW w:w="885" w:type="dxa"/>
            <w:tcBorders>
              <w:top w:val="single" w:color="auto" w:sz="4" w:space="0"/>
              <w:left w:val="single" w:color="auto" w:sz="8" w:space="0"/>
              <w:bottom w:val="single" w:color="auto" w:sz="8"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13.1</w:t>
            </w:r>
          </w:p>
        </w:tc>
        <w:tc>
          <w:tcPr>
            <w:tcW w:w="1544" w:type="dxa"/>
            <w:tcBorders>
              <w:top w:val="single" w:color="auto" w:sz="4" w:space="0"/>
              <w:left w:val="single" w:color="auto" w:sz="4" w:space="0"/>
              <w:bottom w:val="single" w:color="auto" w:sz="8" w:space="0"/>
              <w:right w:val="single" w:color="auto" w:sz="8"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磋商保证金</w:t>
            </w:r>
          </w:p>
        </w:tc>
        <w:tc>
          <w:tcPr>
            <w:tcW w:w="6358" w:type="dxa"/>
            <w:tcBorders>
              <w:top w:val="single" w:color="auto" w:sz="4" w:space="0"/>
              <w:left w:val="nil"/>
              <w:bottom w:val="single" w:color="auto" w:sz="8" w:space="0"/>
              <w:right w:val="single" w:color="auto" w:sz="8" w:space="0"/>
            </w:tcBorders>
            <w:noWrap w:val="0"/>
            <w:vAlign w:val="center"/>
          </w:tcPr>
          <w:p>
            <w:pPr>
              <w:pStyle w:val="5"/>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1、磋商保证金金额：</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val="en-US" w:eastAsia="zh-CN"/>
              </w:rPr>
              <w:t>0</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元</w:t>
            </w:r>
          </w:p>
          <w:p>
            <w:pPr>
              <w:pStyle w:val="5"/>
              <w:rPr>
                <w:rFonts w:hint="eastAsia" w:ascii="仿宋_GB2312" w:hAnsi="仿宋_GB2312" w:eastAsia="仿宋_GB2312" w:cs="仿宋_GB2312"/>
                <w:szCs w:val="21"/>
                <w:u w:val="single"/>
              </w:rPr>
            </w:pPr>
            <w:r>
              <w:rPr>
                <w:rFonts w:hint="eastAsia" w:ascii="仿宋_GB2312" w:hAnsi="仿宋_GB2312" w:eastAsia="仿宋_GB2312" w:cs="仿宋_GB2312"/>
                <w:szCs w:val="21"/>
              </w:rPr>
              <w:t>2、磋商保证金到账时间：</w:t>
            </w:r>
            <w:r>
              <w:rPr>
                <w:rFonts w:hint="eastAsia" w:ascii="仿宋_GB2312" w:hAnsi="仿宋_GB2312" w:eastAsia="仿宋_GB2312" w:cs="仿宋_GB2312"/>
                <w:kern w:val="0"/>
                <w:szCs w:val="21"/>
                <w:u w:val="single"/>
              </w:rPr>
              <w:t>递交响应文件截止时间前</w:t>
            </w:r>
          </w:p>
          <w:p>
            <w:pPr>
              <w:jc w:val="left"/>
              <w:rPr>
                <w:rFonts w:ascii="仿宋_GB2312" w:hAnsi="仿宋_GB2312" w:eastAsia="仿宋_GB2312" w:cs="仿宋_GB2312"/>
                <w:kern w:val="0"/>
                <w:szCs w:val="21"/>
                <w:u w:val="single"/>
              </w:rPr>
            </w:pPr>
            <w:r>
              <w:rPr>
                <w:rFonts w:hint="eastAsia" w:ascii="仿宋_GB2312" w:hAnsi="仿宋_GB2312" w:eastAsia="仿宋_GB2312" w:cs="仿宋_GB2312"/>
                <w:szCs w:val="21"/>
              </w:rPr>
              <w:t>3、磋商保证金缴纳方式：</w:t>
            </w:r>
            <w:r>
              <w:rPr>
                <w:rFonts w:hint="eastAsia" w:ascii="仿宋_GB2312" w:hAnsi="仿宋_GB2312" w:eastAsia="仿宋_GB2312" w:cs="仿宋_GB2312"/>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rPr>
              <w:t>■</w:t>
            </w:r>
            <w:r>
              <w:rPr>
                <w:rFonts w:hint="eastAsia" w:ascii="仿宋_GB2312" w:hAnsi="仿宋_GB2312" w:eastAsia="仿宋_GB2312" w:cs="仿宋_GB2312"/>
                <w:szCs w:val="21"/>
              </w:rPr>
              <w:t xml:space="preserve">电汇 </w:t>
            </w:r>
            <w:r>
              <w:rPr>
                <w:rFonts w:ascii="仿宋_GB2312" w:hAnsi="仿宋_GB2312" w:eastAsia="仿宋_GB2312" w:cs="仿宋_GB2312"/>
                <w:szCs w:val="21"/>
              </w:rPr>
              <w:t xml:space="preserve"> </w:t>
            </w:r>
            <w:r>
              <w:rPr>
                <w:rFonts w:hint="eastAsia" w:ascii="仿宋_GB2312" w:hAnsi="仿宋_GB2312" w:eastAsia="仿宋_GB2312" w:cs="仿宋_GB2312"/>
                <w:szCs w:val="21"/>
              </w:rPr>
              <w:t>□其他</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保证金收款人银行信息：</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w:t>
            </w:r>
            <w:r>
              <w:rPr>
                <w:rFonts w:hint="eastAsia" w:ascii="仿宋" w:hAnsi="仿宋" w:eastAsia="仿宋" w:cs="宋体"/>
                <w:bCs/>
                <w:szCs w:val="21"/>
              </w:rPr>
              <w:t>账户名称</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营口市营商环境建设中心（营口市公共资源交易中心）</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行：</w:t>
            </w:r>
            <w:r>
              <w:rPr>
                <w:rFonts w:hint="eastAsia" w:ascii="仿宋_GB2312" w:hAnsi="仿宋_GB2312" w:eastAsia="仿宋_GB2312" w:cs="仿宋_GB2312"/>
                <w:kern w:val="0"/>
                <w:szCs w:val="21"/>
                <w:u w:val="single"/>
              </w:rPr>
              <w:t>中国建设银行股份有限公司营口新联大街支行</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21050110852100000007</w:t>
            </w:r>
          </w:p>
          <w:p>
            <w:pPr>
              <w:rPr>
                <w:rFonts w:ascii="仿宋_GB2312" w:hAnsi="仿宋_GB2312" w:eastAsia="仿宋_GB2312" w:cs="仿宋_GB2312"/>
                <w:kern w:val="0"/>
                <w:szCs w:val="21"/>
                <w:u w:val="single"/>
              </w:rPr>
            </w:pPr>
            <w:r>
              <w:rPr>
                <w:rFonts w:hint="eastAsia" w:ascii="仿宋_GB2312" w:hAnsi="仿宋_GB2312" w:eastAsia="仿宋_GB2312" w:cs="仿宋_GB2312"/>
                <w:szCs w:val="21"/>
              </w:rPr>
              <w:t>4、保证金退还方式：</w:t>
            </w:r>
            <w:r>
              <w:rPr>
                <w:rFonts w:hint="eastAsia" w:ascii="仿宋_GB2312" w:hAnsi="仿宋_GB2312" w:eastAsia="仿宋_GB2312" w:cs="仿宋_GB2312"/>
                <w:kern w:val="0"/>
                <w:szCs w:val="21"/>
                <w:u w:val="single"/>
              </w:rPr>
              <w:t>未成交供应商在</w:t>
            </w:r>
            <w:bookmarkStart w:id="22" w:name="_Hlk28630059"/>
            <w:r>
              <w:rPr>
                <w:rFonts w:hint="eastAsia" w:ascii="仿宋_GB2312" w:hAnsi="仿宋_GB2312" w:eastAsia="仿宋_GB2312" w:cs="仿宋_GB2312"/>
                <w:kern w:val="0"/>
                <w:szCs w:val="21"/>
                <w:u w:val="single"/>
              </w:rPr>
              <w:t>成交公告发布之日起5个工作日内退还保证金</w:t>
            </w:r>
            <w:bookmarkEnd w:id="22"/>
            <w:r>
              <w:rPr>
                <w:rFonts w:hint="eastAsia" w:ascii="仿宋_GB2312" w:hAnsi="仿宋_GB2312" w:eastAsia="仿宋_GB2312" w:cs="仿宋_GB2312"/>
                <w:kern w:val="0"/>
                <w:szCs w:val="21"/>
                <w:u w:val="single"/>
              </w:rPr>
              <w:t>；成交供应商应在政府采购合同签订之日起5个工作日内将一份合同送回中心前台，并办理退还保证金事宜</w:t>
            </w:r>
          </w:p>
          <w:p>
            <w:pPr>
              <w:rPr>
                <w:rFonts w:ascii="仿宋_GB2312" w:hAnsi="仿宋_GB2312" w:eastAsia="仿宋_GB2312" w:cs="仿宋_GB2312"/>
                <w:szCs w:val="21"/>
              </w:rPr>
            </w:pPr>
            <w:r>
              <w:rPr>
                <w:rFonts w:hint="eastAsia" w:ascii="仿宋_GB2312" w:hAnsi="仿宋_GB2312" w:eastAsia="仿宋_GB2312" w:cs="仿宋_GB2312"/>
                <w:szCs w:val="21"/>
              </w:rPr>
              <w:t>5、保证金退还咨询电话：</w:t>
            </w:r>
            <w:r>
              <w:rPr>
                <w:rFonts w:ascii="仿宋_GB2312" w:hAnsi="仿宋_GB2312" w:eastAsia="仿宋_GB2312" w:cs="仿宋_GB2312"/>
                <w:kern w:val="0"/>
                <w:szCs w:val="21"/>
                <w:u w:val="single"/>
              </w:rPr>
              <w:t>0417</w:t>
            </w:r>
            <w:r>
              <w:rPr>
                <w:rFonts w:hint="eastAsia" w:ascii="仿宋_GB2312" w:hAnsi="仿宋_GB2312" w:eastAsia="仿宋_GB2312" w:cs="仿宋_GB2312"/>
                <w:kern w:val="0"/>
                <w:szCs w:val="21"/>
                <w:u w:val="single"/>
              </w:rPr>
              <w:t>-2972505</w:t>
            </w:r>
          </w:p>
          <w:p>
            <w:pPr>
              <w:rPr>
                <w:rFonts w:hint="eastAsia" w:ascii="仿宋_GB2312" w:hAnsi="仿宋_GB2312" w:eastAsia="仿宋_GB2312" w:cs="仿宋_GB2312"/>
                <w:szCs w:val="21"/>
                <w:u w:val="single"/>
              </w:rPr>
            </w:pPr>
            <w:r>
              <w:rPr>
                <w:rFonts w:hint="eastAsia" w:ascii="仿宋_GB2312" w:hAnsi="仿宋_GB2312" w:eastAsia="仿宋_GB2312" w:cs="仿宋_GB2312"/>
                <w:szCs w:val="21"/>
              </w:rPr>
              <w:t>6、其它：</w:t>
            </w:r>
            <w:r>
              <w:rPr>
                <w:rFonts w:hint="eastAsia" w:ascii="仿宋_GB2312" w:hAnsi="仿宋_GB2312" w:eastAsia="仿宋_GB2312" w:cs="仿宋_GB2312"/>
                <w:szCs w:val="21"/>
                <w:u w:val="single"/>
              </w:rPr>
              <w:t>保证金须由参与采购项目的供应商账户缴纳，并在备注中注明保证金类别（</w:t>
            </w:r>
            <w:r>
              <w:rPr>
                <w:rFonts w:hint="eastAsia" w:ascii="仿宋_GB2312" w:hAnsi="仿宋_GB2312" w:eastAsia="仿宋_GB2312" w:cs="仿宋_GB2312"/>
                <w:b/>
                <w:bCs/>
                <w:szCs w:val="21"/>
                <w:u w:val="single"/>
              </w:rPr>
              <w:t>磋商</w:t>
            </w:r>
            <w:r>
              <w:rPr>
                <w:rFonts w:hint="eastAsia" w:ascii="仿宋_GB2312" w:hAnsi="仿宋_GB2312" w:eastAsia="仿宋_GB2312" w:cs="仿宋_GB2312"/>
                <w:szCs w:val="21"/>
                <w:u w:val="single"/>
              </w:rPr>
              <w:t>保证金/</w:t>
            </w:r>
            <w:r>
              <w:rPr>
                <w:rFonts w:hint="eastAsia" w:ascii="仿宋_GB2312" w:hAnsi="仿宋_GB2312" w:eastAsia="仿宋_GB2312" w:cs="仿宋_GB2312"/>
                <w:b/>
                <w:bCs/>
                <w:szCs w:val="21"/>
                <w:u w:val="single"/>
              </w:rPr>
              <w:t>履约</w:t>
            </w:r>
            <w:r>
              <w:rPr>
                <w:rFonts w:hint="eastAsia" w:ascii="仿宋_GB2312" w:hAnsi="仿宋_GB2312" w:eastAsia="仿宋_GB2312" w:cs="仿宋_GB2312"/>
                <w:szCs w:val="21"/>
                <w:u w:val="single"/>
              </w:rPr>
              <w:t>保证金）、采购项目编号等信息（未按上述要求缴纳和注明，造成的一切后果由供应商自行承担）</w:t>
            </w:r>
          </w:p>
          <w:p>
            <w:pPr>
              <w:rPr>
                <w:rFonts w:hint="eastAsia" w:ascii="仿宋_GB2312" w:hAnsi="仿宋_GB2312" w:eastAsia="仿宋_GB2312" w:cs="仿宋_GB2312"/>
                <w:szCs w:val="21"/>
                <w:u w:val="single"/>
              </w:rPr>
            </w:pPr>
            <w:r>
              <w:rPr>
                <w:rFonts w:hint="eastAsia" w:ascii="仿宋_GB2312" w:hAnsi="仿宋_GB2312" w:eastAsia="仿宋_GB2312" w:cs="仿宋_GB2312"/>
                <w:color w:val="auto"/>
                <w:szCs w:val="21"/>
                <w:u w:val="single"/>
                <w:lang w:val="en-US" w:eastAsia="zh-CN"/>
              </w:rPr>
              <w:t>7、专门面向中小企业采购项目不收取磋商保证金。</w:t>
            </w:r>
          </w:p>
          <w:p>
            <w:pPr>
              <w:rPr>
                <w:rFonts w:hint="eastAsia" w:ascii="仿宋_GB2312" w:hAnsi="仿宋_GB2312" w:eastAsia="仿宋_GB2312" w:cs="仿宋_GB2312"/>
                <w:szCs w:val="21"/>
              </w:rPr>
            </w:pPr>
            <w:r>
              <w:rPr>
                <w:rFonts w:hint="eastAsia" w:ascii="仿宋_GB2312" w:hAnsi="仿宋_GB2312" w:eastAsia="仿宋_GB2312" w:cs="仿宋_GB2312"/>
                <w:b/>
                <w:bCs/>
                <w:szCs w:val="21"/>
              </w:rPr>
              <w:t>（注：财政部门鼓励采用保函的方式递交磋商保证金，具体办理流程参阅辽宁政府采购网）</w:t>
            </w:r>
          </w:p>
        </w:tc>
      </w:tr>
      <w:tr>
        <w:tblPrEx>
          <w:tblCellMar>
            <w:top w:w="0" w:type="dxa"/>
            <w:left w:w="108" w:type="dxa"/>
            <w:bottom w:w="0" w:type="dxa"/>
            <w:right w:w="108" w:type="dxa"/>
          </w:tblCellMar>
        </w:tblPrEx>
        <w:trPr>
          <w:trHeight w:val="507" w:hRule="atLeast"/>
          <w:jc w:val="center"/>
        </w:trPr>
        <w:tc>
          <w:tcPr>
            <w:tcW w:w="885" w:type="dxa"/>
            <w:tcBorders>
              <w:top w:val="single" w:color="auto" w:sz="4" w:space="0"/>
              <w:left w:val="single" w:color="auto" w:sz="8" w:space="0"/>
              <w:bottom w:val="single" w:color="auto" w:sz="8"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15.1</w:t>
            </w:r>
          </w:p>
        </w:tc>
        <w:tc>
          <w:tcPr>
            <w:tcW w:w="1544" w:type="dxa"/>
            <w:tcBorders>
              <w:top w:val="single" w:color="auto" w:sz="4" w:space="0"/>
              <w:left w:val="single" w:color="auto" w:sz="4" w:space="0"/>
              <w:bottom w:val="single" w:color="auto" w:sz="8" w:space="0"/>
              <w:right w:val="single" w:color="auto" w:sz="8"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响应有效期</w:t>
            </w:r>
          </w:p>
        </w:tc>
        <w:tc>
          <w:tcPr>
            <w:tcW w:w="6358" w:type="dxa"/>
            <w:tcBorders>
              <w:top w:val="single" w:color="auto" w:sz="4" w:space="0"/>
              <w:left w:val="nil"/>
              <w:bottom w:val="single" w:color="auto" w:sz="8" w:space="0"/>
              <w:right w:val="single" w:color="auto" w:sz="8" w:space="0"/>
            </w:tcBorders>
            <w:noWrap w:val="0"/>
            <w:vAlign w:val="center"/>
          </w:tcPr>
          <w:p>
            <w:pPr>
              <w:pStyle w:val="5"/>
              <w:rPr>
                <w:rFonts w:hint="eastAsia"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90  </w:t>
            </w:r>
            <w:r>
              <w:rPr>
                <w:rFonts w:hint="eastAsia" w:ascii="仿宋_GB2312" w:hAnsi="仿宋_GB2312" w:eastAsia="仿宋_GB2312" w:cs="仿宋_GB2312"/>
                <w:kern w:val="0"/>
                <w:szCs w:val="21"/>
              </w:rPr>
              <w:t>日历日</w:t>
            </w:r>
          </w:p>
        </w:tc>
      </w:tr>
      <w:tr>
        <w:tblPrEx>
          <w:tblCellMar>
            <w:top w:w="0" w:type="dxa"/>
            <w:left w:w="108" w:type="dxa"/>
            <w:bottom w:w="0" w:type="dxa"/>
            <w:right w:w="108" w:type="dxa"/>
          </w:tblCellMar>
        </w:tblPrEx>
        <w:trPr>
          <w:trHeight w:val="542" w:hRule="atLeast"/>
          <w:jc w:val="center"/>
        </w:trPr>
        <w:tc>
          <w:tcPr>
            <w:tcW w:w="885"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16.1</w:t>
            </w:r>
          </w:p>
        </w:tc>
        <w:tc>
          <w:tcPr>
            <w:tcW w:w="1544"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响应文件份数</w:t>
            </w:r>
          </w:p>
        </w:tc>
        <w:tc>
          <w:tcPr>
            <w:tcW w:w="6358" w:type="dxa"/>
            <w:tcBorders>
              <w:top w:val="nil"/>
              <w:left w:val="nil"/>
              <w:bottom w:val="single" w:color="auto" w:sz="4" w:space="0"/>
              <w:right w:val="single" w:color="auto" w:sz="8" w:space="0"/>
            </w:tcBorders>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辽宁政府采购网电子评审系统上传提交电子文件</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现场递交备份文件（U盘）</w:t>
            </w:r>
            <w:r>
              <w:rPr>
                <w:rFonts w:hint="eastAsia" w:ascii="仿宋_GB2312" w:hAnsi="仿宋_GB2312" w:eastAsia="仿宋_GB2312" w:cs="仿宋_GB2312"/>
                <w:szCs w:val="21"/>
                <w:lang w:eastAsia="zh-CN"/>
              </w:rPr>
              <w:t>。</w:t>
            </w:r>
          </w:p>
        </w:tc>
      </w:tr>
      <w:tr>
        <w:tblPrEx>
          <w:tblCellMar>
            <w:top w:w="0" w:type="dxa"/>
            <w:left w:w="108" w:type="dxa"/>
            <w:bottom w:w="0" w:type="dxa"/>
            <w:right w:w="108" w:type="dxa"/>
          </w:tblCellMar>
        </w:tblPrEx>
        <w:trPr>
          <w:trHeight w:val="574" w:hRule="atLeast"/>
          <w:jc w:val="center"/>
        </w:trPr>
        <w:tc>
          <w:tcPr>
            <w:tcW w:w="885"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18.1</w:t>
            </w:r>
          </w:p>
        </w:tc>
        <w:tc>
          <w:tcPr>
            <w:tcW w:w="1544"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递交响应文件截止时间、地点：</w:t>
            </w:r>
          </w:p>
        </w:tc>
        <w:tc>
          <w:tcPr>
            <w:tcW w:w="6358" w:type="dxa"/>
            <w:tcBorders>
              <w:top w:val="nil"/>
              <w:left w:val="nil"/>
              <w:bottom w:val="single" w:color="auto" w:sz="4" w:space="0"/>
              <w:right w:val="single" w:color="auto" w:sz="8" w:space="0"/>
            </w:tcBorders>
            <w:noWrap w:val="0"/>
            <w:vAlign w:val="center"/>
          </w:tcPr>
          <w:p>
            <w:pPr>
              <w:widowControl/>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详见</w:t>
            </w:r>
            <w:r>
              <w:rPr>
                <w:rFonts w:hint="eastAsia" w:ascii="仿宋_GB2312" w:hAnsi="仿宋_GB2312" w:eastAsia="仿宋_GB2312" w:cs="仿宋_GB2312"/>
                <w:kern w:val="0"/>
                <w:szCs w:val="21"/>
                <w:lang w:val="en-US" w:eastAsia="zh-CN"/>
              </w:rPr>
              <w:t>竞争性磋商</w:t>
            </w:r>
            <w:r>
              <w:rPr>
                <w:rFonts w:hint="eastAsia" w:ascii="仿宋_GB2312" w:hAnsi="仿宋_GB2312" w:eastAsia="仿宋_GB2312" w:cs="仿宋_GB2312"/>
                <w:kern w:val="0"/>
                <w:szCs w:val="21"/>
              </w:rPr>
              <w:t>公告，以</w:t>
            </w:r>
            <w:r>
              <w:rPr>
                <w:rFonts w:hint="eastAsia" w:ascii="仿宋_GB2312" w:hAnsi="仿宋_GB2312" w:eastAsia="仿宋_GB2312" w:cs="仿宋_GB2312"/>
                <w:kern w:val="0"/>
                <w:szCs w:val="21"/>
                <w:lang w:val="en-US" w:eastAsia="zh-CN"/>
              </w:rPr>
              <w:t>竞争性磋商</w:t>
            </w:r>
            <w:r>
              <w:rPr>
                <w:rFonts w:hint="eastAsia" w:ascii="仿宋_GB2312" w:hAnsi="仿宋_GB2312" w:eastAsia="仿宋_GB2312" w:cs="仿宋_GB2312"/>
                <w:kern w:val="0"/>
                <w:szCs w:val="21"/>
              </w:rPr>
              <w:t>公告规定时间、地点为准。</w:t>
            </w:r>
          </w:p>
        </w:tc>
      </w:tr>
      <w:tr>
        <w:tblPrEx>
          <w:tblCellMar>
            <w:top w:w="0" w:type="dxa"/>
            <w:left w:w="108" w:type="dxa"/>
            <w:bottom w:w="0" w:type="dxa"/>
            <w:right w:w="108" w:type="dxa"/>
          </w:tblCellMar>
        </w:tblPrEx>
        <w:trPr>
          <w:trHeight w:val="499" w:hRule="atLeast"/>
          <w:jc w:val="center"/>
        </w:trPr>
        <w:tc>
          <w:tcPr>
            <w:tcW w:w="885"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20.1</w:t>
            </w:r>
          </w:p>
        </w:tc>
        <w:tc>
          <w:tcPr>
            <w:tcW w:w="1544"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磋商会议时间、地点：</w:t>
            </w:r>
          </w:p>
        </w:tc>
        <w:tc>
          <w:tcPr>
            <w:tcW w:w="6358" w:type="dxa"/>
            <w:tcBorders>
              <w:top w:val="nil"/>
              <w:left w:val="nil"/>
              <w:bottom w:val="single" w:color="auto" w:sz="4" w:space="0"/>
              <w:right w:val="single" w:color="auto" w:sz="8" w:space="0"/>
            </w:tcBorders>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详见</w:t>
            </w:r>
            <w:r>
              <w:rPr>
                <w:rFonts w:hint="eastAsia" w:ascii="仿宋_GB2312" w:hAnsi="仿宋_GB2312" w:eastAsia="仿宋_GB2312" w:cs="仿宋_GB2312"/>
                <w:kern w:val="0"/>
                <w:szCs w:val="21"/>
                <w:lang w:val="en-US" w:eastAsia="zh-CN"/>
              </w:rPr>
              <w:t>竞争性磋商</w:t>
            </w:r>
            <w:r>
              <w:rPr>
                <w:rFonts w:hint="eastAsia" w:ascii="仿宋_GB2312" w:hAnsi="仿宋_GB2312" w:eastAsia="仿宋_GB2312" w:cs="仿宋_GB2312"/>
                <w:kern w:val="0"/>
                <w:szCs w:val="21"/>
              </w:rPr>
              <w:t>公告，以</w:t>
            </w:r>
            <w:r>
              <w:rPr>
                <w:rFonts w:hint="eastAsia" w:ascii="仿宋_GB2312" w:hAnsi="仿宋_GB2312" w:eastAsia="仿宋_GB2312" w:cs="仿宋_GB2312"/>
                <w:kern w:val="0"/>
                <w:szCs w:val="21"/>
                <w:lang w:val="en-US" w:eastAsia="zh-CN"/>
              </w:rPr>
              <w:t>竞争性磋商</w:t>
            </w:r>
            <w:r>
              <w:rPr>
                <w:rFonts w:hint="eastAsia" w:ascii="仿宋_GB2312" w:hAnsi="仿宋_GB2312" w:eastAsia="仿宋_GB2312" w:cs="仿宋_GB2312"/>
                <w:kern w:val="0"/>
                <w:szCs w:val="21"/>
              </w:rPr>
              <w:t>公告规定时间、地点为准。</w:t>
            </w:r>
          </w:p>
        </w:tc>
      </w:tr>
      <w:tr>
        <w:tblPrEx>
          <w:tblCellMar>
            <w:top w:w="0" w:type="dxa"/>
            <w:left w:w="108" w:type="dxa"/>
            <w:bottom w:w="0" w:type="dxa"/>
            <w:right w:w="108" w:type="dxa"/>
          </w:tblCellMar>
        </w:tblPrEx>
        <w:trPr>
          <w:trHeight w:val="536" w:hRule="atLeast"/>
          <w:jc w:val="center"/>
        </w:trPr>
        <w:tc>
          <w:tcPr>
            <w:tcW w:w="885"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21.2</w:t>
            </w:r>
          </w:p>
        </w:tc>
        <w:tc>
          <w:tcPr>
            <w:tcW w:w="1544"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磋商小组组成</w:t>
            </w:r>
          </w:p>
        </w:tc>
        <w:tc>
          <w:tcPr>
            <w:tcW w:w="6358" w:type="dxa"/>
            <w:tcBorders>
              <w:top w:val="nil"/>
              <w:left w:val="nil"/>
              <w:bottom w:val="single" w:color="auto" w:sz="4" w:space="0"/>
              <w:right w:val="single" w:color="auto" w:sz="8" w:space="0"/>
            </w:tcBorders>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磋商小组由采购人代表</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1</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人，评审专家</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2</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人组成，共</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3</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w:t>
            </w:r>
          </w:p>
        </w:tc>
      </w:tr>
      <w:tr>
        <w:tblPrEx>
          <w:tblCellMar>
            <w:top w:w="0" w:type="dxa"/>
            <w:left w:w="108" w:type="dxa"/>
            <w:bottom w:w="0" w:type="dxa"/>
            <w:right w:w="108" w:type="dxa"/>
          </w:tblCellMar>
        </w:tblPrEx>
        <w:trPr>
          <w:trHeight w:val="606" w:hRule="atLeast"/>
          <w:jc w:val="center"/>
        </w:trPr>
        <w:tc>
          <w:tcPr>
            <w:tcW w:w="885"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24.1</w:t>
            </w:r>
          </w:p>
        </w:tc>
        <w:tc>
          <w:tcPr>
            <w:tcW w:w="1544" w:type="dxa"/>
            <w:tcBorders>
              <w:top w:val="nil"/>
              <w:left w:val="single" w:color="auto" w:sz="4"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样品的评审办法以及评审标准</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演示的评审办法及评审标准</w:t>
            </w:r>
          </w:p>
        </w:tc>
        <w:tc>
          <w:tcPr>
            <w:tcW w:w="6358" w:type="dxa"/>
            <w:tcBorders>
              <w:top w:val="nil"/>
              <w:left w:val="nil"/>
              <w:bottom w:val="single" w:color="auto" w:sz="4" w:space="0"/>
              <w:right w:val="single" w:color="auto" w:sz="8" w:space="0"/>
            </w:tcBorders>
            <w:noWrap w:val="0"/>
            <w:vAlign w:val="center"/>
          </w:tcPr>
          <w:p>
            <w:p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bCs/>
                <w:kern w:val="0"/>
                <w:szCs w:val="21"/>
              </w:rPr>
              <w:t>样品：</w:t>
            </w:r>
          </w:p>
          <w:p>
            <w:p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1、样品评审办法：</w:t>
            </w:r>
            <w:r>
              <w:rPr>
                <w:rFonts w:hint="eastAsia" w:ascii="仿宋_GB2312" w:hAnsi="仿宋_GB2312" w:eastAsia="仿宋_GB2312" w:cs="仿宋_GB2312"/>
                <w:kern w:val="0"/>
                <w:szCs w:val="21"/>
                <w:u w:val="single"/>
              </w:rPr>
              <w:t xml:space="preserve">                 </w:t>
            </w:r>
          </w:p>
          <w:p>
            <w:pPr>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2、样品评审标准：</w:t>
            </w:r>
            <w:r>
              <w:rPr>
                <w:rFonts w:hint="eastAsia" w:ascii="仿宋_GB2312" w:hAnsi="仿宋_GB2312" w:eastAsia="仿宋_GB2312" w:cs="仿宋_GB2312"/>
                <w:kern w:val="0"/>
                <w:szCs w:val="21"/>
                <w:u w:val="single"/>
              </w:rPr>
              <w:t xml:space="preserve">                 </w:t>
            </w:r>
          </w:p>
          <w:p>
            <w:pPr>
              <w:rPr>
                <w:rFonts w:hint="eastAsia" w:ascii="仿宋_GB2312" w:hAnsi="仿宋_GB2312" w:eastAsia="仿宋_GB2312" w:cs="仿宋_GB2312"/>
                <w:kern w:val="0"/>
                <w:szCs w:val="21"/>
                <w:u w:val="single"/>
              </w:rPr>
            </w:pPr>
          </w:p>
          <w:p>
            <w:p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演示：</w:t>
            </w:r>
          </w:p>
          <w:p>
            <w:p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1、演示评审办法：</w:t>
            </w:r>
            <w:r>
              <w:rPr>
                <w:rFonts w:hint="eastAsia" w:ascii="仿宋_GB2312" w:hAnsi="仿宋_GB2312" w:eastAsia="仿宋_GB2312" w:cs="仿宋_GB2312"/>
                <w:kern w:val="0"/>
                <w:szCs w:val="21"/>
                <w:u w:val="single"/>
              </w:rPr>
              <w:t xml:space="preserve">                 </w:t>
            </w:r>
          </w:p>
          <w:p>
            <w:p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2、演示评审标准：</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547"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29.2</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评审办法</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综合评分法</w:t>
            </w:r>
          </w:p>
        </w:tc>
      </w:tr>
      <w:tr>
        <w:tblPrEx>
          <w:tblCellMar>
            <w:top w:w="0" w:type="dxa"/>
            <w:left w:w="108" w:type="dxa"/>
            <w:bottom w:w="0" w:type="dxa"/>
            <w:right w:w="108" w:type="dxa"/>
          </w:tblCellMar>
        </w:tblPrEx>
        <w:trPr>
          <w:trHeight w:val="606"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31.2</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推荐成交候选供应商的数量</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3       </w:t>
            </w:r>
          </w:p>
        </w:tc>
      </w:tr>
      <w:tr>
        <w:tblPrEx>
          <w:tblCellMar>
            <w:top w:w="0" w:type="dxa"/>
            <w:left w:w="108" w:type="dxa"/>
            <w:bottom w:w="0" w:type="dxa"/>
            <w:right w:w="108" w:type="dxa"/>
          </w:tblCellMar>
        </w:tblPrEx>
        <w:trPr>
          <w:trHeight w:val="606"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33</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确定成交供应商的方式</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成交供应商数量：</w:t>
            </w:r>
            <w:r>
              <w:rPr>
                <w:rFonts w:hint="eastAsia" w:ascii="仿宋_GB2312" w:hAnsi="仿宋_GB2312" w:eastAsia="仿宋_GB2312" w:cs="仿宋_GB2312"/>
                <w:kern w:val="0"/>
                <w:szCs w:val="21"/>
                <w:u w:val="single"/>
              </w:rPr>
              <w:t xml:space="preserve">   1   </w:t>
            </w:r>
          </w:p>
          <w:p>
            <w:pPr>
              <w:widowControl/>
              <w:rPr>
                <w:rFonts w:hint="eastAsia" w:ascii="仿宋_GB2312" w:hAnsi="仿宋_GB2312" w:eastAsia="仿宋_GB2312" w:cs="仿宋_GB2312"/>
                <w:kern w:val="0"/>
                <w:szCs w:val="21"/>
                <w:u w:val="single"/>
              </w:rPr>
            </w:pPr>
            <w:r>
              <w:rPr>
                <w:rFonts w:hint="eastAsia" w:ascii="仿宋_GB2312" w:hAnsi="仿宋_GB2312" w:eastAsia="仿宋_GB2312" w:cs="仿宋_GB2312"/>
              </w:rPr>
              <w:t>■</w:t>
            </w:r>
            <w:r>
              <w:rPr>
                <w:rFonts w:hint="eastAsia" w:ascii="仿宋_GB2312" w:hAnsi="仿宋_GB2312" w:eastAsia="仿宋_GB2312" w:cs="仿宋_GB2312"/>
                <w:kern w:val="0"/>
                <w:szCs w:val="21"/>
              </w:rPr>
              <w:t>采购人委托磋商小组直接确定成交供应商</w:t>
            </w:r>
          </w:p>
          <w:p>
            <w:pPr>
              <w:widowControl/>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采购人确定成交供应商</w:t>
            </w:r>
          </w:p>
        </w:tc>
      </w:tr>
      <w:tr>
        <w:tblPrEx>
          <w:tblCellMar>
            <w:top w:w="0" w:type="dxa"/>
            <w:left w:w="108" w:type="dxa"/>
            <w:bottom w:w="0" w:type="dxa"/>
            <w:right w:w="108" w:type="dxa"/>
          </w:tblCellMar>
        </w:tblPrEx>
        <w:trPr>
          <w:trHeight w:val="606"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37.1</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履约保证金</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szCs w:val="21"/>
              </w:rPr>
              <w:t>本项目不收取履约保证金</w:t>
            </w:r>
          </w:p>
          <w:p>
            <w:pPr>
              <w:shd w:val="clear" w:color="auto" w:fill="auto"/>
              <w:jc w:val="left"/>
              <w:rPr>
                <w:rFonts w:hint="eastAsia"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本项目收取履约保证金</w:t>
            </w:r>
          </w:p>
          <w:p>
            <w:pPr>
              <w:shd w:val="clear" w:color="auto" w:fill="auto"/>
              <w:ind w:firstLine="210" w:firstLineChars="100"/>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履约保证金金额：</w:t>
            </w:r>
            <w:r>
              <w:rPr>
                <w:rFonts w:hint="eastAsia" w:ascii="仿宋_GB2312" w:hAnsi="仿宋_GB2312" w:eastAsia="仿宋_GB2312" w:cs="仿宋_GB2312"/>
                <w:szCs w:val="21"/>
                <w:lang w:eastAsia="zh-CN"/>
              </w:rPr>
              <w:t>中标金额的</w:t>
            </w:r>
            <w:r>
              <w:rPr>
                <w:rFonts w:hint="eastAsia" w:ascii="仿宋_GB2312" w:hAnsi="仿宋_GB2312" w:eastAsia="仿宋_GB2312" w:cs="仿宋_GB2312"/>
                <w:szCs w:val="21"/>
                <w:lang w:val="en-US" w:eastAsia="zh-CN"/>
              </w:rPr>
              <w:t>5%</w:t>
            </w:r>
          </w:p>
          <w:p>
            <w:pPr>
              <w:shd w:val="clear" w:color="auto" w:fill="auto"/>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rPr>
              <w:t>履约保证金递交时间：</w:t>
            </w:r>
            <w:r>
              <w:rPr>
                <w:rFonts w:hint="eastAsia" w:ascii="仿宋_GB2312" w:hAnsi="仿宋_GB2312" w:eastAsia="仿宋_GB2312" w:cs="仿宋_GB2312"/>
                <w:kern w:val="0"/>
                <w:szCs w:val="21"/>
                <w:u w:val="single"/>
              </w:rPr>
              <w:t>成交供应商领取成交通知书前</w:t>
            </w:r>
          </w:p>
          <w:p>
            <w:pPr>
              <w:shd w:val="clear" w:color="auto" w:fill="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履约保证金递交方式：</w:t>
            </w:r>
            <w:r>
              <w:rPr>
                <w:rFonts w:hint="eastAsia" w:ascii="仿宋_GB2312" w:hAnsi="仿宋_GB2312" w:eastAsia="仿宋_GB2312" w:cs="仿宋_GB2312"/>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rPr>
              <w:t>■</w:t>
            </w:r>
            <w:r>
              <w:rPr>
                <w:rFonts w:hint="eastAsia" w:ascii="仿宋_GB2312" w:hAnsi="仿宋_GB2312" w:eastAsia="仿宋_GB2312" w:cs="仿宋_GB2312"/>
                <w:szCs w:val="21"/>
              </w:rPr>
              <w:t>电汇</w:t>
            </w:r>
          </w:p>
          <w:p>
            <w:pPr>
              <w:shd w:val="clear" w:color="auto" w:fill="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账户信息：</w:t>
            </w:r>
          </w:p>
          <w:p>
            <w:pPr>
              <w:ind w:firstLine="210" w:firstLineChars="100"/>
              <w:rPr>
                <w:rFonts w:hint="eastAsia" w:ascii="仿宋_GB2312" w:hAnsi="仿宋_GB2312" w:eastAsia="仿宋_GB2312" w:cs="仿宋_GB2312"/>
                <w:kern w:val="0"/>
                <w:szCs w:val="21"/>
                <w:u w:val="single"/>
              </w:rPr>
            </w:pPr>
            <w:r>
              <w:rPr>
                <w:rFonts w:hint="eastAsia" w:ascii="仿宋" w:hAnsi="仿宋" w:eastAsia="仿宋" w:cs="宋体"/>
                <w:bCs/>
                <w:szCs w:val="21"/>
              </w:rPr>
              <w:t>账户名称</w:t>
            </w:r>
            <w:r>
              <w:rPr>
                <w:rFonts w:hint="eastAsia" w:ascii="仿宋_GB2312" w:hAnsi="仿宋_GB2312" w:eastAsia="仿宋_GB2312" w:cs="仿宋_GB2312"/>
                <w:szCs w:val="21"/>
              </w:rPr>
              <w:t>：营口市营商环境建设中心（营口市公共资源交易中心）</w:t>
            </w:r>
          </w:p>
          <w:p>
            <w:pPr>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开 户 行：</w:t>
            </w:r>
            <w:r>
              <w:rPr>
                <w:rFonts w:hint="eastAsia" w:ascii="仿宋_GB2312" w:hAnsi="仿宋_GB2312" w:eastAsia="仿宋_GB2312" w:cs="仿宋_GB2312"/>
                <w:kern w:val="0"/>
                <w:szCs w:val="21"/>
                <w:u w:val="single"/>
              </w:rPr>
              <w:t>中国建设银行股份有限公司营口新联大街支行</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21050110852100000007</w:t>
            </w:r>
          </w:p>
          <w:p>
            <w:pPr>
              <w:shd w:val="clear" w:color="auto" w:fill="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履约保证金退还时间及规定：</w:t>
            </w:r>
            <w:r>
              <w:rPr>
                <w:rFonts w:hint="eastAsia" w:ascii="仿宋_GB2312" w:hAnsi="仿宋_GB2312" w:eastAsia="仿宋_GB2312" w:cs="仿宋_GB2312"/>
                <w:kern w:val="0"/>
                <w:szCs w:val="21"/>
                <w:u w:val="single"/>
              </w:rPr>
              <w:t>成交供应商应在政府采购合同履约验收完成后5个工作日内持履约保证金收据、履约验收单（书）及相关证明</w:t>
            </w:r>
            <w:r>
              <w:rPr>
                <w:rFonts w:hint="eastAsia" w:ascii="仿宋_GB2312" w:hAnsi="仿宋_GB2312" w:eastAsia="仿宋_GB2312" w:cs="仿宋_GB2312"/>
                <w:kern w:val="0"/>
                <w:szCs w:val="21"/>
                <w:u w:val="single"/>
                <w:lang w:eastAsia="zh-CN"/>
              </w:rPr>
              <w:t>（</w:t>
            </w:r>
            <w:r>
              <w:rPr>
                <w:rFonts w:hint="eastAsia" w:ascii="仿宋_GB2312" w:hAnsi="仿宋_GB2312" w:eastAsia="仿宋_GB2312" w:cs="仿宋_GB2312"/>
                <w:b/>
                <w:bCs/>
                <w:kern w:val="0"/>
                <w:szCs w:val="21"/>
                <w:u w:val="single"/>
                <w:lang w:val="en-US" w:eastAsia="zh-CN"/>
              </w:rPr>
              <w:t>含履约保证金汇款截图</w:t>
            </w:r>
            <w:r>
              <w:rPr>
                <w:rFonts w:hint="eastAsia" w:ascii="仿宋_GB2312" w:hAnsi="仿宋_GB2312" w:eastAsia="仿宋_GB2312" w:cs="仿宋_GB2312"/>
                <w:kern w:val="0"/>
                <w:szCs w:val="21"/>
                <w:u w:val="single"/>
                <w:lang w:eastAsia="zh-CN"/>
              </w:rPr>
              <w:t>）</w:t>
            </w:r>
            <w:r>
              <w:rPr>
                <w:rFonts w:hint="eastAsia" w:ascii="仿宋_GB2312" w:hAnsi="仿宋_GB2312" w:eastAsia="仿宋_GB2312" w:cs="仿宋_GB2312"/>
                <w:kern w:val="0"/>
                <w:szCs w:val="21"/>
                <w:u w:val="single"/>
              </w:rPr>
              <w:t>到中心前台办理退还保证金事宜</w:t>
            </w:r>
          </w:p>
          <w:p>
            <w:pPr>
              <w:shd w:val="clear" w:color="auto" w:fill="auto"/>
              <w:jc w:val="left"/>
              <w:rPr>
                <w:rFonts w:hint="eastAsia" w:ascii="仿宋_GB2312" w:hAnsi="仿宋_GB2312" w:eastAsia="仿宋_GB2312" w:cs="仿宋_GB2312"/>
                <w:kern w:val="0"/>
                <w:szCs w:val="21"/>
              </w:rPr>
            </w:pPr>
            <w:r>
              <w:rPr>
                <w:rFonts w:hint="eastAsia" w:ascii="仿宋_GB2312" w:hAnsi="仿宋_GB2312" w:eastAsia="仿宋_GB2312" w:cs="仿宋_GB2312"/>
                <w:b/>
                <w:bCs/>
                <w:szCs w:val="21"/>
              </w:rPr>
              <w:t>（注：财政部门鼓励采用保函的方式递交履约保证金，具体办理流程参阅辽宁政府采购网）</w:t>
            </w:r>
          </w:p>
        </w:tc>
      </w:tr>
      <w:tr>
        <w:tblPrEx>
          <w:tblCellMar>
            <w:top w:w="0" w:type="dxa"/>
            <w:left w:w="108" w:type="dxa"/>
            <w:bottom w:w="0" w:type="dxa"/>
            <w:right w:w="108" w:type="dxa"/>
          </w:tblCellMar>
        </w:tblPrEx>
        <w:trPr>
          <w:trHeight w:val="606" w:hRule="atLeast"/>
          <w:jc w:val="center"/>
        </w:trPr>
        <w:tc>
          <w:tcPr>
            <w:tcW w:w="885" w:type="dxa"/>
            <w:tcBorders>
              <w:top w:val="nil"/>
              <w:left w:val="single" w:color="auto" w:sz="8" w:space="0"/>
              <w:bottom w:val="single" w:color="auto" w:sz="8"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38</w:t>
            </w:r>
          </w:p>
        </w:tc>
        <w:tc>
          <w:tcPr>
            <w:tcW w:w="1544" w:type="dxa"/>
            <w:tcBorders>
              <w:top w:val="nil"/>
              <w:left w:val="single" w:color="auto" w:sz="4"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采购代理服务费</w:t>
            </w:r>
          </w:p>
        </w:tc>
        <w:tc>
          <w:tcPr>
            <w:tcW w:w="6358" w:type="dxa"/>
            <w:tcBorders>
              <w:top w:val="nil"/>
              <w:left w:val="nil"/>
              <w:bottom w:val="single" w:color="auto" w:sz="8" w:space="0"/>
              <w:right w:val="single" w:color="auto" w:sz="8" w:space="0"/>
            </w:tcBorders>
            <w:noWrap w:val="0"/>
            <w:vAlign w:val="center"/>
          </w:tcPr>
          <w:p>
            <w:pPr>
              <w:shd w:val="clear" w:color="auto" w:fill="auto"/>
              <w:jc w:val="left"/>
              <w:rPr>
                <w:rFonts w:hint="eastAsia"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本项目不收取</w:t>
            </w:r>
            <w:r>
              <w:rPr>
                <w:rFonts w:hint="eastAsia" w:ascii="仿宋_GB2312" w:hAnsi="仿宋_GB2312" w:eastAsia="仿宋_GB2312" w:cs="仿宋_GB2312"/>
                <w:kern w:val="0"/>
                <w:szCs w:val="21"/>
              </w:rPr>
              <w:t>采购代理服务费</w:t>
            </w:r>
          </w:p>
          <w:p>
            <w:pPr>
              <w:shd w:val="clear" w:color="auto" w:fill="auto"/>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本项目收取</w:t>
            </w:r>
            <w:r>
              <w:rPr>
                <w:rFonts w:hint="eastAsia" w:ascii="仿宋_GB2312" w:hAnsi="仿宋_GB2312" w:eastAsia="仿宋_GB2312" w:cs="仿宋_GB2312"/>
                <w:kern w:val="0"/>
                <w:szCs w:val="21"/>
              </w:rPr>
              <w:t>采购代理服务费</w:t>
            </w:r>
          </w:p>
          <w:p>
            <w:pPr>
              <w:widowControl/>
              <w:ind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本项目采购代理服务费由</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向采购代理机构予以支付。</w:t>
            </w:r>
          </w:p>
          <w:p>
            <w:pPr>
              <w:widowControl/>
              <w:ind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支付标准：</w:t>
            </w:r>
            <w:r>
              <w:rPr>
                <w:rFonts w:hint="eastAsia" w:ascii="仿宋_GB2312" w:hAnsi="仿宋_GB2312" w:eastAsia="仿宋_GB2312" w:cs="仿宋_GB2312"/>
                <w:kern w:val="0"/>
                <w:szCs w:val="21"/>
                <w:u w:val="single"/>
              </w:rPr>
              <w:t xml:space="preserve">                 </w:t>
            </w:r>
          </w:p>
          <w:p>
            <w:pPr>
              <w:widowControl/>
              <w:ind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支付形式：</w:t>
            </w:r>
            <w:r>
              <w:rPr>
                <w:rFonts w:hint="eastAsia" w:ascii="仿宋_GB2312" w:hAnsi="仿宋_GB2312" w:eastAsia="仿宋_GB2312" w:cs="仿宋_GB2312"/>
                <w:kern w:val="0"/>
                <w:szCs w:val="21"/>
                <w:u w:val="single"/>
              </w:rPr>
              <w:t xml:space="preserve">                 </w:t>
            </w:r>
          </w:p>
          <w:p>
            <w:pPr>
              <w:widowControl/>
              <w:ind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支付时间：</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84" w:hRule="atLeast"/>
          <w:jc w:val="center"/>
        </w:trPr>
        <w:tc>
          <w:tcPr>
            <w:tcW w:w="88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41.3</w:t>
            </w:r>
          </w:p>
        </w:tc>
        <w:tc>
          <w:tcPr>
            <w:tcW w:w="1544"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质疑</w:t>
            </w:r>
          </w:p>
        </w:tc>
        <w:tc>
          <w:tcPr>
            <w:tcW w:w="6358" w:type="dxa"/>
            <w:tcBorders>
              <w:top w:val="single" w:color="auto" w:sz="4" w:space="0"/>
              <w:left w:val="nil"/>
              <w:bottom w:val="single" w:color="auto" w:sz="4" w:space="0"/>
              <w:right w:val="single" w:color="auto" w:sz="8" w:space="0"/>
            </w:tcBorders>
            <w:noWrap w:val="0"/>
            <w:vAlign w:val="center"/>
          </w:tcPr>
          <w:p>
            <w:pPr>
              <w:widowControl/>
              <w:numPr>
                <w:ilvl w:val="0"/>
                <w:numId w:val="3"/>
              </w:num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供应商认为自己的权益受到损害的，可以在知道或者应知其权益受到损害之日起七个工作日内，向采购代理机构</w:t>
            </w:r>
            <w:r>
              <w:rPr>
                <w:rFonts w:hint="eastAsia" w:ascii="仿宋_GB2312" w:hAnsi="仿宋_GB2312" w:eastAsia="仿宋_GB2312" w:cs="仿宋_GB2312"/>
                <w:color w:val="auto"/>
                <w:sz w:val="21"/>
                <w:szCs w:val="21"/>
                <w:lang w:eastAsia="zh-CN"/>
              </w:rPr>
              <w:t>或采购人</w:t>
            </w:r>
            <w:r>
              <w:rPr>
                <w:rFonts w:hint="eastAsia" w:ascii="仿宋_GB2312" w:hAnsi="仿宋_GB2312" w:eastAsia="仿宋_GB2312" w:cs="仿宋_GB2312"/>
                <w:color w:val="auto"/>
                <w:sz w:val="21"/>
                <w:szCs w:val="21"/>
              </w:rPr>
              <w:t>提出质疑。</w:t>
            </w:r>
          </w:p>
          <w:p>
            <w:pPr>
              <w:widowControl/>
              <w:spacing w:line="240" w:lineRule="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二、</w:t>
            </w:r>
            <w:r>
              <w:rPr>
                <w:rFonts w:hint="eastAsia" w:ascii="仿宋_GB2312" w:hAnsi="仿宋_GB2312" w:eastAsia="仿宋_GB2312" w:cs="仿宋_GB2312"/>
                <w:color w:val="auto"/>
                <w:sz w:val="21"/>
                <w:szCs w:val="21"/>
              </w:rPr>
              <w:t>接收质疑函方式：根据《辽宁省政府采购电子化质疑投诉管理办法》（辽财采</w:t>
            </w:r>
            <w:r>
              <w:rPr>
                <w:rFonts w:hint="eastAsia" w:ascii="仿宋_GB2312" w:hAnsi="仿宋_GB2312" w:eastAsia="仿宋_GB2312" w:cs="仿宋_GB2312"/>
                <w:color w:val="auto"/>
                <w:sz w:val="21"/>
                <w:szCs w:val="21"/>
                <w:lang w:eastAsia="zh-CN"/>
              </w:rPr>
              <w:t>规</w:t>
            </w: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〕8号</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，质疑统一在辽宁政府采购网电子化质疑投诉系统中提出。</w:t>
            </w:r>
          </w:p>
          <w:p>
            <w:pPr>
              <w:widowControl/>
              <w:numPr>
                <w:ilvl w:val="0"/>
                <w:numId w:val="0"/>
              </w:num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1.供应商对采购文件中的采购需求、供应商资格条件、技术和商务条款、评审方法和评审标准提出的质疑，由采购人负责答复。</w:t>
            </w:r>
          </w:p>
          <w:p>
            <w:pPr>
              <w:widowControl/>
              <w:numPr>
                <w:ilvl w:val="0"/>
                <w:numId w:val="0"/>
              </w:numPr>
              <w:rPr>
                <w:rFonts w:hint="eastAsia" w:ascii="仿宋_GB2312" w:hAnsi="仿宋_GB2312" w:eastAsia="仿宋_GB2312" w:cs="仿宋_GB2312"/>
                <w:color w:val="FF0000"/>
                <w:szCs w:val="21"/>
                <w:lang w:val="en-US" w:eastAsia="zh-CN"/>
              </w:rPr>
            </w:pPr>
            <w:r>
              <w:rPr>
                <w:rFonts w:hint="eastAsia" w:ascii="仿宋_GB2312" w:hAnsi="仿宋_GB2312" w:eastAsia="仿宋_GB2312" w:cs="仿宋_GB2312"/>
                <w:color w:val="FF0000"/>
                <w:szCs w:val="21"/>
                <w:lang w:val="en-US" w:eastAsia="zh-CN"/>
              </w:rPr>
              <w:t>采购人质疑经办人：孙先生</w:t>
            </w:r>
          </w:p>
          <w:p>
            <w:pPr>
              <w:widowControl/>
              <w:numPr>
                <w:ilvl w:val="0"/>
                <w:numId w:val="0"/>
              </w:numPr>
              <w:rPr>
                <w:rFonts w:hint="default" w:ascii="仿宋_GB2312" w:hAnsi="仿宋_GB2312" w:eastAsia="仿宋_GB2312" w:cs="仿宋_GB2312"/>
                <w:color w:val="FF0000"/>
                <w:szCs w:val="21"/>
                <w:lang w:val="en-US" w:eastAsia="zh-CN"/>
              </w:rPr>
            </w:pPr>
            <w:r>
              <w:rPr>
                <w:rFonts w:hint="eastAsia" w:ascii="仿宋_GB2312" w:hAnsi="仿宋_GB2312" w:eastAsia="仿宋_GB2312" w:cs="仿宋_GB2312"/>
                <w:color w:val="FF0000"/>
                <w:szCs w:val="21"/>
                <w:lang w:val="en-US" w:eastAsia="zh-CN"/>
              </w:rPr>
              <w:t>联 系 电 话：0417-2827443</w:t>
            </w:r>
          </w:p>
          <w:p>
            <w:pPr>
              <w:widowControl/>
              <w:rPr>
                <w:rFonts w:hint="eastAsia" w:ascii="仿宋_GB2312" w:hAnsi="仿宋_GB2312" w:eastAsia="仿宋_GB2312" w:cs="仿宋_GB2312"/>
                <w:kern w:val="0"/>
                <w:szCs w:val="21"/>
                <w:u w:val="single"/>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供应商对采购项目操作流程、成交结果提出的质疑，由营口市营商环境建设中心（营口市公共资源交易中心）负责答复。</w:t>
            </w:r>
          </w:p>
          <w:p>
            <w:pPr>
              <w:widowControl/>
              <w:rPr>
                <w:rFonts w:ascii="仿宋_GB2312" w:hAnsi="仿宋_GB2312" w:eastAsia="仿宋_GB2312" w:cs="仿宋_GB2312"/>
                <w:szCs w:val="21"/>
              </w:rPr>
            </w:pPr>
            <w:r>
              <w:rPr>
                <w:rFonts w:hint="eastAsia" w:ascii="仿宋_GB2312" w:hAnsi="仿宋_GB2312" w:eastAsia="仿宋_GB2312" w:cs="仿宋_GB2312"/>
                <w:szCs w:val="21"/>
                <w:lang w:eastAsia="zh-CN"/>
              </w:rPr>
              <w:t>中心质疑经办人</w:t>
            </w:r>
            <w:r>
              <w:rPr>
                <w:rFonts w:hint="eastAsia" w:ascii="仿宋_GB2312" w:hAnsi="仿宋_GB2312" w:eastAsia="仿宋_GB2312" w:cs="仿宋_GB2312"/>
                <w:szCs w:val="21"/>
              </w:rPr>
              <w:t>：</w:t>
            </w:r>
            <w:r>
              <w:rPr>
                <w:rFonts w:hint="eastAsia" w:ascii="仿宋_GB2312" w:hAnsi="仿宋_GB2312" w:eastAsia="仿宋_GB2312" w:cs="仿宋_GB2312"/>
                <w:kern w:val="0"/>
                <w:szCs w:val="21"/>
                <w:u w:val="none"/>
              </w:rPr>
              <w:t>吴先生</w:t>
            </w:r>
          </w:p>
          <w:p>
            <w:pPr>
              <w:widowControl/>
              <w:rPr>
                <w:rFonts w:ascii="仿宋_GB2312" w:hAnsi="仿宋_GB2312" w:eastAsia="仿宋_GB2312" w:cs="仿宋_GB2312"/>
                <w:szCs w:val="21"/>
              </w:rPr>
            </w:pPr>
            <w:r>
              <w:rPr>
                <w:rFonts w:hint="eastAsia" w:ascii="仿宋_GB2312" w:hAnsi="仿宋_GB2312" w:eastAsia="仿宋_GB2312" w:cs="仿宋_GB2312"/>
                <w:szCs w:val="21"/>
              </w:rPr>
              <w:t>联</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系</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电</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话：</w:t>
            </w:r>
            <w:r>
              <w:rPr>
                <w:rFonts w:hint="eastAsia" w:ascii="仿宋_GB2312" w:hAnsi="仿宋_GB2312" w:eastAsia="仿宋_GB2312" w:cs="仿宋_GB2312"/>
                <w:kern w:val="0"/>
                <w:szCs w:val="21"/>
                <w:u w:val="none"/>
              </w:rPr>
              <w:t>0417-2972518</w:t>
            </w:r>
          </w:p>
          <w:p>
            <w:pPr>
              <w:widowControl/>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质疑函的内容、格式：应符合《政府采购质疑和投诉办法》相关规定和财政部门制定的《政府采购质疑函范本》格式。</w:t>
            </w:r>
          </w:p>
          <w:p>
            <w:pPr>
              <w:pStyle w:val="5"/>
              <w:rPr>
                <w:rFonts w:hint="eastAsia" w:ascii="仿宋_GB2312" w:hAnsi="仿宋_GB2312" w:eastAsia="仿宋_GB2312" w:cs="仿宋_GB2312"/>
                <w:kern w:val="0"/>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供应商</w:t>
            </w:r>
            <w:r>
              <w:rPr>
                <w:rFonts w:hint="eastAsia" w:ascii="仿宋_GB2312" w:hAnsi="仿宋_GB2312" w:eastAsia="仿宋_GB2312" w:cs="仿宋_GB2312"/>
                <w:szCs w:val="21"/>
              </w:rPr>
              <w:t>应在法定质疑期内一次性针对同一采购程序环节提出质疑，否则针对再次提出质疑将不予接收。（采购程序环节分为：</w:t>
            </w:r>
            <w:r>
              <w:rPr>
                <w:rFonts w:hint="eastAsia" w:ascii="仿宋_GB2312" w:hAnsi="仿宋_GB2312" w:eastAsia="仿宋_GB2312" w:cs="仿宋_GB2312"/>
                <w:szCs w:val="21"/>
                <w:shd w:val="clear" w:color="auto" w:fill="auto"/>
                <w:lang w:eastAsia="zh-CN"/>
              </w:rPr>
              <w:t>采购</w:t>
            </w:r>
            <w:r>
              <w:rPr>
                <w:rFonts w:hint="eastAsia" w:ascii="仿宋_GB2312" w:hAnsi="仿宋_GB2312" w:eastAsia="仿宋_GB2312" w:cs="仿宋_GB2312"/>
                <w:szCs w:val="21"/>
                <w:shd w:val="clear" w:color="auto" w:fill="auto"/>
              </w:rPr>
              <w:t>文件、</w:t>
            </w:r>
            <w:r>
              <w:rPr>
                <w:rFonts w:hint="eastAsia" w:ascii="仿宋_GB2312" w:hAnsi="仿宋_GB2312" w:eastAsia="仿宋_GB2312" w:cs="仿宋_GB2312"/>
                <w:szCs w:val="21"/>
                <w:shd w:val="clear" w:color="auto" w:fill="auto"/>
                <w:lang w:eastAsia="zh-CN"/>
              </w:rPr>
              <w:t>采购</w:t>
            </w:r>
            <w:r>
              <w:rPr>
                <w:rFonts w:hint="eastAsia" w:ascii="仿宋_GB2312" w:hAnsi="仿宋_GB2312" w:eastAsia="仿宋_GB2312" w:cs="仿宋_GB2312"/>
                <w:szCs w:val="21"/>
                <w:shd w:val="clear" w:color="auto" w:fill="auto"/>
              </w:rPr>
              <w:t>过程、</w:t>
            </w:r>
            <w:r>
              <w:rPr>
                <w:rFonts w:hint="eastAsia" w:ascii="仿宋_GB2312" w:hAnsi="仿宋_GB2312" w:eastAsia="仿宋_GB2312" w:cs="仿宋_GB2312"/>
                <w:szCs w:val="21"/>
                <w:shd w:val="clear" w:color="auto" w:fill="auto"/>
                <w:lang w:eastAsia="zh-CN"/>
              </w:rPr>
              <w:t>成交</w:t>
            </w:r>
            <w:r>
              <w:rPr>
                <w:rFonts w:hint="eastAsia" w:ascii="仿宋_GB2312" w:hAnsi="仿宋_GB2312" w:eastAsia="仿宋_GB2312" w:cs="仿宋_GB2312"/>
                <w:szCs w:val="21"/>
                <w:shd w:val="clear" w:color="auto" w:fill="auto"/>
              </w:rPr>
              <w:t>结果</w:t>
            </w: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84" w:hRule="atLeast"/>
          <w:jc w:val="center"/>
        </w:trPr>
        <w:tc>
          <w:tcPr>
            <w:tcW w:w="885" w:type="dxa"/>
            <w:tcBorders>
              <w:top w:val="single" w:color="auto" w:sz="4" w:space="0"/>
              <w:left w:val="single" w:color="auto" w:sz="8" w:space="0"/>
              <w:bottom w:val="single" w:color="auto" w:sz="8" w:space="0"/>
              <w:right w:val="single" w:color="auto" w:sz="4" w:space="0"/>
            </w:tcBorders>
            <w:noWrap w:val="0"/>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43</w:t>
            </w:r>
          </w:p>
        </w:tc>
        <w:tc>
          <w:tcPr>
            <w:tcW w:w="1544" w:type="dxa"/>
            <w:tcBorders>
              <w:top w:val="single" w:color="auto" w:sz="4" w:space="0"/>
              <w:left w:val="single" w:color="auto" w:sz="4"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视频会议</w:t>
            </w:r>
          </w:p>
        </w:tc>
        <w:tc>
          <w:tcPr>
            <w:tcW w:w="6358" w:type="dxa"/>
            <w:tcBorders>
              <w:top w:val="single" w:color="auto" w:sz="4" w:space="0"/>
              <w:left w:val="nil"/>
              <w:bottom w:val="single" w:color="auto" w:sz="8" w:space="0"/>
              <w:right w:val="single" w:color="auto" w:sz="8" w:space="0"/>
            </w:tcBorders>
            <w:noWrap w:val="0"/>
            <w:vAlign w:val="center"/>
          </w:tcPr>
          <w:p>
            <w:pPr>
              <w:widowControl/>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1、本项目开启采用腾讯视频会议方式（会议号：</w:t>
            </w:r>
            <w:r>
              <w:rPr>
                <w:rFonts w:hint="eastAsia" w:ascii="仿宋_GB2312" w:hAnsi="仿宋_GB2312" w:eastAsia="仿宋_GB2312" w:cs="仿宋_GB2312"/>
                <w:b/>
                <w:bCs/>
                <w:szCs w:val="21"/>
                <w:lang w:val="en-US" w:eastAsia="zh-CN"/>
              </w:rPr>
              <w:t>5562278775</w:t>
            </w:r>
            <w:r>
              <w:rPr>
                <w:rFonts w:hint="eastAsia" w:ascii="仿宋_GB2312" w:hAnsi="仿宋_GB2312" w:eastAsia="仿宋_GB2312" w:cs="仿宋_GB2312"/>
                <w:szCs w:val="21"/>
                <w:lang w:val="en-US" w:eastAsia="zh-CN"/>
              </w:rPr>
              <w:t>、密码：</w:t>
            </w:r>
            <w:r>
              <w:rPr>
                <w:rFonts w:hint="eastAsia" w:ascii="仿宋_GB2312" w:hAnsi="仿宋_GB2312" w:eastAsia="仿宋_GB2312" w:cs="仿宋_GB2312"/>
                <w:b/>
                <w:bCs/>
                <w:szCs w:val="21"/>
                <w:lang w:val="en-US" w:eastAsia="zh-CN"/>
              </w:rPr>
              <w:t>123123</w:t>
            </w:r>
            <w:r>
              <w:rPr>
                <w:rFonts w:hint="eastAsia" w:ascii="仿宋_GB2312" w:hAnsi="仿宋_GB2312" w:eastAsia="仿宋_GB2312" w:cs="仿宋_GB2312"/>
                <w:szCs w:val="21"/>
                <w:lang w:val="en-US" w:eastAsia="zh-CN"/>
              </w:rPr>
              <w:t>）。</w:t>
            </w:r>
          </w:p>
          <w:p>
            <w:pPr>
              <w:widowControl/>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2、供应商在加入视频会议时，须如实填写“供应商名称”，便于会议进入审核。</w:t>
            </w:r>
          </w:p>
          <w:p>
            <w:pPr>
              <w:widowControl/>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3、响应文件解密原则上应在开启时间后</w:t>
            </w:r>
            <w:r>
              <w:rPr>
                <w:rFonts w:hint="eastAsia" w:ascii="仿宋_GB2312" w:hAnsi="仿宋_GB2312" w:eastAsia="仿宋_GB2312" w:cs="仿宋_GB2312"/>
                <w:b/>
                <w:bCs/>
                <w:szCs w:val="21"/>
                <w:lang w:val="en-US" w:eastAsia="zh-CN"/>
              </w:rPr>
              <w:t>30</w:t>
            </w:r>
            <w:r>
              <w:rPr>
                <w:rFonts w:hint="eastAsia" w:ascii="仿宋_GB2312" w:hAnsi="仿宋_GB2312" w:eastAsia="仿宋_GB2312" w:cs="仿宋_GB2312"/>
                <w:szCs w:val="21"/>
                <w:lang w:val="en-US" w:eastAsia="zh-CN"/>
              </w:rPr>
              <w:t>分钟内，如遇特殊情况，供应商应通过视频会议说明并尽快上传解密，因相关</w:t>
            </w:r>
            <w:r>
              <w:rPr>
                <w:rFonts w:hint="eastAsia" w:ascii="仿宋_GB2312" w:hAnsi="仿宋_GB2312" w:eastAsia="仿宋_GB2312" w:cs="仿宋_GB2312"/>
                <w:szCs w:val="21"/>
              </w:rPr>
              <w:t>问题影响评审由供应商自行承担责任</w:t>
            </w:r>
            <w:r>
              <w:rPr>
                <w:rFonts w:hint="eastAsia" w:ascii="仿宋_GB2312" w:hAnsi="仿宋_GB2312" w:eastAsia="仿宋_GB2312" w:cs="仿宋_GB2312"/>
                <w:szCs w:val="21"/>
                <w:lang w:val="en-US" w:eastAsia="zh-CN"/>
              </w:rPr>
              <w:t>。</w:t>
            </w:r>
          </w:p>
          <w:p>
            <w:pPr>
              <w:widowControl/>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4、二次报价原则上应在通知后</w:t>
            </w:r>
            <w:r>
              <w:rPr>
                <w:rFonts w:hint="eastAsia" w:ascii="仿宋_GB2312" w:hAnsi="仿宋_GB2312" w:eastAsia="仿宋_GB2312" w:cs="仿宋_GB2312"/>
                <w:b/>
                <w:bCs/>
                <w:szCs w:val="21"/>
                <w:lang w:val="en-US" w:eastAsia="zh-CN"/>
              </w:rPr>
              <w:t>15</w:t>
            </w:r>
            <w:r>
              <w:rPr>
                <w:rFonts w:hint="eastAsia" w:ascii="仿宋_GB2312" w:hAnsi="仿宋_GB2312" w:eastAsia="仿宋_GB2312" w:cs="仿宋_GB2312"/>
                <w:szCs w:val="21"/>
                <w:lang w:val="en-US" w:eastAsia="zh-CN"/>
              </w:rPr>
              <w:t>分钟内完成，如遇特殊情况，供应商应通过视频会议说明并尽快报价，因相关</w:t>
            </w:r>
            <w:r>
              <w:rPr>
                <w:rFonts w:hint="eastAsia" w:ascii="仿宋_GB2312" w:hAnsi="仿宋_GB2312" w:eastAsia="仿宋_GB2312" w:cs="仿宋_GB2312"/>
                <w:szCs w:val="21"/>
              </w:rPr>
              <w:t>问题影响评审由供应商自行承担责任</w:t>
            </w:r>
            <w:r>
              <w:rPr>
                <w:rFonts w:hint="eastAsia" w:ascii="仿宋_GB2312" w:hAnsi="仿宋_GB2312" w:eastAsia="仿宋_GB2312" w:cs="仿宋_GB2312"/>
                <w:szCs w:val="21"/>
                <w:lang w:val="en-US" w:eastAsia="zh-CN"/>
              </w:rPr>
              <w:t>。</w:t>
            </w:r>
          </w:p>
        </w:tc>
      </w:tr>
    </w:tbl>
    <w:p>
      <w:pPr>
        <w:rPr>
          <w:rFonts w:hint="eastAsia" w:ascii="仿宋_GB2312" w:hAnsi="仿宋_GB2312" w:eastAsia="仿宋_GB2312" w:cs="仿宋_GB2312"/>
        </w:rPr>
      </w:pPr>
      <w:r>
        <w:rPr>
          <w:rFonts w:hint="eastAsia" w:ascii="仿宋_GB2312" w:hAnsi="仿宋_GB2312" w:eastAsia="仿宋_GB2312" w:cs="仿宋_GB2312"/>
        </w:rPr>
        <w:t>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pStyle w:val="3"/>
        <w:adjustRightInd w:val="0"/>
        <w:snapToGrid w:val="0"/>
        <w:spacing w:before="0" w:after="0" w:line="360" w:lineRule="auto"/>
        <w:jc w:val="center"/>
        <w:rPr>
          <w:rFonts w:hint="eastAsia" w:ascii="仿宋_GB2312" w:hAnsi="仿宋_GB2312" w:eastAsia="仿宋_GB2312" w:cs="仿宋_GB2312"/>
        </w:rPr>
      </w:pPr>
      <w:r>
        <w:rPr>
          <w:rFonts w:hint="eastAsia" w:ascii="仿宋_GB2312" w:hAnsi="仿宋_GB2312" w:eastAsia="仿宋_GB2312" w:cs="仿宋_GB2312"/>
          <w:sz w:val="21"/>
          <w:szCs w:val="21"/>
        </w:rPr>
        <w:br w:type="page"/>
      </w:r>
      <w:bookmarkStart w:id="23" w:name="_Toc533340140"/>
      <w:bookmarkStart w:id="24" w:name="_Toc4485619"/>
      <w:r>
        <w:rPr>
          <w:rFonts w:hint="eastAsia" w:ascii="仿宋_GB2312" w:hAnsi="仿宋_GB2312" w:eastAsia="仿宋_GB2312" w:cs="仿宋_GB2312"/>
          <w:szCs w:val="32"/>
        </w:rPr>
        <w:t>二</w:t>
      </w:r>
      <w:r>
        <w:rPr>
          <w:rFonts w:hint="eastAsia" w:ascii="仿宋_GB2312" w:hAnsi="仿宋_GB2312" w:eastAsia="仿宋_GB2312" w:cs="仿宋_GB2312"/>
        </w:rPr>
        <w:t xml:space="preserve"> 总则</w:t>
      </w:r>
      <w:bookmarkEnd w:id="23"/>
      <w:bookmarkEnd w:id="24"/>
    </w:p>
    <w:p>
      <w:pPr>
        <w:adjustRightInd w:val="0"/>
        <w:snapToGrid w:val="0"/>
        <w:spacing w:line="360" w:lineRule="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1.采购人、采购代理机构及供应商</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1.1采购人：是指依法进行政府采购的国家机关、事业单位、团体组织。本项目采购人见供应商须知表1.1条。</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1.2采购代理机构：是指集中采购机构或从事采购代理业务的社会中介机构，本项目的采购代理机构见供应商须知表1.2条。</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★1.3供应商：是指向采购人提供货物、工程或者服务的法人、非法人组织或者自然人。本项目的供应商及其响应服务须满足以下条件：</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1.3.1在中华人民共和国境内注册，能够独立承担民事责任，有生产或供应能力的本国供应商。</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1.3.3以采购代理机构认可的方式获得了本项目的采购文件。</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1.3.4符合供应商须知表1.3.4条中规定的其他要求。</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1.3.5若供应商须知表1.3.5条中写明专门面向中小企业采购的，如供应商为非中小企业，其响应文件将被认定为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1.3.6若供应商须知表1.3.6款中写明采购服务所伴随的货物为财政部、发展改革委、生态环境部等部门发布的品目清单中属于实施政府强制采购品目清单范围的节能产品，如供应商所响应伴随的货物不具备依据国家确定的认证机构出具的、处于有效期之内的节能产品认证证书，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★1.4如供应商须知表1.4条中允许联合体参加采购活动的，对联合体规定如下：</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1.4.1两个以上供应商可以组成一个联合体，以一个供应商的身份参加采购活动。</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1.4.2联合体各方均应符合《中华人民共和国政府采购法》第二十二条规定的条件。</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1.4.3采购人根据采购项目对供应商的特殊要求，联合体中至少应当有一方符合相关规定。</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1.4.4联合体各方应签订共同参加采购活动协议，明确约定联合体各方承担的工作和相应的责任。</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1.4.5大中型企业、其他自然人、法人或者非法人组织与小型、微型企业组成联合体共同参加采购活动，共同参加采购活动协议中应写明小型、微型企业的协议合同金额占到共同参加采购活动协议响应总金额的比例。</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1.4.6联合体中有同类资质的供应商按照联合体分工承担相同工作的，按照较低的资质等级确定联合体的资质等级。</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1.4.7以联合体形式参加政府采购活动的，联合体各方不得再单独参加或者与其他供应商另外组成联合体参加本项目采购活动，否则相关响应文件将被认定为</w:t>
      </w:r>
      <w:r>
        <w:rPr>
          <w:rFonts w:hint="eastAsia" w:ascii="仿宋_GB2312" w:hAnsi="仿宋_GB2312" w:eastAsia="仿宋_GB2312" w:cs="仿宋_GB2312"/>
          <w:b/>
          <w:szCs w:val="21"/>
        </w:rPr>
        <w:t>无效响应。</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（1）两个以上的自然人、法人或者其他组织可以组成一个联合体，以一个供应商的身份共同参加政府采购活动。</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（2）联合体成交的，联合体各方应共同与采购人签订采购合同，就采购合同约定的事项对采购人承担连带责任。</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1.4.8对联合体参加采购活动的其他资格要求见供应商须知表1.4.8条。</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★1.5单位负责人为同一人或者存在直接控股、管理关系的不同供应商，其相关响应将被认定为</w:t>
      </w:r>
      <w:r>
        <w:rPr>
          <w:rFonts w:hint="eastAsia" w:ascii="仿宋_GB2312" w:hAnsi="仿宋_GB2312" w:eastAsia="仿宋_GB2312" w:cs="仿宋_GB2312"/>
          <w:b/>
          <w:szCs w:val="21"/>
        </w:rPr>
        <w:t>无效响应</w:t>
      </w:r>
      <w:r>
        <w:rPr>
          <w:rFonts w:hint="eastAsia" w:ascii="仿宋_GB2312" w:hAnsi="仿宋_GB2312" w:eastAsia="仿宋_GB2312" w:cs="仿宋_GB2312"/>
          <w:szCs w:val="21"/>
        </w:rPr>
        <w:t>。</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★1.6为本项目提供过整体设计、规范编制或者项目管理、监理、检测等服务的供应商，不得再参加本项目上述服务以外的其他采购活动，否则其响应文件将被认定为</w:t>
      </w:r>
      <w:r>
        <w:rPr>
          <w:rFonts w:hint="eastAsia" w:ascii="仿宋_GB2312" w:hAnsi="仿宋_GB2312" w:eastAsia="仿宋_GB2312" w:cs="仿宋_GB2312"/>
          <w:b/>
          <w:szCs w:val="21"/>
        </w:rPr>
        <w:t>无效响应</w:t>
      </w:r>
      <w:r>
        <w:rPr>
          <w:rFonts w:hint="eastAsia" w:ascii="仿宋_GB2312" w:hAnsi="仿宋_GB2312" w:eastAsia="仿宋_GB2312" w:cs="仿宋_GB2312"/>
          <w:szCs w:val="21"/>
        </w:rPr>
        <w:t>。</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★1.7供应商在磋商过程中不得向采购人提供、给予任何有价值的物品，影响其正常决策行为。一经发现，其将被认定为</w:t>
      </w:r>
      <w:r>
        <w:rPr>
          <w:rFonts w:hint="eastAsia" w:ascii="仿宋_GB2312" w:hAnsi="仿宋_GB2312" w:eastAsia="仿宋_GB2312" w:cs="仿宋_GB2312"/>
          <w:b/>
          <w:szCs w:val="21"/>
        </w:rPr>
        <w:t>无效响应</w:t>
      </w:r>
      <w:r>
        <w:rPr>
          <w:rFonts w:hint="eastAsia" w:ascii="仿宋_GB2312" w:hAnsi="仿宋_GB2312" w:eastAsia="仿宋_GB2312" w:cs="仿宋_GB2312"/>
          <w:szCs w:val="21"/>
        </w:rPr>
        <w:t>。</w:t>
      </w:r>
    </w:p>
    <w:p>
      <w:pPr>
        <w:adjustRightInd w:val="0"/>
        <w:snapToGrid w:val="0"/>
        <w:spacing w:line="360" w:lineRule="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2.资金来源</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2.1本项目的采购人已获得足以支付本次磋商后所签订的合同项下的资金（包括财政性资金和本项目采购中无法与财政性资金分割的非财政性资金）。</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★2.2项目预算金额和分项或分包最高限价见供应商须知表2.2条。</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★2.3供应商报价超过采购文件规定的预算金额或者分项、分包最高限价的，其响应文件将被认定为</w:t>
      </w:r>
      <w:r>
        <w:rPr>
          <w:rFonts w:hint="eastAsia" w:ascii="仿宋_GB2312" w:hAnsi="仿宋_GB2312" w:eastAsia="仿宋_GB2312" w:cs="仿宋_GB2312"/>
          <w:b/>
          <w:szCs w:val="21"/>
        </w:rPr>
        <w:t>无效响应</w:t>
      </w:r>
      <w:r>
        <w:rPr>
          <w:rFonts w:hint="eastAsia" w:ascii="仿宋_GB2312" w:hAnsi="仿宋_GB2312" w:eastAsia="仿宋_GB2312" w:cs="仿宋_GB2312"/>
          <w:szCs w:val="21"/>
        </w:rPr>
        <w:t>。</w:t>
      </w:r>
    </w:p>
    <w:p>
      <w:pPr>
        <w:adjustRightInd w:val="0"/>
        <w:snapToGrid w:val="0"/>
        <w:spacing w:line="360" w:lineRule="auto"/>
        <w:rPr>
          <w:rFonts w:hint="eastAsia" w:ascii="仿宋_GB2312" w:hAnsi="仿宋_GB2312" w:eastAsia="仿宋_GB2312" w:cs="仿宋_GB2312"/>
          <w:b/>
          <w:szCs w:val="21"/>
        </w:rPr>
      </w:pPr>
      <w:bookmarkStart w:id="25" w:name="_Toc266951048"/>
      <w:r>
        <w:rPr>
          <w:rFonts w:hint="eastAsia" w:ascii="仿宋_GB2312" w:hAnsi="仿宋_GB2312" w:eastAsia="仿宋_GB2312" w:cs="仿宋_GB2312"/>
          <w:b/>
          <w:szCs w:val="21"/>
        </w:rPr>
        <w:t>3.语言文字</w:t>
      </w:r>
      <w:bookmarkEnd w:id="25"/>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除专用术语外，与磋商有关的语言均使用中文。必要时专用术语应附有中文注释。对不同文字文本响应文件的解释发生异议的，以中文文本为准。</w:t>
      </w:r>
    </w:p>
    <w:p>
      <w:pPr>
        <w:adjustRightInd w:val="0"/>
        <w:snapToGrid w:val="0"/>
        <w:spacing w:line="360" w:lineRule="auto"/>
        <w:rPr>
          <w:rFonts w:hint="eastAsia" w:ascii="仿宋_GB2312" w:hAnsi="仿宋_GB2312" w:eastAsia="仿宋_GB2312" w:cs="仿宋_GB2312"/>
          <w:b/>
          <w:szCs w:val="21"/>
        </w:rPr>
      </w:pPr>
      <w:bookmarkStart w:id="26" w:name="_1.8_计量单位"/>
      <w:bookmarkEnd w:id="26"/>
      <w:bookmarkStart w:id="27" w:name="_Toc266951049"/>
      <w:r>
        <w:rPr>
          <w:rFonts w:hint="eastAsia" w:ascii="仿宋_GB2312" w:hAnsi="仿宋_GB2312" w:eastAsia="仿宋_GB2312" w:cs="仿宋_GB2312"/>
          <w:b/>
          <w:szCs w:val="21"/>
        </w:rPr>
        <w:t>★4.计量单位</w:t>
      </w:r>
      <w:bookmarkEnd w:id="27"/>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除供应商须知表4条中有特殊要求外，响应文件中所使用的计量单位，应采用中华人民共和国法定计量单位。</w:t>
      </w:r>
    </w:p>
    <w:p>
      <w:pPr>
        <w:adjustRightInd w:val="0"/>
        <w:snapToGrid w:val="0"/>
        <w:spacing w:line="360" w:lineRule="auto"/>
        <w:rPr>
          <w:rFonts w:hint="eastAsia" w:ascii="仿宋_GB2312" w:hAnsi="仿宋_GB2312" w:eastAsia="仿宋_GB2312" w:cs="仿宋_GB2312"/>
          <w:b/>
          <w:szCs w:val="21"/>
        </w:rPr>
      </w:pPr>
      <w:r>
        <w:rPr>
          <w:rFonts w:hint="eastAsia" w:ascii="仿宋_GB2312" w:hAnsi="仿宋_GB2312" w:eastAsia="仿宋_GB2312" w:cs="仿宋_GB2312"/>
          <w:b/>
          <w:szCs w:val="21"/>
        </w:rPr>
        <w:t>★5.磋商费用</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不论磋商的结果如何，供应商应承担所有与本次政府采购活动有关的费用。</w:t>
      </w:r>
    </w:p>
    <w:p>
      <w:pPr>
        <w:adjustRightInd w:val="0"/>
        <w:snapToGrid w:val="0"/>
        <w:spacing w:line="360" w:lineRule="auto"/>
        <w:rPr>
          <w:rFonts w:hint="eastAsia" w:ascii="仿宋_GB2312" w:hAnsi="仿宋_GB2312" w:eastAsia="仿宋_GB2312" w:cs="仿宋_GB2312"/>
          <w:b/>
          <w:szCs w:val="21"/>
        </w:rPr>
      </w:pPr>
      <w:r>
        <w:rPr>
          <w:rFonts w:hint="eastAsia" w:ascii="仿宋_GB2312" w:hAnsi="仿宋_GB2312" w:eastAsia="仿宋_GB2312" w:cs="仿宋_GB2312"/>
          <w:b/>
          <w:szCs w:val="21"/>
        </w:rPr>
        <w:t>★6.现场考察、磋商前答疑会</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6.1</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\l "_踏勘现场"</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21"/>
        </w:rPr>
        <w:t>供应商须知表</w:t>
      </w:r>
      <w:r>
        <w:rPr>
          <w:rFonts w:hint="eastAsia" w:ascii="仿宋_GB2312" w:hAnsi="仿宋_GB2312" w:eastAsia="仿宋_GB2312" w:cs="仿宋_GB2312"/>
        </w:rPr>
        <w:fldChar w:fldCharType="end"/>
      </w:r>
      <w:r>
        <w:rPr>
          <w:rFonts w:hint="eastAsia" w:ascii="仿宋_GB2312" w:hAnsi="仿宋_GB2312" w:eastAsia="仿宋_GB2312" w:cs="仿宋_GB2312"/>
          <w:szCs w:val="21"/>
        </w:rPr>
        <w:t>6.1条规定组织现场考察或磋商前答疑会的，采购人按</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\l "_踏勘现场"</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21"/>
        </w:rPr>
        <w:t>供应商须知表</w:t>
      </w:r>
      <w:r>
        <w:rPr>
          <w:rFonts w:hint="eastAsia" w:ascii="仿宋_GB2312" w:hAnsi="仿宋_GB2312" w:eastAsia="仿宋_GB2312" w:cs="仿宋_GB2312"/>
        </w:rPr>
        <w:fldChar w:fldCharType="end"/>
      </w:r>
      <w:r>
        <w:rPr>
          <w:rFonts w:hint="eastAsia" w:ascii="仿宋_GB2312" w:hAnsi="仿宋_GB2312" w:eastAsia="仿宋_GB2312" w:cs="仿宋_GB2312"/>
          <w:szCs w:val="21"/>
        </w:rPr>
        <w:t>6.1条规定的时间、地点组织供应商现场考察或磋商前答疑会，或者在领取采购文件期限截止后以书面形式通知所有获取采购文件的潜在供应商。</w:t>
      </w:r>
    </w:p>
    <w:p>
      <w:pPr>
        <w:adjustRightInd w:val="0"/>
        <w:snapToGrid w:val="0"/>
        <w:spacing w:line="360" w:lineRule="auto"/>
        <w:rPr>
          <w:rFonts w:hint="eastAsia" w:ascii="仿宋_GB2312" w:hAnsi="仿宋_GB2312" w:eastAsia="仿宋_GB2312" w:cs="仿宋_GB2312"/>
          <w:szCs w:val="21"/>
        </w:rPr>
      </w:pPr>
      <w:bookmarkStart w:id="28" w:name="_1.10_投标预备会"/>
      <w:bookmarkEnd w:id="28"/>
      <w:r>
        <w:rPr>
          <w:rFonts w:hint="eastAsia" w:ascii="仿宋_GB2312" w:hAnsi="仿宋_GB2312" w:eastAsia="仿宋_GB2312" w:cs="仿宋_GB2312"/>
          <w:szCs w:val="21"/>
        </w:rPr>
        <w:t>6.2由于未参加现场考察或磋商前答疑而导致对项目实际情况不了解，影响技术文件编制、</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"https://www.baidu.com/s?wd=%E6%8A%95%E6%A0%87%E6%8A%A5%E4%BB%B7&amp;tn=44039180_cpr&amp;fenlei=mv6quAkxTZn0IZRqIHckPjm4nH00T1dWuyfdP1u9uyPBrjKhmvDv0ZwV5Hcvrjm3rH6sPfKWUMw85HfYnjn4nH6sgvPsT6KdThsqpZwYTjCEQLGCpyw9Uz4Bmy-bIi4WUvYETgN-TLwGUv3EPj63P1RkPH6Y" \t "_blank"</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21"/>
        </w:rPr>
        <w:t>响应报价</w:t>
      </w:r>
      <w:r>
        <w:rPr>
          <w:rFonts w:hint="eastAsia" w:ascii="仿宋_GB2312" w:hAnsi="仿宋_GB2312" w:eastAsia="仿宋_GB2312" w:cs="仿宋_GB2312"/>
        </w:rPr>
        <w:fldChar w:fldCharType="end"/>
      </w:r>
      <w:r>
        <w:rPr>
          <w:rFonts w:hint="eastAsia" w:ascii="仿宋_GB2312" w:hAnsi="仿宋_GB2312" w:eastAsia="仿宋_GB2312" w:cs="仿宋_GB2312"/>
          <w:szCs w:val="21"/>
        </w:rPr>
        <w:t>准确性、综合因素响应不全面等问题的，由供应商自行承担相应后果。</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6.3现场考察及磋商前答疑会所发生的费用及一切责任由供应商自行承担。</w:t>
      </w:r>
    </w:p>
    <w:p>
      <w:pPr>
        <w:adjustRightInd w:val="0"/>
        <w:snapToGrid w:val="0"/>
        <w:spacing w:line="360" w:lineRule="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7.适用法律</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本项目的采购人、采购代理机构、供应商、磋商小组的相关行为均受《中华人民共和国政府采购法》、《中华人民共和国政府采购法实施条例》、《政府采购竞争性磋商采购方式暂行办法》及本项目本级和上级财政部门关于政府采购有关规定的约束，其权利受到上述法律法规的保护。</w:t>
      </w:r>
    </w:p>
    <w:p>
      <w:pPr>
        <w:pStyle w:val="3"/>
        <w:keepNext w:val="0"/>
        <w:keepLines w:val="0"/>
        <w:pageBreakBefore w:val="0"/>
        <w:widowControl w:val="0"/>
        <w:kinsoku/>
        <w:wordWrap/>
        <w:overflowPunct/>
        <w:topLinePunct w:val="0"/>
        <w:autoSpaceDE/>
        <w:autoSpaceDN/>
        <w:bidi w:val="0"/>
        <w:adjustRightInd w:val="0"/>
        <w:snapToGrid w:val="0"/>
        <w:spacing w:before="319" w:beforeLines="100" w:after="159" w:afterLines="50" w:line="360" w:lineRule="auto"/>
        <w:jc w:val="center"/>
        <w:textAlignment w:val="auto"/>
        <w:rPr>
          <w:rFonts w:hint="eastAsia" w:ascii="仿宋_GB2312" w:hAnsi="仿宋_GB2312" w:eastAsia="仿宋_GB2312" w:cs="仿宋_GB2312"/>
        </w:rPr>
      </w:pPr>
      <w:bookmarkStart w:id="29" w:name="_Toc4485620"/>
      <w:bookmarkStart w:id="30" w:name="_Toc533340141"/>
      <w:r>
        <w:rPr>
          <w:rFonts w:hint="eastAsia" w:ascii="仿宋_GB2312" w:hAnsi="仿宋_GB2312" w:eastAsia="仿宋_GB2312" w:cs="仿宋_GB2312"/>
        </w:rPr>
        <w:t xml:space="preserve">三 </w:t>
      </w:r>
      <w:bookmarkEnd w:id="29"/>
      <w:bookmarkEnd w:id="30"/>
      <w:r>
        <w:rPr>
          <w:rFonts w:hint="eastAsia" w:ascii="仿宋_GB2312" w:hAnsi="仿宋_GB2312" w:eastAsia="仿宋_GB2312" w:cs="仿宋_GB2312"/>
        </w:rPr>
        <w:t>采购文件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8.采购文件构成</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8.1采购文件共六章，内容如下: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竞争性磋商</w:t>
      </w:r>
      <w:r>
        <w:rPr>
          <w:rFonts w:hint="eastAsia" w:ascii="仿宋_GB2312" w:hAnsi="仿宋_GB2312" w:eastAsia="仿宋_GB2312" w:cs="仿宋_GB2312"/>
          <w:szCs w:val="21"/>
        </w:rPr>
        <w:t>公告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第一章 供应商须知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第二章 响应文件内容及格式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第三章 服务需求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第四章 磋商内容、磋商过程中可能实质性变动的内容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第五章 评审办法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第六章 政府采购合同条款及格式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★8.2供应商应认真阅读采购文件所有的事项、格式、条款等。如供应商没有按照采购文件要求提交资料，或者响应文件没有对采购文件做出实质性响应，可能导致其响应文件被认定为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9.采购文件的澄清与修改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rPr>
        <w:t>9.1</w:t>
      </w:r>
      <w:r>
        <w:rPr>
          <w:rFonts w:hint="eastAsia" w:ascii="仿宋_GB2312" w:hAnsi="仿宋_GB2312" w:eastAsia="仿宋_GB2312" w:cs="仿宋_GB2312"/>
          <w:szCs w:val="21"/>
          <w:shd w:val="clear" w:color="auto" w:fill="FFFFFF"/>
        </w:rPr>
        <w:t>采购人、采购代理机构可以对已发出的采购文件进行必要的澄清或者修改。澄清或者修改的内容可能影响响应文件编制的，应当在递交首次响应文件截止时间至少3个工作日前，</w:t>
      </w:r>
      <w:r>
        <w:rPr>
          <w:rFonts w:hint="eastAsia" w:ascii="仿宋_GB2312" w:hAnsi="仿宋_GB2312" w:eastAsia="仿宋_GB2312" w:cs="仿宋_GB2312"/>
          <w:szCs w:val="21"/>
        </w:rPr>
        <w:t>在原公告发布媒体上发布变更公告</w:t>
      </w:r>
      <w:r>
        <w:rPr>
          <w:rFonts w:hint="eastAsia" w:ascii="仿宋_GB2312" w:hAnsi="仿宋_GB2312" w:eastAsia="仿宋_GB2312" w:cs="仿宋_GB2312"/>
          <w:szCs w:val="21"/>
          <w:shd w:val="clear" w:color="auto" w:fill="FFFFFF"/>
        </w:rPr>
        <w:t>，以书面形式通知所有接收采购文件的供应商，不足3个工作日的，应当顺延首次递交响应文件截止时间。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9.2澄清或者修改的内容为采购文件的组成部分，对所有采购文件的收受人具有约束力。供应商在收到上述通知后，应及时向采购代理机构回函确认。</w:t>
      </w:r>
    </w:p>
    <w:p>
      <w:pPr>
        <w:pStyle w:val="3"/>
        <w:keepNext w:val="0"/>
        <w:keepLines w:val="0"/>
        <w:pageBreakBefore w:val="0"/>
        <w:widowControl w:val="0"/>
        <w:kinsoku/>
        <w:wordWrap/>
        <w:overflowPunct/>
        <w:topLinePunct w:val="0"/>
        <w:autoSpaceDE/>
        <w:autoSpaceDN/>
        <w:bidi w:val="0"/>
        <w:adjustRightInd w:val="0"/>
        <w:snapToGrid w:val="0"/>
        <w:spacing w:before="319" w:beforeLines="100" w:after="159" w:afterLines="50" w:line="360" w:lineRule="auto"/>
        <w:jc w:val="center"/>
        <w:textAlignment w:val="auto"/>
        <w:rPr>
          <w:rFonts w:hint="eastAsia" w:ascii="仿宋_GB2312" w:hAnsi="仿宋_GB2312" w:eastAsia="仿宋_GB2312" w:cs="仿宋_GB2312"/>
        </w:rPr>
      </w:pPr>
      <w:bookmarkStart w:id="31" w:name="_Toc4485621"/>
      <w:bookmarkStart w:id="32" w:name="_Toc533340142"/>
      <w:r>
        <w:rPr>
          <w:rFonts w:hint="eastAsia" w:ascii="仿宋_GB2312" w:hAnsi="仿宋_GB2312" w:eastAsia="仿宋_GB2312" w:cs="仿宋_GB2312"/>
        </w:rPr>
        <w:t>四  响应文件的编制</w:t>
      </w:r>
      <w:bookmarkEnd w:id="31"/>
      <w:bookmarkEnd w:id="32"/>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bCs/>
          <w:szCs w:val="21"/>
        </w:rPr>
        <w:t>10.</w:t>
      </w:r>
      <w:r>
        <w:rPr>
          <w:rFonts w:hint="eastAsia" w:ascii="仿宋_GB2312" w:hAnsi="仿宋_GB2312" w:eastAsia="仿宋_GB2312" w:cs="仿宋_GB2312"/>
          <w:b/>
          <w:szCs w:val="21"/>
        </w:rPr>
        <w:t>响应范围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10.1项目有分包的，供应商可对采购文件其中某一个分包或几个分包进行响应。</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szCs w:val="21"/>
        </w:rPr>
        <w:t>★10.2供应商应当对所响应分包采购文件中“服务需求”所列的所有服务内容进行响应，如仅响应分包中某一部分内容，其该包响应文件将被认定为</w:t>
      </w:r>
      <w:r>
        <w:rPr>
          <w:rFonts w:hint="eastAsia" w:ascii="仿宋_GB2312" w:hAnsi="仿宋_GB2312" w:eastAsia="仿宋_GB2312" w:cs="仿宋_GB2312"/>
          <w:b/>
          <w:szCs w:val="21"/>
        </w:rPr>
        <w:t>无效响应。</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pPr>
      <w:r>
        <w:rPr>
          <w:rFonts w:hint="eastAsia" w:ascii="仿宋_GB2312" w:hAnsi="仿宋_GB2312" w:eastAsia="仿宋_GB2312" w:cs="仿宋_GB2312"/>
          <w:szCs w:val="21"/>
        </w:rPr>
        <w:t>10.3无论采购文件第三章服务需求中是否要求，供应商所响应的服务均应符合国家强制性标准。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11.响应文件构成</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★11.1供应商应完整地按采购文件提供的响应文件格式及要求编写响应文件。响应文件应包括资格证明文件、符合性证明文件、其它材料三部分。具体详见第二章 响应文件内容及格式。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11.2供应商应按采购文件提供的格式编写响应文件。采购文件提供标准格式的按标准格式填列，未提供标准格式的可自行拟定。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11.3样品或演示要求详见供应商须知表11.3条。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★12.响应报价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12.1所有响应均按供应商须知表12.1条中要求货币进行报价。供应商的响应报价应遵守《中华人民共和国价格法》。同时，根据《中华人民共和国政府采购法》第三条的规定，为保证公平竞争，如有服务主体部分的赠与行为，其响应文件将被认定为无效响应。</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12.2供应商应按采购文件要求在相关表格中标明响应服务及伴随货物的单价和总价，并由法定代表人（非法人组织的负责人）或其委托代理人签署。</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12.3供应商提交的最后报价,在合同履行过程中是固定不变的，不得以任何理由予以变更。任何包含价格调整要求的响应，其响应文件将被认定为无效响应。</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12.4每种服务只能有一个响应报价。采购人不接受具有附加条件的报价。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12.5除非采购文件另有规定，报价原则上精确到小数点后两位。</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★13.磋商保证金</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13.1供应商应提交供应商须知表13.1条中规定的磋商保证金，并作为其响应文件的一部分。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13.2磋商保证金缴纳人、采购文件领取人、提交响应文件登记人和供应商必须为同一组织机构或联合体内不同成员单位，否则将视同未按采购文件规定交纳保证金。</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13.3供应商存在下列情形的，磋商保证金不予退还:</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（1）供应商在提交响应文件截止时间后撤回响应文件的；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（2）供应商在响应文件中提供虚假材料的；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（3）成交后除因不可抗力或者采购文件认可的情形以外，不按本须知第36条的规定与采购人签订合同的；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（4）成交后不按本须知第37条的规定提交履约保证金的;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（5）成交后不按本须知第38条的规定缴纳采购代理服务费的;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（6）采购文件规定的其他保证金不予退还情形或存在其他违法违规行为的。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13.4联合体参加采购活动的，可以由联合体中的一方或者共同提交磋商保证金。以一方名义提交磋商保证金的，对联合体各方均具有约束力。</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13.5磋商保证金的退还</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13.5.1成交供应商应在与采购人签订合同之日起5个工作日内，及时联系保证金收受机构办理磋商保证金退还手续。</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13.5.2未成交供应商的保证金将在成交通知书发出之日暨成交结果公告公布之日起5个工作日内无息退还。供应商应及时联系保证金收受机构办理退还磋商保证金手续。</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13.5.3供应商在递交响应文件截止时间前撤回已提交的响应文件的，供应商应自采购人或者采购代理机构收到供应商书面撤回通知之日起５个工作日内，及时联系保证金收受机构办理磋商保证金退还手续。</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13.5.4政府采购担保函不予退回。</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13.6因供应商自身原因导致无法及时退还的，采购人或采购代理机构将不承担相应责任。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★14.证明响应标的的合格性和符合采购文件规定的技术文件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14.供应商应提交证明文件，证明其响应内容符合采购文件规定。该证明文件是响应文件的一部分。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14.2上款所述的证明文件，可以是文字资料、图纸和数据。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★15.响应有效期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15.1响应应在供应商须知表15.1条中规定的响应有效期内保持有效。响应有效期不满足要求的响应，其响应文件将被认定为无效响应。</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15.2在特殊情况下，采购人或采购代理机构可根据实际情况，在原响应有效期截止之前，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bookmarkStart w:id="33" w:name="_Toc4485622"/>
      <w:bookmarkStart w:id="34" w:name="_Toc533340143"/>
      <w:r>
        <w:rPr>
          <w:rFonts w:hint="eastAsia" w:ascii="仿宋_GB2312" w:hAnsi="仿宋_GB2312" w:eastAsia="仿宋_GB2312" w:cs="仿宋_GB2312"/>
          <w:b/>
          <w:szCs w:val="21"/>
        </w:rPr>
        <w:t>16.响应文件的签署及规定（仅为纸质版文件使用）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16.1供应商应按供应商须知表16.1款中的规定，准备和递交响应文件正本、副本和电子文档。</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★16.2每份响应文件封皮须清楚地标明“正本”或“副本”。若正本和副本不符，以正本为准。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pPr>
        <w:pStyle w:val="3"/>
        <w:keepNext w:val="0"/>
        <w:keepLines w:val="0"/>
        <w:pageBreakBefore w:val="0"/>
        <w:widowControl w:val="0"/>
        <w:kinsoku/>
        <w:wordWrap/>
        <w:overflowPunct/>
        <w:topLinePunct w:val="0"/>
        <w:autoSpaceDE/>
        <w:autoSpaceDN/>
        <w:bidi w:val="0"/>
        <w:adjustRightInd w:val="0"/>
        <w:snapToGrid w:val="0"/>
        <w:spacing w:before="319" w:beforeLines="100" w:after="159" w:afterLines="50"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五 响应文件的递交</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★17.响应文件的密封和标记</w:t>
      </w:r>
      <w:r>
        <w:rPr>
          <w:rFonts w:hint="eastAsia" w:ascii="仿宋_GB2312" w:hAnsi="仿宋_GB2312" w:eastAsia="仿宋_GB2312" w:cs="仿宋_GB2312"/>
          <w:b/>
          <w:bCs/>
          <w:color w:val="auto"/>
          <w:szCs w:val="21"/>
          <w:lang w:eastAsia="zh-CN"/>
        </w:rPr>
        <w:t>（仅为纸质版文件使用）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17.1供应商应将响应文件密封，将正本和所有的副本、电子文档密封，并进行包封。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17.2所有包装封皮上均应：</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（1）注明项目名称、项目编号、包号、供应商名称。</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（2）加盖供应商单位公章。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17.3如果供应商未按上述要求密封，其响应文件将被</w:t>
      </w:r>
      <w:r>
        <w:rPr>
          <w:rFonts w:hint="eastAsia" w:ascii="仿宋_GB2312" w:hAnsi="仿宋_GB2312" w:eastAsia="仿宋_GB2312" w:cs="仿宋_GB2312"/>
          <w:b/>
          <w:szCs w:val="21"/>
        </w:rPr>
        <w:t>拒绝接收</w:t>
      </w:r>
      <w:r>
        <w:rPr>
          <w:rFonts w:hint="eastAsia" w:ascii="仿宋_GB2312" w:hAnsi="仿宋_GB2312" w:eastAsia="仿宋_GB2312" w:cs="仿宋_GB2312"/>
          <w:szCs w:val="21"/>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★18.递交响应文件截止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18.1供应商应在供应商须知表18.1条中规定的截止时间前，将响应文件递交到供应商须知表18.1条中规定的地点。</w:t>
      </w:r>
      <w:r>
        <w:rPr>
          <w:rFonts w:hint="eastAsia" w:ascii="仿宋_GB2312" w:hAnsi="仿宋_GB2312" w:eastAsia="仿宋_GB2312" w:cs="仿宋_GB2312"/>
          <w:b/>
          <w:bCs/>
          <w:color w:val="auto"/>
          <w:szCs w:val="21"/>
          <w:lang w:eastAsia="zh-CN"/>
        </w:rPr>
        <w:t>（仅为纸质版文件使用）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18.2采购人和采购代理机构有权按本须知的规定，延迟递交响应文件截止时间。在此情况下，采购人、采购代理机构和供应商受递交响应文件截止时间制约的所有权利和义务均应延长至新的截止时间。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★19.响应文件的接收、修改与撤回</w:t>
      </w:r>
      <w:r>
        <w:rPr>
          <w:rFonts w:hint="eastAsia" w:ascii="仿宋_GB2312" w:hAnsi="仿宋_GB2312" w:eastAsia="仿宋_GB2312" w:cs="仿宋_GB2312"/>
          <w:b/>
          <w:bCs/>
          <w:color w:val="auto"/>
          <w:szCs w:val="21"/>
          <w:lang w:eastAsia="zh-CN"/>
        </w:rPr>
        <w:t>（仅为纸质版文件使用）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19.1在递交响应文件截止时间后送达的响应文件,采购人和采购代理机构将</w:t>
      </w:r>
      <w:r>
        <w:rPr>
          <w:rFonts w:hint="eastAsia" w:ascii="仿宋_GB2312" w:hAnsi="仿宋_GB2312" w:eastAsia="仿宋_GB2312" w:cs="仿宋_GB2312"/>
          <w:b/>
          <w:szCs w:val="21"/>
        </w:rPr>
        <w:t>拒绝接收。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19.2递交响应文件以后，如果供应商要进行修改或撤回响应文件，须提出书面申请并在提交响应文件截止时间前送达磋商地点，供应商对响应文件的修改或撤回通知应按本须知规定编制、密封、标记。采购人和采购代理机构将予以接收，并视为响应文件的组成部分，否则，修改后的响应文件或撤回行为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19.3在提交响应文件截止时间之后，除需提交最后报价外，供应商不得对其响应文件做任何修改；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19.4采购人和采购代理机构对所接收并进行磋商的响应文件概不退回。</w:t>
      </w:r>
    </w:p>
    <w:p>
      <w:pPr>
        <w:pStyle w:val="3"/>
        <w:keepNext w:val="0"/>
        <w:keepLines w:val="0"/>
        <w:pageBreakBefore w:val="0"/>
        <w:widowControl w:val="0"/>
        <w:kinsoku/>
        <w:wordWrap/>
        <w:overflowPunct/>
        <w:topLinePunct w:val="0"/>
        <w:autoSpaceDE/>
        <w:autoSpaceDN/>
        <w:bidi w:val="0"/>
        <w:adjustRightInd w:val="0"/>
        <w:snapToGrid w:val="0"/>
        <w:spacing w:before="319" w:beforeLines="100" w:after="0"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六 磋商及评审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★20.磋商会议</w:t>
      </w:r>
      <w:r>
        <w:rPr>
          <w:rFonts w:hint="eastAsia" w:ascii="仿宋_GB2312" w:hAnsi="仿宋_GB2312" w:eastAsia="仿宋_GB2312" w:cs="仿宋_GB2312"/>
          <w:b/>
          <w:bCs/>
          <w:color w:val="auto"/>
          <w:szCs w:val="21"/>
          <w:lang w:eastAsia="zh-CN"/>
        </w:rPr>
        <w:t>（仅为纸质版文件使用）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20.1采购人和采购代理机构将按供应商须知表20.1条中规定的时间和地点组织磋商会议，并邀请所有供应商代表参加。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供应商不足3家的，不得继续磋商。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20.2由供应商或其推选的代表检查响应文件的密封情况，确认无误后进行记录。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20.3供应商代表对磋商会议过程有疑义，以及认为采购人、采购代理机构相关工作人员有需要回避的情形的，应当场提出询问或者回避申请。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★21.组建磋商小组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21.1按照《政府采购竞争性磋商采购方式暂行办法》有关规定依法组建磋商小组，负责本项目评审工作。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rPr>
        <w:t>21.2磋商小组由采购人代表和评审专家共3人以上单数组成。达到公开招标数额的项目，磋商小组应该由5人以上单数组成。</w:t>
      </w:r>
      <w:r>
        <w:rPr>
          <w:rFonts w:hint="eastAsia" w:ascii="仿宋_GB2312" w:hAnsi="仿宋_GB2312" w:eastAsia="仿宋_GB2312" w:cs="仿宋_GB2312"/>
          <w:szCs w:val="21"/>
        </w:rPr>
        <w:t>本项目磋商小组组成详见供应商须知表21.2条。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★22.资格审查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rPr>
        <w:t>22.1磋商小组依据法律法规和采购文件中规定的内容，对供应商的资格（提交的资格证明材料）进行审查。未通过资格审查的供应商不能进入下一阶段评审；通过资格审查的供应商不足3家的</w:t>
      </w:r>
      <w:r>
        <w:rPr>
          <w:rFonts w:hint="eastAsia" w:ascii="仿宋_GB2312" w:hAnsi="仿宋_GB2312" w:eastAsia="仿宋_GB2312" w:cs="仿宋_GB2312"/>
          <w:szCs w:val="21"/>
          <w:shd w:val="clear" w:color="auto" w:fill="FFFFFF"/>
        </w:rPr>
        <w:t>，不得进入下一阶段评审，但本须知22.2条规定的情形除外。</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22.2采用竞争性磋商采购方式采购的政府购买服务项目（含政府和社会资本合作项目），在采购过程中通过资格审查的供应商（社会资本）只有2家的，竞争性磋商采购活动可以继续进行。</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22.3</w:t>
      </w:r>
      <w:r>
        <w:rPr>
          <w:rFonts w:hint="eastAsia" w:ascii="仿宋_GB2312" w:hAnsi="仿宋_GB2312" w:eastAsia="仿宋_GB2312" w:cs="仿宋_GB2312"/>
          <w:szCs w:val="21"/>
        </w:rPr>
        <w:t>采购人或采购代理机构将在递交响应文件截止时间前一个工作日至资格审查结束前的期间内查询供应商的信用记录。供应商存在不良信用记录的，其响应将被认定为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22.3.1</w:t>
      </w:r>
      <w:r>
        <w:rPr>
          <w:rFonts w:hint="eastAsia" w:ascii="仿宋_GB2312" w:hAnsi="仿宋_GB2312" w:eastAsia="仿宋_GB2312" w:cs="仿宋_GB2312"/>
          <w:szCs w:val="21"/>
        </w:rPr>
        <w:t>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rPr>
        <w:t>以</w:t>
      </w:r>
      <w:r>
        <w:rPr>
          <w:rFonts w:hint="eastAsia" w:ascii="仿宋_GB2312" w:hAnsi="仿宋_GB2312" w:eastAsia="仿宋_GB2312" w:cs="仿宋_GB2312"/>
          <w:szCs w:val="21"/>
          <w:shd w:val="clear" w:color="auto" w:fill="FFFFFF"/>
        </w:rPr>
        <w:t>联合体形式参加政府采购活动的，联合体任何成员存在以上不良信用记录的，联合体响应文件将被认定为</w:t>
      </w:r>
      <w:r>
        <w:rPr>
          <w:rFonts w:hint="eastAsia" w:ascii="仿宋_GB2312" w:hAnsi="仿宋_GB2312" w:eastAsia="仿宋_GB2312" w:cs="仿宋_GB2312"/>
          <w:b/>
          <w:bCs/>
          <w:szCs w:val="21"/>
          <w:shd w:val="clear" w:color="auto" w:fill="FFFFFF"/>
        </w:rPr>
        <w:t>无效响应</w:t>
      </w:r>
      <w:r>
        <w:rPr>
          <w:rFonts w:hint="eastAsia" w:ascii="仿宋_GB2312" w:hAnsi="仿宋_GB2312" w:eastAsia="仿宋_GB2312" w:cs="仿宋_GB2312"/>
          <w:szCs w:val="21"/>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rPr>
        <w:t>22.3.2</w:t>
      </w:r>
      <w:r>
        <w:rPr>
          <w:rFonts w:hint="eastAsia" w:ascii="仿宋_GB2312" w:hAnsi="仿宋_GB2312" w:eastAsia="仿宋_GB2312" w:cs="仿宋_GB2312"/>
          <w:szCs w:val="21"/>
          <w:shd w:val="clear" w:color="auto" w:fill="FFFFFF"/>
        </w:rPr>
        <w:t>查询及记录方式：采购代理机构经办人将查询网页打印并存档备查。供应商不良信用记录以采购人或采购代理机构查询结果为准。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在本采购文件规定的查询时间之后，网站信息发生的任何变更均不再作为评审依据。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供应商在自行提供的与网站信息不一致的其他证明材料亦不作为资格审查依据。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shd w:val="clear" w:color="auto" w:fill="FFFFFF"/>
        </w:rPr>
      </w:pPr>
      <w:r>
        <w:rPr>
          <w:rFonts w:hint="eastAsia" w:ascii="仿宋_GB2312" w:hAnsi="仿宋_GB2312" w:eastAsia="仿宋_GB2312" w:cs="仿宋_GB2312"/>
          <w:b/>
          <w:szCs w:val="21"/>
        </w:rPr>
        <w:t>★</w:t>
      </w:r>
      <w:r>
        <w:rPr>
          <w:rFonts w:hint="eastAsia" w:ascii="仿宋_GB2312" w:hAnsi="仿宋_GB2312" w:eastAsia="仿宋_GB2312" w:cs="仿宋_GB2312"/>
          <w:b/>
          <w:szCs w:val="21"/>
          <w:shd w:val="clear" w:color="auto" w:fill="FFFFFF"/>
        </w:rPr>
        <w:t>23.符合性审查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rPr>
        <w:t>23.1</w:t>
      </w:r>
      <w:r>
        <w:rPr>
          <w:rFonts w:hint="eastAsia" w:ascii="仿宋_GB2312" w:hAnsi="仿宋_GB2312" w:eastAsia="仿宋_GB2312" w:cs="仿宋_GB2312"/>
          <w:szCs w:val="21"/>
          <w:shd w:val="clear" w:color="auto" w:fill="FFFFFF"/>
        </w:rPr>
        <w:t>符合性审查是指依据采购文件的规定，从响应文件的有效性和完整性对采购文件的响应程度进行审查，以确定是否对采购文件的实质性要求做出响应。</w:t>
      </w:r>
      <w:r>
        <w:rPr>
          <w:rFonts w:hint="eastAsia" w:ascii="仿宋_GB2312" w:hAnsi="仿宋_GB2312" w:eastAsia="仿宋_GB2312" w:cs="仿宋_GB2312"/>
          <w:szCs w:val="21"/>
        </w:rPr>
        <w:t>供应商应按照第二章《响应文件内容及格式》中的相应要求，提交符合性证明材料。未通过符合性审查的供应商不能进入下一阶段评审，其响应将被认定为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；通过符合性审查的供应商数量不足3家的，不得作进一步的比较和评价，本须知第23.2条规定的情形除外。</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23.2采用竞争性磋商采购方式采购的政府购买服务项目（含政府和社会资本合作项目），在采购过程中通过符合性审查的供应商（社会资本）只有2家的，竞争性磋商采购活动可以继续进行。</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24.样品及演示</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24.1供应商须知表11.3条中要求供应商提供样品或演示的，按照供应商须知表24.1条中样品或演示的评审办法以及评审标准进行评审。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24.2采购活动结束后，对于未成交供应商提供的样品，应当及时退还或者经未成交供应商同意后自行处理；对于成交供应商提供的样品，应当按采购文件规定进行保管、封存，并作为履约验收的参考。具体内容见供应商须知表11.3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25.响应文件的澄清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25.1</w:t>
      </w:r>
      <w:r>
        <w:rPr>
          <w:rFonts w:hint="eastAsia" w:ascii="仿宋_GB2312" w:hAnsi="仿宋_GB2312" w:eastAsia="仿宋_GB2312" w:cs="仿宋_GB2312"/>
          <w:szCs w:val="21"/>
          <w:shd w:val="clear" w:color="auto" w:fill="FFFFFF"/>
        </w:rPr>
        <w:t>在磋商期间，磋商小组可以书面要求供应商对其响应文件中含义不明确、同类问题表述不一致或者有明显文字和计算错误的内容</w:t>
      </w:r>
      <w:r>
        <w:rPr>
          <w:rFonts w:hint="eastAsia" w:ascii="仿宋_GB2312" w:hAnsi="仿宋_GB2312" w:eastAsia="仿宋_GB2312" w:cs="仿宋_GB2312"/>
          <w:szCs w:val="21"/>
        </w:rPr>
        <w:t>作必要的澄清、说明或补正。供应商的澄清、说明或补正应在磋商小组规定的时间内以书面方式进行，并不得超出响应文件范围或者改变响应文件的实质性内容。供应商拒不进行澄清、说明、补正的，或者不能在规定时间内作出书面澄清、说明、补正的，其响应文件将被作为无效响应处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25.1.1供应商的澄清、说明或者补正应当由法定代表人（或非法人组织负责人）或其授权代表签字或者加盖公章。供应商为自然人的，应当由本人签字并附身份证明。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25.1.2供应商的澄清、说明或补正将作为响应文件的一部分。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25.2响应文件报价出现前后不一致的，按照下列规定修正：</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（1）响应文件中报价一览表内容与响应文件中相应内容不一致的，以报价一览表为准；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（3）单价金额小数点或者百分比有明显错位的，以报价一览表的总价为准，并修改单价；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同时出现两种以上不一致的，按照前款规定的顺序修正。修正后的报价经供应商确认后产生约束力，供应商不确认的，其响应文件将被认定为无效响应。</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25.3</w:t>
      </w:r>
      <w:r>
        <w:rPr>
          <w:rFonts w:hint="eastAsia" w:ascii="仿宋_GB2312" w:hAnsi="仿宋_GB2312" w:eastAsia="仿宋_GB2312" w:cs="仿宋_GB2312"/>
          <w:bCs/>
          <w:szCs w:val="21"/>
        </w:rPr>
        <w:t>磋商小组认为</w:t>
      </w:r>
      <w:r>
        <w:rPr>
          <w:rFonts w:hint="eastAsia" w:ascii="仿宋_GB2312" w:hAnsi="仿宋_GB2312" w:eastAsia="仿宋_GB2312" w:cs="仿宋_GB2312"/>
          <w:szCs w:val="21"/>
        </w:rPr>
        <w:t>供应商的最后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响应处理。提交 证明材料的合理时间按第五章 评审办法规定执行。</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★26.磋商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26.1磋商小组将集中根据采购文件规定的程序、评定成交的标准等事项与实质性响应采购文件要求的供应商分别进行磋商。在磋商中，磋商的任何一方不得透露与磋商有关的其他供应商的技术资料、价格和其他信息。</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26.2在磋商过程中，磋商小组可以根据采购文件和磋商情况，</w:t>
      </w:r>
      <w:r>
        <w:rPr>
          <w:rFonts w:hint="eastAsia" w:ascii="仿宋_GB2312" w:hAnsi="仿宋_GB2312" w:eastAsia="仿宋_GB2312" w:cs="仿宋_GB2312"/>
          <w:b/>
          <w:szCs w:val="21"/>
        </w:rPr>
        <w:t>经采购人代表确认后</w:t>
      </w:r>
      <w:r>
        <w:rPr>
          <w:rFonts w:hint="eastAsia" w:ascii="仿宋_GB2312" w:hAnsi="仿宋_GB2312" w:eastAsia="仿宋_GB2312" w:cs="仿宋_GB2312"/>
          <w:szCs w:val="21"/>
        </w:rPr>
        <w:t>变动采购需求中的技术、服务要求以及合同草案条例等实质性内容。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26.3对采购文件作出实质性变动是采购文件的有效组成部分，磋商小组将以书面形式同时通知所有参加磋商的供应商。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26.4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★27.最后报价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27.1磋商结束后，磋商小组将要求所有实质性响应的供应商在规定时间内提交最后报价，且提交最后报价的供应商不少于3家，本须知第27.2条规定的情形除外。</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27.2采用竞争性磋商方式开展采购的“市场竞争不充分的科研项目，以及需要扶持的科技成果转化项目”，或符合23.2规定的情形的，提交最后报价的供应商可以为2家。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27.3最后报价是供应商响应文件的有效组成部分。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27.4已提交响应文件的供应商，在提交最后报价之前，可以根据磋商情况退出磋商，退出磋商不视为撤回响应文件，退出磋商不影响退出磋商的供应商对已经递交的响应文件承担法律、法规和采购文件中规定的相应责任。采购人,采购代理机构应当退还退出磋商的供应商的保证金。</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★28.响应无效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28.1 在比较与评价之前，根据本须知的规定，磋商小组将审查每份响应文件是否实质上响应了采购文件的要求。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实质性要求是指采购文件中带有★号标识内容（包括本级及其下级编号中所有内容）等文字说明的要求。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对采购文件的实质性要求进行响应是指与采购文件中带有★号标识内容的文字说明、条款、条件和规格等要求相符。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如果响应文件没有对采购文件的实质性要求进行响应，将作为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处理，供应商不得再对响应文件进行任何修正从而使其响应成为实质上响应。</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磋商小组决定是否实质性响应只根据采购文件要求、响应文件内容及财政主管部门指定媒体发布的相关信息。</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28.2如发现下列情况之一的，其响应文件将被认定为无效响应：</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（1）未按采购文件的规定提交磋商保证金的；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（2）未按照采购文件规定要求签署、盖章的；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（3）供应商的报价超过了采购文件中规定的预算金额或者最高限价的；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（4）不具备采购文件中规定的资格要求的；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（5）不符合法律、法规和采购文件中规定的实质性要求的。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（6）磋商小组认为供应商的报价明显低于其他通过符合性审查供应商的报价，有可能影响履约的，且供应商未按照规定证明其报价合理性的；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（7）响应文件含有采购人不能接受的附加条件的；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（8）属于法律、法规和采购文件中规定的其他无效响应情形的。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29.比较与评价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29.1经符合性审查合格的响应文件，磋商小组将根据采购文件第五章确定的评审办法，对其技术部分和商务部分作进一步的比较和评价。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29.2评审严格按照采购文件的要求和条件进行。按照供应商须知表29.2条规定的综合评分法进行评审，详细评审标准见采购文件第五章 评审方法。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综合评分法，是指响应文件满足采购文件全部实质性要求且按评审因素的量化指标评审得分最高的供应商为成交候选供应商的评审方法。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29.3 根据《政府采购促进中小企业发展暂行办法》（财库[20</w:t>
      </w: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 xml:space="preserve"> 46 </w:t>
      </w:r>
      <w:r>
        <w:rPr>
          <w:rFonts w:hint="eastAsia" w:ascii="仿宋_GB2312" w:hAnsi="仿宋_GB2312" w:eastAsia="仿宋_GB2312" w:cs="仿宋_GB2312"/>
          <w:szCs w:val="21"/>
        </w:rPr>
        <w:t>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6-10%后参与评审。具体详见第五章 评审办法。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29.4 依据财政部、发展改革委、生态环境部等部门发布的品目清单和国家确定的认证机构出具的、处于有效期之内的节能产品、环境标志产品认证证书实施政府优先采购。具体优先采购办法详见第五章 评审办法。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29.5依据财政部 国务院扶贫办《关于运用政府采购政策支持脱贫攻坚的通知》（财库〔2019〕27 号）的规定，对于聘用建档立卡贫困人员物业公司的项目，在满足价格扣除条件且在响应文件中提交了《聘用建档立卡贫困人员物业公司声明函》的供应商，对其最后报价扣除后参与评审。具体办法详见第五章 评审办法。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29.6根据财政部、辽宁省财政厅相关规定，对于列入《辽宁省创新产品和服务目录》内的产品、服务实施政府优先采购，具体优先采购办法详见第五章 评审办法。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★30.终止本次磋商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出现下列情形之一的，采购人或采购代理机构应当终止本次竞争性磋商。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（3）除本须知27.2条规定的情形外，在采购过程中符合要求的供应商或者报价未超过采购预算或最高限价的供应商不足3家的。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（4）因重大变故，采购任务取消的。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31.成交候选供应商的推荐原则及标准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31.1除第34条规定外，磋商结束后，除了算数修正和落实政府采购政策需进行的价格扣除外，不对供应商的响应价格进行任何调整。评审结果按照得分由高至低的顺序排序。具体处理办法详见 第五章 评审方法。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31.2磋商小组将按供应商须知表31.2条中规定的数量推荐成交候选供应商。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31.3因推荐成交候选供应商名单产生其他问题，由磋商小组集体研究处理。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★32.保密原则</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32.1评审将在严格保密的情况下进行。</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32.2有关人员应当遵守评审工作纪律，不得泄露评审文件、评审情况和评审过程中获悉的国家秘密、商业秘密。</w:t>
      </w:r>
    </w:p>
    <w:p>
      <w:pPr>
        <w:pStyle w:val="3"/>
        <w:keepNext w:val="0"/>
        <w:keepLines w:val="0"/>
        <w:pageBreakBefore w:val="0"/>
        <w:widowControl w:val="0"/>
        <w:kinsoku/>
        <w:wordWrap/>
        <w:overflowPunct/>
        <w:topLinePunct w:val="0"/>
        <w:autoSpaceDE/>
        <w:autoSpaceDN/>
        <w:bidi w:val="0"/>
        <w:adjustRightInd w:val="0"/>
        <w:snapToGrid w:val="0"/>
        <w:spacing w:before="159" w:beforeLines="50" w:after="0"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七 确定成交</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33.确定成交供应商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采购人在收到评审报告5个工作日内,从评审报告提出的成交候选供应商中,根据质量和服务均能满足采购文件实质性响应要求且综合得分最高的原则确定成交供应商,也可以书面授权磋商小组直接确定成交供应商。本项目成交供应商确定方式详见供应商须知表33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★34.采购任务取消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因重大变故采购任务取消时，采购人有权拒绝任何供应商成交，且对受影响的供应商不承担任何责任。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35.成交通知书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35.1采购人或者采购代理机构应当在成交供应商确定之日起2个工作日内，在辽宁政府采购网及其地方分网媒体上公告成交结果，同时向成交供应商发出成交通知书。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35.2成交通知书是合同的组成部分。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★36.签订合同</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36.1成交供应商应当自发出成交通知书之日起 30 日内，按照采购文件确定的合同文本以及采购标的、采购金额、采购数量、技术和服务要求等事项签订政府采购合同。</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36.2除不可抗力等因素外，成交通知书发出后，采购人改变成交结果，或者成交供应商拒绝签订政府采购合同的，应当承担相应的法律责任。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36.3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采购金额、采购数量、技术和服务要求等实质性内容的协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kern w:val="0"/>
          <w:sz w:val="22"/>
        </w:rPr>
      </w:pPr>
      <w:r>
        <w:rPr>
          <w:rFonts w:hint="eastAsia" w:ascii="仿宋_GB2312" w:hAnsi="仿宋_GB2312" w:eastAsia="仿宋_GB2312" w:cs="仿宋_GB2312"/>
          <w:szCs w:val="21"/>
        </w:rPr>
        <w:t>36.4成交供应商拒绝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hint="eastAsia" w:ascii="仿宋_GB2312" w:hAnsi="仿宋_GB2312" w:eastAsia="仿宋_GB2312" w:cs="仿宋_GB2312"/>
          <w:kern w:val="0"/>
          <w:sz w:val="22"/>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★37.履约保证金</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37.1成交供应商应按照供应商须知表37.1条规定向采购人缴纳履约保证金。</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37.2如果成交供应商没有按照上述履约保证金的规定执行，将视为拒绝签订合同并放弃成交资格，成交供应商的磋商保证金将不予退还。在此情况下，采购人可确定下一成交候选供应商为成交供应商，也可以重新开展采购活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★38.采购代理服务费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成交供应商须按照供应商须知表38条规定，向采购代理机构支付采购代理服务费。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39.廉洁自律规定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39.1采购代理机构工作人员不得以不正当手段获取政府采购代理业务，不得与采购人、供应商恶意串通操纵政府采购活动。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39.2采购代理机构工作人员不得接受采购人或者供应商组织的宴请、旅游、娱乐，不得收受礼品、现金、有价证券等。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40.人员回避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供应商认为采购人及其相关人员有法律法规所列与其他供应商有利害关系的，可以向采购人或采购代理机构书面提出回避申请，并说明理由。</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41.质疑与接收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41.1供应商认为采购文件、采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41.2质疑供应商应按照财政部门制定的《政府采购质疑函范本》格式（详见辽宁政府采购网）和《政府采购质疑和投诉办法》的要求，在法定质疑期内以纸质形式提出质疑，针对同一采购程序环节的质疑应一次性提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超出法定质疑期的、重复提出的、分次提出的或内容、形式不符合《政府采购质疑和投诉办法》的，质疑供应商将依法承担不利后果。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41.3采购代理机构质疑函接收部门、联系电话和通讯地址, 见供应商须知表41.3条。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Cs w:val="21"/>
        </w:rPr>
      </w:pPr>
      <w:r>
        <w:rPr>
          <w:rFonts w:hint="eastAsia" w:ascii="仿宋_GB2312" w:hAnsi="仿宋_GB2312" w:eastAsia="仿宋_GB2312" w:cs="仿宋_GB2312"/>
          <w:b/>
          <w:szCs w:val="21"/>
        </w:rPr>
        <w:t>42.履约验收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_GB2312" w:eastAsia="仿宋_GB2312" w:cs="仿宋_GB2312"/>
          <w:szCs w:val="21"/>
        </w:rPr>
      </w:pPr>
      <w:r>
        <w:rPr>
          <w:rFonts w:hint="eastAsia" w:ascii="仿宋_GB2312" w:hAnsi="仿宋_GB2312" w:eastAsia="仿宋_GB2312" w:cs="仿宋_GB2312"/>
          <w:szCs w:val="21"/>
        </w:rPr>
        <w:t>本项目采购人及其委托的采购代理机构将严格按照政府采购相关法律法规以及《辽宁省政府采购履约验收管理办法》（辽财采〔2017〕603号）的要求进行验收。</w:t>
      </w:r>
    </w:p>
    <w:p>
      <w:pPr>
        <w:pStyle w:val="2"/>
        <w:adjustRightInd w:val="0"/>
        <w:snapToGrid w:val="0"/>
        <w:spacing w:before="0" w:after="0" w:line="240" w:lineRule="auto"/>
        <w:jc w:val="center"/>
        <w:rPr>
          <w:rFonts w:hint="eastAsia" w:ascii="仿宋_GB2312" w:hAnsi="仿宋_GB2312" w:eastAsia="仿宋_GB2312" w:cs="仿宋_GB2312"/>
        </w:rPr>
      </w:pPr>
      <w:bookmarkStart w:id="35" w:name="_Toc4485625"/>
      <w:r>
        <w:rPr>
          <w:rFonts w:hint="eastAsia" w:ascii="仿宋_GB2312" w:hAnsi="仿宋_GB2312" w:eastAsia="仿宋_GB2312" w:cs="仿宋_GB2312"/>
        </w:rPr>
        <w:br w:type="page"/>
      </w:r>
      <w:bookmarkStart w:id="36" w:name="_Toc10174"/>
      <w:r>
        <w:rPr>
          <w:rFonts w:hint="eastAsia" w:ascii="仿宋_GB2312" w:hAnsi="仿宋_GB2312" w:eastAsia="仿宋_GB2312" w:cs="仿宋_GB2312"/>
        </w:rPr>
        <w:t>第二章 响应文件内容及格式</w:t>
      </w:r>
      <w:bookmarkEnd w:id="35"/>
      <w:bookmarkEnd w:id="36"/>
    </w:p>
    <w:p>
      <w:pPr>
        <w:rPr>
          <w:rFonts w:hint="eastAsia" w:ascii="仿宋_GB2312" w:hAnsi="仿宋_GB2312" w:eastAsia="仿宋_GB2312" w:cs="仿宋_GB2312"/>
        </w:rPr>
      </w:pPr>
      <w:bookmarkStart w:id="37" w:name="投标文件内容及格式：Block"/>
      <w:bookmarkEnd w:id="37"/>
      <w:bookmarkStart w:id="38" w:name="sys_投标文件内容及格式：Block"/>
      <w:bookmarkEnd w:id="38"/>
      <w:r>
        <w:rPr>
          <w:rFonts w:hint="eastAsia" w:ascii="仿宋_GB2312" w:hAnsi="仿宋_GB2312" w:eastAsia="仿宋_GB2312" w:cs="仿宋_GB2312"/>
          <w:b/>
          <w:sz w:val="24"/>
        </w:rPr>
        <w:t>一、响应文件、电子文档的外封面、封口、封皮及目录</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944"/>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44"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内容</w:t>
            </w:r>
          </w:p>
        </w:tc>
        <w:tc>
          <w:tcPr>
            <w:tcW w:w="882"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noWrap w:val="0"/>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响应文件的外封面及封口</w:t>
            </w:r>
            <w:r>
              <w:rPr>
                <w:rFonts w:hint="eastAsia" w:ascii="仿宋_GB2312" w:hAnsi="仿宋_GB2312" w:eastAsia="仿宋_GB2312" w:cs="仿宋_GB2312"/>
                <w:b/>
                <w:bCs/>
                <w:color w:val="auto"/>
                <w:szCs w:val="21"/>
                <w:lang w:eastAsia="zh-CN"/>
              </w:rPr>
              <w:t>（仅为纸质版文件使用）</w:t>
            </w:r>
          </w:p>
        </w:tc>
        <w:tc>
          <w:tcPr>
            <w:tcW w:w="882"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944" w:type="dxa"/>
            <w:noWrap w:val="0"/>
            <w:vAlign w:val="center"/>
          </w:tcPr>
          <w:p>
            <w:pPr>
              <w:snapToGrid w:val="0"/>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响应文件的封皮</w:t>
            </w:r>
          </w:p>
        </w:tc>
        <w:tc>
          <w:tcPr>
            <w:tcW w:w="882"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944" w:type="dxa"/>
            <w:noWrap w:val="0"/>
            <w:vAlign w:val="center"/>
          </w:tcPr>
          <w:p>
            <w:pPr>
              <w:snapToGrid w:val="0"/>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响应文件的目录</w:t>
            </w:r>
          </w:p>
        </w:tc>
        <w:tc>
          <w:tcPr>
            <w:tcW w:w="882"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spacing w:line="440" w:lineRule="exact"/>
        <w:rPr>
          <w:rFonts w:hint="eastAsia" w:ascii="仿宋_GB2312" w:hAnsi="仿宋_GB2312" w:eastAsia="仿宋_GB2312" w:cs="仿宋_GB2312"/>
          <w:b/>
          <w:sz w:val="24"/>
        </w:rPr>
      </w:pPr>
      <w:r>
        <w:rPr>
          <w:rFonts w:hint="eastAsia" w:ascii="仿宋_GB2312" w:hAnsi="仿宋_GB2312" w:eastAsia="仿宋_GB2312" w:cs="仿宋_GB2312"/>
          <w:b/>
          <w:sz w:val="24"/>
        </w:rPr>
        <w:t>二、资格证明材料（有一项不符合要求，不能进入下一阶段评审）</w:t>
      </w:r>
    </w:p>
    <w:tbl>
      <w:tblPr>
        <w:tblStyle w:val="16"/>
        <w:tblW w:w="0" w:type="auto"/>
        <w:jc w:val="center"/>
        <w:tblLayout w:type="fixed"/>
        <w:tblCellMar>
          <w:top w:w="0" w:type="dxa"/>
          <w:left w:w="0" w:type="dxa"/>
          <w:bottom w:w="0" w:type="dxa"/>
          <w:right w:w="0" w:type="dxa"/>
        </w:tblCellMar>
      </w:tblPr>
      <w:tblGrid>
        <w:gridCol w:w="654"/>
        <w:gridCol w:w="6843"/>
        <w:gridCol w:w="842"/>
      </w:tblGrid>
      <w:tr>
        <w:tblPrEx>
          <w:tblCellMar>
            <w:top w:w="0" w:type="dxa"/>
            <w:left w:w="0" w:type="dxa"/>
            <w:bottom w:w="0" w:type="dxa"/>
            <w:right w:w="0" w:type="dxa"/>
          </w:tblCellMar>
        </w:tblPrEx>
        <w:trPr>
          <w:trHeight w:val="310" w:hRule="atLeast"/>
          <w:tblHeader/>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bookmarkStart w:id="39" w:name="资格性证明材料：Document"/>
            <w:bookmarkStart w:id="40" w:name="sys_资格性证明材料：Document"/>
            <w:r>
              <w:rPr>
                <w:rFonts w:hint="eastAsia" w:ascii="仿宋_GB2312" w:hAnsi="仿宋_GB2312" w:eastAsia="仿宋_GB2312" w:cs="仿宋_GB2312"/>
                <w:szCs w:val="21"/>
              </w:rPr>
              <w:t>序号</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资格证明材料</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格式</w:t>
            </w:r>
          </w:p>
        </w:tc>
      </w:tr>
      <w:tr>
        <w:tblPrEx>
          <w:tblCellMar>
            <w:top w:w="0" w:type="dxa"/>
            <w:left w:w="0" w:type="dxa"/>
            <w:bottom w:w="0" w:type="dxa"/>
            <w:right w:w="0" w:type="dxa"/>
          </w:tblCellMar>
        </w:tblPrEx>
        <w:trPr>
          <w:trHeight w:val="893"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营业执照或事业单位法人证书或执业许可证等证明文件复印件或自然人的身份证明复印件（自然人身份证明仅在自然人作为响应主体时适用）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组织机构代码证复印件（三证合一的不需提供）</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税务登记证复印件（三证合一的不需提供）</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法定代表人（或非法人组织负责人）身份证明书（自然人参加磋商的无需提供、授权委托人参加磋商的无需提供）</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法定代表人（或非法人组织负责人）授权委托书（授权委托人参加磋商的须提供）</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具有良好的商业信誉和健全的财务会计制度的承诺函</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r>
      <w:tr>
        <w:tblPrEx>
          <w:tblCellMar>
            <w:top w:w="0" w:type="dxa"/>
            <w:left w:w="0" w:type="dxa"/>
            <w:bottom w:w="0" w:type="dxa"/>
            <w:right w:w="0" w:type="dxa"/>
          </w:tblCellMar>
        </w:tblPrEx>
        <w:trPr>
          <w:trHeight w:val="1184"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磋商会议时间前六个月内任一个月的依法缴纳税收的缴款凭据复印件</w:t>
            </w:r>
          </w:p>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（注：依法免税的供应商，应提供相关证明材料，包括相关法规要求原文及加盖公章的情况说明）</w:t>
            </w:r>
          </w:p>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联合体各方均需提供上述证明（如适用）</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1474"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磋商会议时间前六个月内任一个月的依法缴纳社会保障资金的缴款凭据复印件</w:t>
            </w:r>
          </w:p>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（注：依法不需要缴纳社会保障资金的供应商，应提供相关证明材料，包括相关法规要求原文及加盖公章的情况说明）</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310"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具备履行合同所必需的设备和专业技术能力声明函</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参加政府采购活动前3年内在经营活动中没有重大违法记录的书面声明</w:t>
            </w:r>
          </w:p>
          <w:p>
            <w:pPr>
              <w:adjustRightInd w:val="0"/>
              <w:snapToGrid w:val="0"/>
              <w:jc w:val="left"/>
              <w:rPr>
                <w:rFonts w:hint="eastAsia" w:ascii="仿宋_GB2312" w:hAnsi="仿宋_GB2312" w:eastAsia="仿宋_GB2312" w:cs="仿宋_GB2312"/>
                <w:szCs w:val="21"/>
              </w:rPr>
            </w:pP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r>
      <w:tr>
        <w:tblPrEx>
          <w:tblCellMar>
            <w:top w:w="0" w:type="dxa"/>
            <w:left w:w="0" w:type="dxa"/>
            <w:bottom w:w="0" w:type="dxa"/>
            <w:right w:w="0" w:type="dxa"/>
          </w:tblCellMar>
        </w:tblPrEx>
        <w:trPr>
          <w:trHeight w:val="601"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信用记录（采购人或采购代理机构将按照采购文件规定的审查期间内进行查询）</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509" w:hRule="atLeast"/>
          <w:jc w:val="center"/>
        </w:trPr>
        <w:tc>
          <w:tcPr>
            <w:tcW w:w="6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68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中小企业声明函</w:t>
            </w:r>
          </w:p>
        </w:tc>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djustRightInd w:val="0"/>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r>
    </w:tbl>
    <w:p>
      <w:pPr>
        <w:spacing w:before="159" w:beforeLines="50" w:line="360" w:lineRule="auto"/>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三、符合性证明材料（有一项不符合要求，不能进入下一阶段评审）</w:t>
      </w:r>
    </w:p>
    <w:bookmarkEnd w:id="39"/>
    <w:bookmarkEnd w:id="40"/>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696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blHeader/>
          <w:jc w:val="center"/>
        </w:trPr>
        <w:tc>
          <w:tcPr>
            <w:tcW w:w="663" w:type="dxa"/>
            <w:noWrap w:val="0"/>
            <w:vAlign w:val="center"/>
          </w:tcPr>
          <w:p>
            <w:pPr>
              <w:spacing w:line="36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65" w:type="dxa"/>
            <w:noWrap w:val="0"/>
            <w:vAlign w:val="center"/>
          </w:tcPr>
          <w:p>
            <w:pPr>
              <w:spacing w:line="36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符合性证明材料</w:t>
            </w:r>
          </w:p>
        </w:tc>
        <w:tc>
          <w:tcPr>
            <w:tcW w:w="855" w:type="dxa"/>
            <w:noWrap w:val="0"/>
            <w:vAlign w:val="center"/>
          </w:tcPr>
          <w:p>
            <w:pPr>
              <w:spacing w:line="36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63" w:type="dxa"/>
            <w:noWrap w:val="0"/>
            <w:vAlign w:val="center"/>
          </w:tcPr>
          <w:p>
            <w:pPr>
              <w:spacing w:line="36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65" w:type="dxa"/>
            <w:noWrap w:val="0"/>
            <w:vAlign w:val="center"/>
          </w:tcPr>
          <w:p>
            <w:pPr>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响应函</w:t>
            </w:r>
          </w:p>
        </w:tc>
        <w:tc>
          <w:tcPr>
            <w:tcW w:w="855" w:type="dxa"/>
            <w:noWrap w:val="0"/>
            <w:vAlign w:val="center"/>
          </w:tcPr>
          <w:p>
            <w:pPr>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63" w:type="dxa"/>
            <w:noWrap w:val="0"/>
            <w:vAlign w:val="center"/>
          </w:tcPr>
          <w:p>
            <w:pPr>
              <w:spacing w:line="36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w:t>
            </w:r>
          </w:p>
        </w:tc>
        <w:tc>
          <w:tcPr>
            <w:tcW w:w="6965" w:type="dxa"/>
            <w:noWrap w:val="0"/>
            <w:vAlign w:val="center"/>
          </w:tcPr>
          <w:p>
            <w:pPr>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报价一览表</w:t>
            </w:r>
          </w:p>
        </w:tc>
        <w:tc>
          <w:tcPr>
            <w:tcW w:w="855" w:type="dxa"/>
            <w:noWrap w:val="0"/>
            <w:vAlign w:val="center"/>
          </w:tcPr>
          <w:p>
            <w:pPr>
              <w:spacing w:line="36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63" w:type="dxa"/>
            <w:noWrap w:val="0"/>
            <w:vAlign w:val="center"/>
          </w:tcPr>
          <w:p>
            <w:pPr>
              <w:spacing w:line="36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w:t>
            </w:r>
          </w:p>
        </w:tc>
        <w:tc>
          <w:tcPr>
            <w:tcW w:w="6965" w:type="dxa"/>
            <w:noWrap w:val="0"/>
            <w:vAlign w:val="center"/>
          </w:tcPr>
          <w:p>
            <w:pPr>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服务价格明细表</w:t>
            </w:r>
          </w:p>
        </w:tc>
        <w:tc>
          <w:tcPr>
            <w:tcW w:w="855" w:type="dxa"/>
            <w:noWrap w:val="0"/>
            <w:vAlign w:val="center"/>
          </w:tcPr>
          <w:p>
            <w:pPr>
              <w:spacing w:line="36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63" w:type="dxa"/>
            <w:noWrap w:val="0"/>
            <w:vAlign w:val="center"/>
          </w:tcPr>
          <w:p>
            <w:pPr>
              <w:spacing w:line="36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w:t>
            </w:r>
          </w:p>
        </w:tc>
        <w:tc>
          <w:tcPr>
            <w:tcW w:w="6965" w:type="dxa"/>
            <w:noWrap w:val="0"/>
            <w:vAlign w:val="center"/>
          </w:tcPr>
          <w:p>
            <w:pPr>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服务需求响应表</w:t>
            </w:r>
          </w:p>
        </w:tc>
        <w:tc>
          <w:tcPr>
            <w:tcW w:w="855" w:type="dxa"/>
            <w:noWrap w:val="0"/>
            <w:vAlign w:val="center"/>
          </w:tcPr>
          <w:p>
            <w:pPr>
              <w:spacing w:line="36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63" w:type="dxa"/>
            <w:noWrap w:val="0"/>
            <w:vAlign w:val="center"/>
          </w:tcPr>
          <w:p>
            <w:pPr>
              <w:spacing w:line="36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w:t>
            </w:r>
          </w:p>
        </w:tc>
        <w:tc>
          <w:tcPr>
            <w:tcW w:w="6965" w:type="dxa"/>
            <w:noWrap w:val="0"/>
            <w:vAlign w:val="center"/>
          </w:tcPr>
          <w:p>
            <w:pPr>
              <w:spacing w:line="36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商务条款偏离表</w:t>
            </w:r>
          </w:p>
        </w:tc>
        <w:tc>
          <w:tcPr>
            <w:tcW w:w="855" w:type="dxa"/>
            <w:noWrap w:val="0"/>
            <w:vAlign w:val="center"/>
          </w:tcPr>
          <w:p>
            <w:pPr>
              <w:spacing w:line="36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63" w:type="dxa"/>
            <w:noWrap w:val="0"/>
            <w:vAlign w:val="center"/>
          </w:tcPr>
          <w:p>
            <w:pPr>
              <w:spacing w:line="36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6</w:t>
            </w:r>
          </w:p>
        </w:tc>
        <w:tc>
          <w:tcPr>
            <w:tcW w:w="6965" w:type="dxa"/>
            <w:noWrap w:val="0"/>
            <w:vAlign w:val="center"/>
          </w:tcPr>
          <w:p>
            <w:pPr>
              <w:spacing w:line="36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供应商关联单位说明</w:t>
            </w:r>
          </w:p>
        </w:tc>
        <w:tc>
          <w:tcPr>
            <w:tcW w:w="855" w:type="dxa"/>
            <w:noWrap w:val="0"/>
            <w:vAlign w:val="center"/>
          </w:tcPr>
          <w:p>
            <w:pPr>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63" w:type="dxa"/>
            <w:noWrap w:val="0"/>
            <w:vAlign w:val="center"/>
          </w:tcPr>
          <w:p>
            <w:pPr>
              <w:spacing w:line="36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w:t>
            </w:r>
          </w:p>
        </w:tc>
        <w:tc>
          <w:tcPr>
            <w:tcW w:w="6965" w:type="dxa"/>
            <w:noWrap w:val="0"/>
            <w:vAlign w:val="center"/>
          </w:tcPr>
          <w:p>
            <w:pPr>
              <w:spacing w:line="36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其他符合性证明材料(如适用) </w:t>
            </w:r>
          </w:p>
        </w:tc>
        <w:tc>
          <w:tcPr>
            <w:tcW w:w="855" w:type="dxa"/>
            <w:noWrap w:val="0"/>
            <w:vAlign w:val="center"/>
          </w:tcPr>
          <w:p>
            <w:pPr>
              <w:spacing w:line="360" w:lineRule="exact"/>
              <w:jc w:val="center"/>
              <w:rPr>
                <w:rFonts w:hint="eastAsia" w:ascii="仿宋_GB2312" w:hAnsi="仿宋_GB2312" w:eastAsia="仿宋_GB2312" w:cs="仿宋_GB2312"/>
                <w:kern w:val="0"/>
                <w:szCs w:val="21"/>
              </w:rPr>
            </w:pPr>
          </w:p>
        </w:tc>
      </w:tr>
    </w:tbl>
    <w:p>
      <w:pPr>
        <w:spacing w:before="159" w:beforeLines="50" w:line="360" w:lineRule="auto"/>
        <w:ind w:firstLine="482" w:firstLineChars="200"/>
        <w:jc w:val="left"/>
        <w:rPr>
          <w:rFonts w:hint="eastAsia" w:ascii="仿宋_GB2312" w:hAnsi="仿宋_GB2312" w:eastAsia="仿宋_GB2312" w:cs="仿宋_GB2312"/>
          <w:b/>
          <w:sz w:val="24"/>
        </w:rPr>
      </w:pPr>
      <w:r>
        <w:rPr>
          <w:rFonts w:hint="eastAsia" w:ascii="仿宋_GB2312" w:hAnsi="仿宋_GB2312" w:eastAsia="仿宋_GB2312" w:cs="仿宋_GB2312"/>
          <w:b/>
          <w:sz w:val="24"/>
        </w:rPr>
        <w:t>四、其他材料（如有，请提供；如未提供，响应文件不作无效处理）</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6886"/>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678"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886"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其他材料</w:t>
            </w:r>
          </w:p>
        </w:tc>
        <w:tc>
          <w:tcPr>
            <w:tcW w:w="855"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78" w:type="dxa"/>
            <w:noWrap w:val="0"/>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886" w:type="dxa"/>
            <w:noWrap w:val="0"/>
            <w:vAlign w:val="center"/>
          </w:tcPr>
          <w:p>
            <w:pPr>
              <w:adjustRightInd w:val="0"/>
              <w:snapToGrid w:val="0"/>
              <w:ind w:left="25" w:leftChars="12"/>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监狱企业证明文件</w:t>
            </w:r>
          </w:p>
        </w:tc>
        <w:tc>
          <w:tcPr>
            <w:tcW w:w="855" w:type="dxa"/>
            <w:noWrap w:val="0"/>
            <w:vAlign w:val="center"/>
          </w:tcPr>
          <w:p>
            <w:pPr>
              <w:adjustRightInd w:val="0"/>
              <w:snapToGrid w:val="0"/>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78" w:type="dxa"/>
            <w:noWrap w:val="0"/>
            <w:vAlign w:val="center"/>
          </w:tcPr>
          <w:p>
            <w:pPr>
              <w:adjustRightInd w:val="0"/>
              <w:snapToGrid w:val="0"/>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w:t>
            </w:r>
          </w:p>
        </w:tc>
        <w:tc>
          <w:tcPr>
            <w:tcW w:w="6886" w:type="dxa"/>
            <w:noWrap w:val="0"/>
            <w:vAlign w:val="center"/>
          </w:tcPr>
          <w:p>
            <w:pPr>
              <w:adjustRightInd w:val="0"/>
              <w:snapToGrid w:val="0"/>
              <w:ind w:left="25" w:leftChars="12"/>
              <w:rPr>
                <w:rFonts w:hint="eastAsia" w:ascii="仿宋_GB2312" w:hAnsi="仿宋_GB2312" w:eastAsia="仿宋_GB2312" w:cs="仿宋_GB2312"/>
                <w:szCs w:val="21"/>
              </w:rPr>
            </w:pPr>
            <w:r>
              <w:rPr>
                <w:rFonts w:hint="eastAsia" w:ascii="仿宋_GB2312" w:hAnsi="仿宋_GB2312" w:eastAsia="仿宋_GB2312" w:cs="仿宋_GB2312"/>
                <w:szCs w:val="21"/>
              </w:rPr>
              <w:t>残疾人福利性单位声明函</w:t>
            </w:r>
          </w:p>
        </w:tc>
        <w:tc>
          <w:tcPr>
            <w:tcW w:w="855" w:type="dxa"/>
            <w:noWrap w:val="0"/>
            <w:vAlign w:val="center"/>
          </w:tcPr>
          <w:p>
            <w:pPr>
              <w:adjustRightInd w:val="0"/>
              <w:snapToGrid w:val="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78" w:type="dxa"/>
            <w:noWrap w:val="0"/>
            <w:vAlign w:val="center"/>
          </w:tcPr>
          <w:p>
            <w:pPr>
              <w:adjustRightInd w:val="0"/>
              <w:snapToGrid w:val="0"/>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w:t>
            </w:r>
          </w:p>
        </w:tc>
        <w:tc>
          <w:tcPr>
            <w:tcW w:w="6886" w:type="dxa"/>
            <w:noWrap w:val="0"/>
            <w:vAlign w:val="center"/>
          </w:tcPr>
          <w:p>
            <w:pPr>
              <w:adjustRightInd w:val="0"/>
              <w:snapToGrid w:val="0"/>
              <w:ind w:left="25" w:leftChars="12"/>
              <w:rPr>
                <w:rFonts w:hint="eastAsia" w:ascii="仿宋_GB2312" w:hAnsi="仿宋_GB2312" w:eastAsia="仿宋_GB2312" w:cs="仿宋_GB2312"/>
                <w:szCs w:val="21"/>
              </w:rPr>
            </w:pPr>
            <w:r>
              <w:rPr>
                <w:rFonts w:hint="eastAsia" w:ascii="仿宋_GB2312" w:hAnsi="仿宋_GB2312" w:eastAsia="仿宋_GB2312" w:cs="仿宋_GB2312"/>
                <w:szCs w:val="21"/>
              </w:rPr>
              <w:t>聘用建档立卡贫困人员物业公司声明函</w:t>
            </w:r>
          </w:p>
        </w:tc>
        <w:tc>
          <w:tcPr>
            <w:tcW w:w="855" w:type="dxa"/>
            <w:noWrap w:val="0"/>
            <w:vAlign w:val="center"/>
          </w:tcPr>
          <w:p>
            <w:pPr>
              <w:adjustRightInd w:val="0"/>
              <w:snapToGrid w:val="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78" w:type="dxa"/>
            <w:noWrap w:val="0"/>
            <w:vAlign w:val="center"/>
          </w:tcPr>
          <w:p>
            <w:pPr>
              <w:adjustRightInd w:val="0"/>
              <w:snapToGrid w:val="0"/>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w:t>
            </w:r>
          </w:p>
        </w:tc>
        <w:tc>
          <w:tcPr>
            <w:tcW w:w="6886" w:type="dxa"/>
            <w:noWrap w:val="0"/>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列入《辽宁省创新产品和服务目录》内的产品、服务的证明材料（如适用）</w:t>
            </w:r>
          </w:p>
          <w:p>
            <w:pPr>
              <w:adjustRightInd w:val="0"/>
              <w:snapToGrid w:val="0"/>
              <w:ind w:left="25" w:leftChars="12"/>
              <w:rPr>
                <w:rFonts w:hint="eastAsia" w:ascii="仿宋_GB2312" w:hAnsi="仿宋_GB2312" w:eastAsia="仿宋_GB2312" w:cs="仿宋_GB2312"/>
                <w:szCs w:val="21"/>
              </w:rPr>
            </w:pPr>
            <w:r>
              <w:rPr>
                <w:rFonts w:hint="eastAsia" w:ascii="仿宋_GB2312" w:hAnsi="仿宋_GB2312" w:eastAsia="仿宋_GB2312" w:cs="仿宋_GB2312"/>
                <w:szCs w:val="21"/>
              </w:rPr>
              <w:t>（此项要求可视实际情况设置在符合性证明材料或其他材料中）</w:t>
            </w:r>
          </w:p>
        </w:tc>
        <w:tc>
          <w:tcPr>
            <w:tcW w:w="855" w:type="dxa"/>
            <w:noWrap w:val="0"/>
            <w:vAlign w:val="center"/>
          </w:tcPr>
          <w:p>
            <w:pPr>
              <w:adjustRightInd w:val="0"/>
              <w:snapToGrid w:val="0"/>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78" w:type="dxa"/>
            <w:noWrap w:val="0"/>
            <w:vAlign w:val="center"/>
          </w:tcPr>
          <w:p>
            <w:pPr>
              <w:adjustRightInd w:val="0"/>
              <w:snapToGrid w:val="0"/>
              <w:jc w:val="center"/>
              <w:rPr>
                <w:rFonts w:hint="eastAsia" w:ascii="仿宋_GB2312" w:hAnsi="仿宋_GB2312" w:eastAsia="仿宋_GB2312" w:cs="仿宋_GB2312"/>
                <w:kern w:val="0"/>
                <w:szCs w:val="21"/>
              </w:rPr>
            </w:pPr>
          </w:p>
        </w:tc>
        <w:tc>
          <w:tcPr>
            <w:tcW w:w="6886" w:type="dxa"/>
            <w:noWrap w:val="0"/>
            <w:vAlign w:val="center"/>
          </w:tcPr>
          <w:p>
            <w:pPr>
              <w:pStyle w:val="29"/>
              <w:adjustRightInd w:val="0"/>
              <w:snapToGrid w:val="0"/>
              <w:ind w:left="25" w:leftChars="12" w:firstLine="0" w:firstLineChars="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855" w:type="dxa"/>
            <w:noWrap w:val="0"/>
            <w:vAlign w:val="center"/>
          </w:tcPr>
          <w:p>
            <w:pPr>
              <w:adjustRightInd w:val="0"/>
              <w:snapToGrid w:val="0"/>
              <w:jc w:val="center"/>
              <w:rPr>
                <w:rFonts w:hint="eastAsia" w:ascii="仿宋_GB2312" w:hAnsi="仿宋_GB2312" w:eastAsia="仿宋_GB2312" w:cs="仿宋_GB2312"/>
                <w:kern w:val="0"/>
                <w:szCs w:val="21"/>
              </w:rPr>
            </w:pPr>
          </w:p>
        </w:tc>
      </w:tr>
    </w:tbl>
    <w:p>
      <w:pPr>
        <w:adjustRightInd w:val="0"/>
        <w:snapToGrid w:val="0"/>
        <w:spacing w:line="360" w:lineRule="auto"/>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重要提示：</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1、供应商提供的证明材料，除需要供应商填报或有特殊说明外，均须按要求提供。</w:t>
      </w:r>
      <w:r>
        <w:rPr>
          <w:rFonts w:hint="eastAsia" w:ascii="仿宋_GB2312" w:hAnsi="仿宋_GB2312" w:eastAsia="仿宋_GB2312" w:cs="仿宋_GB2312"/>
          <w:b/>
          <w:bCs/>
          <w:szCs w:val="21"/>
        </w:rPr>
        <w:t xml:space="preserve"> </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2、供应商在编制响应文件时，对于给定格式的文件内容，必须按照给定的标准格式进行填报；对于没有给定标准格式的文件内容，可以由供应商自行设计。</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3、响应文件应用中文书写。响应文件中所附或所引用的材料不是中文时，应附中文译本，并加盖单位公章（自然人参与政府采购活动的，无需加盖单位公章，需要签字）。</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4、“资格证明材料”所列内容即为采购项目的资格审查条件，有一项不符合要求，不能进入下一阶段评审。</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5、“符合性证明材料”所列内容即为采购项目的符合性审查条件，有一项不符合要求，不能进入下一阶段评审。</w:t>
      </w:r>
    </w:p>
    <w:p>
      <w:pPr>
        <w:adjustRightInd w:val="0"/>
        <w:snapToGrid w:val="0"/>
        <w:spacing w:line="360" w:lineRule="auto"/>
        <w:ind w:firstLine="420" w:firstLineChars="200"/>
        <w:rPr>
          <w:rFonts w:hint="eastAsia" w:ascii="仿宋_GB2312" w:hAnsi="仿宋_GB2312" w:eastAsia="仿宋_GB2312" w:cs="仿宋_GB2312"/>
          <w:kern w:val="0"/>
          <w:sz w:val="20"/>
          <w:szCs w:val="21"/>
        </w:rPr>
      </w:pPr>
      <w:r>
        <w:rPr>
          <w:rFonts w:hint="eastAsia" w:ascii="仿宋_GB2312" w:hAnsi="仿宋_GB2312" w:eastAsia="仿宋_GB2312" w:cs="仿宋_GB2312"/>
          <w:szCs w:val="21"/>
        </w:rPr>
        <w:t>6、“其他材料”为供应商就采购文件要求的以及供应商认为需要提供的相应材料。</w:t>
      </w:r>
    </w:p>
    <w:p>
      <w:pPr>
        <w:keepNext/>
        <w:keepLines/>
        <w:pageBreakBefore w:val="0"/>
        <w:widowControl w:val="0"/>
        <w:kinsoku/>
        <w:wordWrap/>
        <w:overflowPunct/>
        <w:topLinePunct w:val="0"/>
        <w:autoSpaceDE/>
        <w:autoSpaceDN/>
        <w:bidi w:val="0"/>
        <w:adjustRightInd/>
        <w:snapToGrid/>
        <w:jc w:val="left"/>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kern w:val="0"/>
          <w:sz w:val="20"/>
          <w:szCs w:val="21"/>
        </w:rPr>
        <w:br w:type="page"/>
      </w:r>
      <w:bookmarkStart w:id="41" w:name="_Toc4485626"/>
      <w:bookmarkStart w:id="42" w:name="_Toc533340149"/>
      <w:r>
        <w:rPr>
          <w:rFonts w:hint="eastAsia" w:ascii="仿宋_GB2312" w:hAnsi="仿宋_GB2312" w:eastAsia="仿宋_GB2312" w:cs="仿宋_GB2312"/>
          <w:b/>
          <w:bCs/>
          <w:sz w:val="28"/>
          <w:szCs w:val="28"/>
        </w:rPr>
        <w:t>格式1</w:t>
      </w:r>
      <w:bookmarkEnd w:id="41"/>
      <w:bookmarkEnd w:id="42"/>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响应文件、电子文档外封面、封口格式</w:t>
      </w:r>
    </w:p>
    <w:p>
      <w:pPr>
        <w:rPr>
          <w:rFonts w:hint="eastAsia" w:ascii="仿宋_GB2312" w:hAnsi="仿宋_GB2312" w:eastAsia="仿宋_GB2312" w:cs="仿宋_GB2312"/>
        </w:rPr>
      </w:pPr>
      <w:r>
        <w:rPr>
          <w:rFonts w:hint="eastAsia" w:ascii="仿宋_GB2312" w:hAnsi="仿宋_GB2312" w:eastAsia="仿宋_GB2312" w:cs="仿宋_GB2312"/>
          <w:sz w:val="28"/>
          <w:szCs w:val="28"/>
        </w:rPr>
        <w:t>封面格式：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0" w:hRule="atLeast"/>
          <w:jc w:val="center"/>
        </w:trPr>
        <w:tc>
          <w:tcPr>
            <w:tcW w:w="5960" w:type="dxa"/>
            <w:noWrap w:val="0"/>
            <w:vAlign w:val="top"/>
          </w:tcPr>
          <w:p>
            <w:pPr>
              <w:jc w:val="center"/>
              <w:rPr>
                <w:rFonts w:hint="eastAsia" w:ascii="仿宋_GB2312" w:hAnsi="仿宋_GB2312" w:eastAsia="仿宋_GB2312" w:cs="仿宋_GB2312"/>
                <w:b/>
                <w:bCs/>
              </w:rPr>
            </w:pPr>
          </w:p>
          <w:p>
            <w:pPr>
              <w:jc w:val="center"/>
              <w:rPr>
                <w:rFonts w:hint="eastAsia" w:ascii="仿宋_GB2312" w:hAnsi="仿宋_GB2312" w:eastAsia="仿宋_GB2312" w:cs="仿宋_GB2312"/>
                <w:b/>
                <w:bCs/>
              </w:rPr>
            </w:pPr>
          </w:p>
          <w:p>
            <w:pPr>
              <w:jc w:val="center"/>
              <w:rPr>
                <w:rFonts w:hint="eastAsia" w:ascii="仿宋_GB2312" w:hAnsi="仿宋_GB2312" w:eastAsia="仿宋_GB2312" w:cs="仿宋_GB2312"/>
                <w:b/>
                <w:bCs/>
              </w:rPr>
            </w:pPr>
          </w:p>
          <w:p>
            <w:pPr>
              <w:jc w:val="center"/>
              <w:rPr>
                <w:rFonts w:hint="eastAsia" w:ascii="仿宋_GB2312" w:hAnsi="仿宋_GB2312" w:eastAsia="仿宋_GB2312" w:cs="仿宋_GB2312"/>
                <w:b/>
                <w:bCs/>
              </w:rPr>
            </w:pPr>
          </w:p>
          <w:p>
            <w:pPr>
              <w:jc w:val="center"/>
              <w:rPr>
                <w:rFonts w:hint="eastAsia" w:ascii="仿宋_GB2312" w:hAnsi="仿宋_GB2312" w:eastAsia="仿宋_GB2312" w:cs="仿宋_GB2312"/>
                <w:b/>
                <w:bCs/>
              </w:rPr>
            </w:pPr>
          </w:p>
          <w:p>
            <w:pPr>
              <w:jc w:val="center"/>
              <w:rPr>
                <w:rFonts w:hint="eastAsia" w:ascii="仿宋_GB2312" w:hAnsi="仿宋_GB2312" w:eastAsia="仿宋_GB2312" w:cs="仿宋_GB2312"/>
                <w:b/>
                <w:bCs/>
              </w:rPr>
            </w:pPr>
            <w:r>
              <w:rPr>
                <w:rFonts w:hint="eastAsia" w:ascii="仿宋_GB2312" w:hAnsi="仿宋_GB2312" w:eastAsia="仿宋_GB2312" w:cs="仿宋_GB2312"/>
                <w:b/>
                <w:bCs/>
                <w:sz w:val="44"/>
                <w:szCs w:val="52"/>
              </w:rPr>
              <w:t>响应文件/电子文档</w:t>
            </w: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r>
              <w:rPr>
                <w:rFonts w:hint="eastAsia" w:ascii="仿宋_GB2312" w:hAnsi="仿宋_GB2312" w:eastAsia="仿宋_GB2312" w:cs="仿宋_GB2312"/>
              </w:rPr>
              <w:t>所响应包号：第  包</w:t>
            </w: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r>
              <w:rPr>
                <w:rFonts w:hint="eastAsia" w:ascii="仿宋_GB2312" w:hAnsi="仿宋_GB2312" w:eastAsia="仿宋_GB2312" w:cs="仿宋_GB2312"/>
              </w:rPr>
              <w:t>项目名称：</w:t>
            </w: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r>
              <w:rPr>
                <w:rFonts w:hint="eastAsia" w:ascii="仿宋_GB2312" w:hAnsi="仿宋_GB2312" w:eastAsia="仿宋_GB2312" w:cs="仿宋_GB2312"/>
              </w:rPr>
              <w:t>项目编号：</w:t>
            </w: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p>
          <w:p>
            <w:pPr>
              <w:jc w:val="left"/>
              <w:rPr>
                <w:rFonts w:hint="eastAsia" w:ascii="仿宋_GB2312" w:hAnsi="仿宋_GB2312" w:eastAsia="仿宋_GB2312" w:cs="仿宋_GB2312"/>
              </w:rPr>
            </w:pPr>
            <w:r>
              <w:rPr>
                <w:rFonts w:hint="eastAsia" w:ascii="仿宋_GB2312" w:hAnsi="仿宋_GB2312" w:eastAsia="仿宋_GB2312" w:cs="仿宋_GB2312"/>
              </w:rPr>
              <w:t>供应商名称（加盖单位公章）：</w:t>
            </w:r>
          </w:p>
        </w:tc>
      </w:tr>
    </w:tbl>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r>
        <w:rPr>
          <w:rFonts w:hint="eastAsia" w:ascii="仿宋_GB2312" w:hAnsi="仿宋_GB2312" w:eastAsia="仿宋_GB2312" w:cs="仿宋_GB2312"/>
          <w:sz w:val="24"/>
          <w:szCs w:val="32"/>
        </w:rPr>
        <w:t>封口格式：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——于   年  月  日   时之前不准启封（公章）——</w:t>
            </w:r>
          </w:p>
        </w:tc>
      </w:tr>
    </w:tbl>
    <w:p>
      <w:pPr>
        <w:widowControl/>
        <w:jc w:val="left"/>
        <w:outlineLvl w:val="1"/>
        <w:rPr>
          <w:rFonts w:hint="eastAsia" w:ascii="仿宋_GB2312" w:hAnsi="仿宋_GB2312" w:eastAsia="仿宋_GB2312" w:cs="仿宋_GB2312"/>
          <w:b/>
          <w:bCs/>
          <w:color w:val="auto"/>
          <w:sz w:val="28"/>
          <w:szCs w:val="28"/>
          <w:lang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（仅为纸质版文件使用）</w:t>
      </w:r>
    </w:p>
    <w:p>
      <w:pPr>
        <w:keepNext/>
        <w:keepLines/>
        <w:pageBreakBefore w:val="0"/>
        <w:widowControl w:val="0"/>
        <w:kinsoku/>
        <w:wordWrap/>
        <w:overflowPunct/>
        <w:topLinePunct w:val="0"/>
        <w:autoSpaceDE/>
        <w:autoSpaceDN/>
        <w:bidi w:val="0"/>
        <w:adjustRightInd/>
        <w:snapToGrid/>
        <w:jc w:val="left"/>
        <w:textAlignment w:val="auto"/>
        <w:outlineLvl w:val="1"/>
        <w:rPr>
          <w:rFonts w:hint="eastAsia" w:ascii="仿宋_GB2312" w:hAnsi="仿宋_GB2312" w:eastAsia="仿宋_GB2312" w:cs="仿宋_GB2312"/>
          <w:b/>
          <w:bCs/>
          <w:sz w:val="28"/>
          <w:szCs w:val="28"/>
        </w:rPr>
      </w:pPr>
      <w:bookmarkStart w:id="43" w:name="_Toc533340150"/>
      <w:bookmarkStart w:id="44" w:name="_Toc4485627"/>
      <w:r>
        <w:rPr>
          <w:rFonts w:hint="eastAsia" w:ascii="仿宋_GB2312" w:hAnsi="仿宋_GB2312" w:eastAsia="仿宋_GB2312" w:cs="仿宋_GB2312"/>
          <w:b/>
          <w:bCs/>
          <w:sz w:val="28"/>
          <w:szCs w:val="28"/>
        </w:rPr>
        <w:t>格式2</w:t>
      </w:r>
      <w:bookmarkEnd w:id="43"/>
      <w:bookmarkEnd w:id="44"/>
    </w:p>
    <w:p>
      <w:pPr>
        <w:jc w:val="both"/>
        <w:rPr>
          <w:rFonts w:hint="eastAsia" w:ascii="仿宋_GB2312" w:hAnsi="仿宋_GB2312" w:eastAsia="仿宋_GB2312" w:cs="仿宋_GB2312"/>
          <w:b/>
          <w:bCs/>
          <w:sz w:val="32"/>
          <w:szCs w:val="3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jc w:val="center"/>
        <w:rPr>
          <w:rFonts w:hint="eastAsia" w:ascii="仿宋_GB2312" w:hAnsi="仿宋_GB2312" w:eastAsia="仿宋_GB2312" w:cs="仿宋_GB2312"/>
          <w:b/>
          <w:bCs/>
          <w:sz w:val="52"/>
          <w:szCs w:val="52"/>
        </w:rPr>
      </w:pPr>
      <w:r>
        <w:rPr>
          <w:rFonts w:hint="eastAsia" w:ascii="仿宋_GB2312" w:hAnsi="仿宋_GB2312" w:eastAsia="仿宋_GB2312" w:cs="仿宋_GB2312"/>
          <w:b/>
          <w:bCs/>
          <w:sz w:val="52"/>
          <w:szCs w:val="52"/>
        </w:rPr>
        <w:t>响  应  文  件</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所响应包号：第  包</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项目编号：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供应商名称 ：</w:t>
      </w:r>
    </w:p>
    <w:p>
      <w:pPr>
        <w:keepNext/>
        <w:keepLines/>
        <w:pageBreakBefore w:val="0"/>
        <w:widowControl w:val="0"/>
        <w:kinsoku/>
        <w:wordWrap/>
        <w:overflowPunct/>
        <w:topLinePunct w:val="0"/>
        <w:autoSpaceDE/>
        <w:autoSpaceDN/>
        <w:bidi w:val="0"/>
        <w:adjustRightInd/>
        <w:snapToGrid/>
        <w:jc w:val="left"/>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br w:type="page"/>
      </w:r>
      <w:bookmarkStart w:id="45" w:name="_Toc4485628"/>
      <w:bookmarkStart w:id="46" w:name="_Toc533340151"/>
      <w:r>
        <w:rPr>
          <w:rFonts w:hint="eastAsia" w:ascii="仿宋_GB2312" w:hAnsi="仿宋_GB2312" w:eastAsia="仿宋_GB2312" w:cs="仿宋_GB2312"/>
          <w:b/>
          <w:bCs/>
          <w:sz w:val="28"/>
          <w:szCs w:val="28"/>
        </w:rPr>
        <w:t>格式3</w:t>
      </w:r>
      <w:bookmarkEnd w:id="45"/>
      <w:bookmarkEnd w:id="46"/>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目  录</w:t>
      </w:r>
    </w:p>
    <w:p>
      <w:pPr>
        <w:rPr>
          <w:rFonts w:hint="eastAsia" w:ascii="仿宋_GB2312" w:hAnsi="仿宋_GB2312" w:eastAsia="仿宋_GB2312" w:cs="仿宋_GB2312"/>
        </w:rPr>
      </w:pPr>
      <w:r>
        <w:rPr>
          <w:rFonts w:hint="eastAsia" w:ascii="仿宋_GB2312" w:hAnsi="仿宋_GB2312" w:eastAsia="仿宋_GB2312" w:cs="仿宋_GB2312"/>
        </w:rPr>
        <w:t>一、资格证明材料</w:t>
      </w:r>
    </w:p>
    <w:p>
      <w:pPr>
        <w:rPr>
          <w:rFonts w:hint="eastAsia" w:ascii="仿宋_GB2312" w:hAnsi="仿宋_GB2312" w:eastAsia="仿宋_GB2312" w:cs="仿宋_GB2312"/>
        </w:rPr>
      </w:pPr>
      <w:r>
        <w:rPr>
          <w:rFonts w:hint="eastAsia" w:ascii="仿宋_GB2312" w:hAnsi="仿宋_GB2312" w:eastAsia="仿宋_GB2312" w:cs="仿宋_GB2312"/>
        </w:rPr>
        <w:t>……</w:t>
      </w:r>
    </w:p>
    <w:p>
      <w:pPr>
        <w:rPr>
          <w:rFonts w:hint="eastAsia" w:ascii="仿宋_GB2312" w:hAnsi="仿宋_GB2312" w:eastAsia="仿宋_GB2312" w:cs="仿宋_GB2312"/>
        </w:rPr>
      </w:pPr>
      <w:r>
        <w:rPr>
          <w:rFonts w:hint="eastAsia" w:ascii="仿宋_GB2312" w:hAnsi="仿宋_GB2312" w:eastAsia="仿宋_GB2312" w:cs="仿宋_GB2312"/>
        </w:rPr>
        <w:t>二、符合性证明材料</w:t>
      </w:r>
    </w:p>
    <w:p>
      <w:pPr>
        <w:rPr>
          <w:rFonts w:hint="eastAsia" w:ascii="仿宋_GB2312" w:hAnsi="仿宋_GB2312" w:eastAsia="仿宋_GB2312" w:cs="仿宋_GB2312"/>
        </w:rPr>
      </w:pPr>
      <w:r>
        <w:rPr>
          <w:rFonts w:hint="eastAsia" w:ascii="仿宋_GB2312" w:hAnsi="仿宋_GB2312" w:eastAsia="仿宋_GB2312" w:cs="仿宋_GB2312"/>
        </w:rPr>
        <w:t>……</w:t>
      </w:r>
    </w:p>
    <w:p>
      <w:pPr>
        <w:rPr>
          <w:rFonts w:hint="eastAsia" w:ascii="仿宋_GB2312" w:hAnsi="仿宋_GB2312" w:eastAsia="仿宋_GB2312" w:cs="仿宋_GB2312"/>
        </w:rPr>
      </w:pPr>
      <w:r>
        <w:rPr>
          <w:rFonts w:hint="eastAsia" w:ascii="仿宋_GB2312" w:hAnsi="仿宋_GB2312" w:eastAsia="仿宋_GB2312" w:cs="仿宋_GB2312"/>
        </w:rPr>
        <w:t>三、其它材料</w:t>
      </w:r>
    </w:p>
    <w:p>
      <w:pPr>
        <w:rPr>
          <w:rFonts w:hint="eastAsia" w:ascii="仿宋_GB2312" w:hAnsi="仿宋_GB2312" w:eastAsia="仿宋_GB2312" w:cs="仿宋_GB2312"/>
          <w:szCs w:val="21"/>
        </w:rPr>
      </w:pPr>
      <w:r>
        <w:rPr>
          <w:rFonts w:hint="eastAsia" w:ascii="仿宋_GB2312" w:hAnsi="仿宋_GB2312" w:eastAsia="仿宋_GB2312" w:cs="仿宋_GB2312"/>
          <w:szCs w:val="21"/>
        </w:rPr>
        <w:t>……</w:t>
      </w: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adjustRightInd w:val="0"/>
        <w:snapToGrid w:val="0"/>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我单位的响应文件由资格证明材料、符合性证明材料和其它材料三部分组成，在此加盖单位公章并由法定代表人（或非法人组织负责人）或其授权委托人签字，保证响应文件中所有材料真实、有效。</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spacing w:line="480" w:lineRule="auto"/>
        <w:rPr>
          <w:rFonts w:hint="eastAsia" w:ascii="仿宋_GB2312" w:hAnsi="仿宋_GB2312" w:eastAsia="仿宋_GB2312" w:cs="仿宋_GB2312"/>
        </w:rPr>
      </w:pPr>
      <w:r>
        <w:rPr>
          <w:rFonts w:hint="eastAsia" w:ascii="仿宋_GB2312" w:hAnsi="仿宋_GB2312" w:eastAsia="仿宋_GB2312" w:cs="仿宋_GB2312"/>
        </w:rPr>
        <w:t>供应商名称</w:t>
      </w:r>
      <w:r>
        <w:rPr>
          <w:rFonts w:hint="eastAsia" w:ascii="仿宋_GB2312" w:hAnsi="仿宋_GB2312" w:eastAsia="仿宋_GB2312" w:cs="仿宋_GB2312"/>
          <w:u w:val="single"/>
        </w:rPr>
        <w:t>（加盖单位公章）</w:t>
      </w:r>
      <w:r>
        <w:rPr>
          <w:rFonts w:hint="eastAsia" w:ascii="仿宋_GB2312" w:hAnsi="仿宋_GB2312" w:eastAsia="仿宋_GB2312" w:cs="仿宋_GB2312"/>
        </w:rPr>
        <w:t xml:space="preserve">：           </w:t>
      </w:r>
    </w:p>
    <w:p>
      <w:pPr>
        <w:spacing w:line="480" w:lineRule="auto"/>
        <w:rPr>
          <w:rFonts w:hint="eastAsia"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w:t>
      </w:r>
      <w:r>
        <w:rPr>
          <w:rFonts w:hint="eastAsia" w:ascii="仿宋_GB2312" w:hAnsi="仿宋_GB2312" w:eastAsia="仿宋_GB2312" w:cs="仿宋_GB2312"/>
        </w:rPr>
        <w:t>）</w:t>
      </w:r>
      <w:r>
        <w:rPr>
          <w:rFonts w:hint="eastAsia" w:ascii="仿宋_GB2312" w:hAnsi="仿宋_GB2312" w:eastAsia="仿宋_GB2312" w:cs="仿宋_GB2312"/>
          <w:szCs w:val="21"/>
        </w:rPr>
        <w:t>或</w:t>
      </w:r>
      <w:r>
        <w:rPr>
          <w:rFonts w:hint="eastAsia" w:ascii="仿宋_GB2312" w:hAnsi="仿宋_GB2312" w:eastAsia="仿宋_GB2312" w:cs="仿宋_GB2312"/>
        </w:rPr>
        <w:t xml:space="preserve">其授权委托人： </w:t>
      </w:r>
      <w:r>
        <w:rPr>
          <w:rFonts w:hint="eastAsia" w:ascii="仿宋_GB2312" w:hAnsi="仿宋_GB2312" w:eastAsia="仿宋_GB2312" w:cs="仿宋_GB2312"/>
          <w:u w:val="single"/>
        </w:rPr>
        <w:t xml:space="preserve">          (签字或盖章) </w:t>
      </w:r>
    </w:p>
    <w:p>
      <w:pPr>
        <w:spacing w:line="480" w:lineRule="auto"/>
        <w:rPr>
          <w:rFonts w:hint="eastAsia"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keepNext/>
        <w:keepLines/>
        <w:pageBreakBefore w:val="0"/>
        <w:widowControl w:val="0"/>
        <w:kinsoku/>
        <w:wordWrap/>
        <w:overflowPunct/>
        <w:topLinePunct w:val="0"/>
        <w:autoSpaceDE/>
        <w:autoSpaceDN/>
        <w:bidi w:val="0"/>
        <w:adjustRightInd/>
        <w:snapToGrid/>
        <w:jc w:val="left"/>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rPr>
        <w:br w:type="page"/>
      </w:r>
      <w:bookmarkStart w:id="47" w:name="_Toc4485629"/>
      <w:bookmarkStart w:id="48" w:name="_Toc533340152"/>
      <w:r>
        <w:rPr>
          <w:rFonts w:hint="eastAsia" w:ascii="仿宋_GB2312" w:hAnsi="仿宋_GB2312" w:eastAsia="仿宋_GB2312" w:cs="仿宋_GB2312"/>
          <w:b/>
          <w:bCs/>
          <w:sz w:val="28"/>
          <w:szCs w:val="28"/>
        </w:rPr>
        <w:t>格式4</w:t>
      </w:r>
      <w:bookmarkEnd w:id="47"/>
      <w:bookmarkEnd w:id="48"/>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法定代表人（或非法人组织负责人）身份证明书</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，性别：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，出生日期：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，现任职务：</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，系</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（供应商名称）的法定代表人（或非法人组织负责人）。</w:t>
      </w:r>
    </w:p>
    <w:p>
      <w:pPr>
        <w:ind w:firstLine="420" w:firstLineChars="200"/>
        <w:rPr>
          <w:rFonts w:hint="eastAsia" w:ascii="仿宋_GB2312" w:hAnsi="仿宋_GB2312" w:eastAsia="仿宋_GB2312" w:cs="仿宋_GB2312"/>
          <w:szCs w:val="21"/>
        </w:rPr>
      </w:pPr>
    </w:p>
    <w:p>
      <w:pPr>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特此证明。</w:t>
      </w: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noWrap w:val="0"/>
            <w:vAlign w:val="top"/>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（※法定代表人（或非法人组织负责人）身份证正、反面复印件※）</w:t>
            </w:r>
          </w:p>
        </w:tc>
      </w:tr>
    </w:tbl>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spacing w:line="480" w:lineRule="auto"/>
        <w:rPr>
          <w:rFonts w:hint="eastAsia" w:ascii="仿宋_GB2312" w:hAnsi="仿宋_GB2312" w:eastAsia="仿宋_GB2312" w:cs="仿宋_GB2312"/>
        </w:rPr>
      </w:pPr>
      <w:r>
        <w:rPr>
          <w:rFonts w:hint="eastAsia" w:ascii="仿宋_GB2312" w:hAnsi="仿宋_GB2312" w:eastAsia="仿宋_GB2312" w:cs="仿宋_GB2312"/>
        </w:rPr>
        <w:t>供应商名称（加盖单位公章）：</w:t>
      </w:r>
      <w:r>
        <w:rPr>
          <w:rFonts w:hint="eastAsia" w:ascii="仿宋_GB2312" w:hAnsi="仿宋_GB2312" w:eastAsia="仿宋_GB2312" w:cs="仿宋_GB2312"/>
          <w:u w:val="single"/>
        </w:rPr>
        <w:t xml:space="preserve">           </w:t>
      </w:r>
    </w:p>
    <w:p>
      <w:pPr>
        <w:spacing w:line="480" w:lineRule="auto"/>
        <w:rPr>
          <w:rFonts w:hint="eastAsia" w:ascii="仿宋_GB2312" w:hAnsi="仿宋_GB2312" w:eastAsia="仿宋_GB2312" w:cs="仿宋_GB2312"/>
        </w:rPr>
      </w:pPr>
      <w:r>
        <w:rPr>
          <w:rFonts w:hint="eastAsia" w:ascii="仿宋_GB2312" w:hAnsi="仿宋_GB2312" w:eastAsia="仿宋_GB2312" w:cs="仿宋_GB2312"/>
        </w:rPr>
        <w:t xml:space="preserve">日期： </w:t>
      </w:r>
      <w:r>
        <w:rPr>
          <w:rFonts w:hint="eastAsia" w:ascii="仿宋_GB2312" w:hAnsi="仿宋_GB2312" w:eastAsia="仿宋_GB2312" w:cs="仿宋_GB2312"/>
          <w:u w:val="single"/>
        </w:rPr>
        <w:t xml:space="preserve">             </w:t>
      </w:r>
    </w:p>
    <w:p>
      <w:pPr>
        <w:keepNext/>
        <w:keepLines/>
        <w:pageBreakBefore w:val="0"/>
        <w:widowControl w:val="0"/>
        <w:kinsoku/>
        <w:wordWrap/>
        <w:overflowPunct/>
        <w:topLinePunct w:val="0"/>
        <w:autoSpaceDE/>
        <w:autoSpaceDN/>
        <w:bidi w:val="0"/>
        <w:adjustRightInd/>
        <w:snapToGrid/>
        <w:jc w:val="left"/>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szCs w:val="21"/>
        </w:rPr>
        <w:br w:type="page"/>
      </w:r>
      <w:bookmarkStart w:id="49" w:name="_Toc533340153"/>
      <w:bookmarkStart w:id="50" w:name="_Toc4485630"/>
      <w:r>
        <w:rPr>
          <w:rFonts w:hint="eastAsia" w:ascii="仿宋_GB2312" w:hAnsi="仿宋_GB2312" w:eastAsia="仿宋_GB2312" w:cs="仿宋_GB2312"/>
          <w:b/>
          <w:bCs/>
          <w:sz w:val="28"/>
          <w:szCs w:val="28"/>
        </w:rPr>
        <w:t>格式5</w:t>
      </w:r>
      <w:bookmarkEnd w:id="49"/>
      <w:bookmarkEnd w:id="50"/>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法定代表人（或非法人组织负责人）授权委托书</w:t>
      </w:r>
    </w:p>
    <w:p>
      <w:pPr>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单位名称：</w:t>
      </w:r>
      <w:r>
        <w:rPr>
          <w:rFonts w:hint="eastAsia" w:ascii="仿宋_GB2312" w:hAnsi="仿宋_GB2312" w:eastAsia="仿宋_GB2312" w:cs="仿宋_GB2312"/>
          <w:szCs w:val="21"/>
          <w:u w:val="single"/>
        </w:rPr>
        <w:t xml:space="preserve">           </w:t>
      </w:r>
    </w:p>
    <w:p>
      <w:pPr>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住所地：</w:t>
      </w:r>
      <w:r>
        <w:rPr>
          <w:rFonts w:hint="eastAsia" w:ascii="仿宋_GB2312" w:hAnsi="仿宋_GB2312" w:eastAsia="仿宋_GB2312" w:cs="仿宋_GB2312"/>
          <w:szCs w:val="21"/>
          <w:u w:val="single"/>
        </w:rPr>
        <w:t xml:space="preserve">                       </w:t>
      </w:r>
    </w:p>
    <w:p>
      <w:pPr>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rPr>
        <w:t>授权委托人姓名</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工作单位：</w:t>
      </w:r>
      <w:r>
        <w:rPr>
          <w:rFonts w:hint="eastAsia" w:ascii="仿宋_GB2312" w:hAnsi="仿宋_GB2312" w:eastAsia="仿宋_GB2312" w:cs="仿宋_GB2312"/>
          <w:szCs w:val="21"/>
          <w:u w:val="single"/>
        </w:rPr>
        <w:t xml:space="preserve">                    </w:t>
      </w:r>
    </w:p>
    <w:p>
      <w:pPr>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住址：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电话：</w:t>
      </w:r>
      <w:r>
        <w:rPr>
          <w:rFonts w:hint="eastAsia" w:ascii="仿宋_GB2312" w:hAnsi="仿宋_GB2312" w:eastAsia="仿宋_GB2312" w:cs="仿宋_GB2312"/>
          <w:szCs w:val="21"/>
          <w:u w:val="single"/>
        </w:rPr>
        <w:t xml:space="preserve">               </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现委托</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就</w:t>
      </w:r>
      <w:r>
        <w:rPr>
          <w:rFonts w:hint="eastAsia" w:ascii="仿宋_GB2312" w:hAnsi="仿宋_GB2312" w:eastAsia="仿宋_GB2312" w:cs="仿宋_GB2312"/>
          <w:szCs w:val="21"/>
          <w:u w:val="single"/>
        </w:rPr>
        <w:t>（项目编号、项目名称、包号）</w:t>
      </w:r>
      <w:r>
        <w:rPr>
          <w:rFonts w:hint="eastAsia" w:ascii="仿宋_GB2312" w:hAnsi="仿宋_GB2312" w:eastAsia="仿宋_GB2312" w:cs="仿宋_GB2312"/>
          <w:szCs w:val="21"/>
        </w:rPr>
        <w:t>政府采购活动，以我单位名义处理一切与之有关的事务。</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本授权书于</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日签字或盖章</w:t>
      </w:r>
      <w:r>
        <w:rPr>
          <w:rFonts w:hint="eastAsia" w:ascii="仿宋_GB2312" w:hAnsi="仿宋_GB2312" w:eastAsia="仿宋_GB2312" w:cs="仿宋_GB2312"/>
          <w:b/>
          <w:szCs w:val="21"/>
        </w:rPr>
        <w:t>生效，无转委托，</w:t>
      </w:r>
      <w:r>
        <w:rPr>
          <w:rFonts w:hint="eastAsia" w:ascii="仿宋_GB2312" w:hAnsi="仿宋_GB2312" w:eastAsia="仿宋_GB2312" w:cs="仿宋_GB2312"/>
          <w:szCs w:val="21"/>
        </w:rPr>
        <w:t>特此声明。</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noWrap w:val="0"/>
            <w:vAlign w:val="top"/>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rPr>
              <w:t>授权委托人</w:t>
            </w:r>
            <w:r>
              <w:rPr>
                <w:rFonts w:hint="eastAsia" w:ascii="仿宋_GB2312" w:hAnsi="仿宋_GB2312" w:eastAsia="仿宋_GB2312" w:cs="仿宋_GB2312"/>
                <w:szCs w:val="21"/>
              </w:rPr>
              <w:t>身份证正、反面复印件※）</w:t>
            </w:r>
          </w:p>
        </w:tc>
      </w:tr>
    </w:tbl>
    <w:p>
      <w:pPr>
        <w:spacing w:line="360" w:lineRule="auto"/>
        <w:rPr>
          <w:rFonts w:hint="eastAsia" w:ascii="仿宋_GB2312" w:hAnsi="仿宋_GB2312" w:eastAsia="仿宋_GB2312" w:cs="仿宋_GB2312"/>
          <w:szCs w:val="21"/>
        </w:rPr>
      </w:pPr>
    </w:p>
    <w:p>
      <w:pPr>
        <w:spacing w:line="360" w:lineRule="auto"/>
        <w:rPr>
          <w:rFonts w:hint="eastAsia" w:ascii="仿宋_GB2312" w:hAnsi="仿宋_GB2312" w:eastAsia="仿宋_GB2312" w:cs="仿宋_GB2312"/>
          <w:szCs w:val="21"/>
        </w:rPr>
      </w:pPr>
    </w:p>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委托人（加盖单位公章）：</w:t>
      </w:r>
      <w:r>
        <w:rPr>
          <w:rFonts w:hint="eastAsia" w:ascii="仿宋_GB2312" w:hAnsi="仿宋_GB2312" w:eastAsia="仿宋_GB2312" w:cs="仿宋_GB2312"/>
          <w:szCs w:val="21"/>
          <w:u w:val="single"/>
        </w:rPr>
        <w:t xml:space="preserve">          </w:t>
      </w:r>
    </w:p>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法定代表人（或非法人组织负责人）（签字或盖章）：</w:t>
      </w:r>
      <w:r>
        <w:rPr>
          <w:rFonts w:hint="eastAsia" w:ascii="仿宋_GB2312" w:hAnsi="仿宋_GB2312" w:eastAsia="仿宋_GB2312" w:cs="仿宋_GB2312"/>
          <w:szCs w:val="21"/>
          <w:u w:val="single"/>
        </w:rPr>
        <w:t xml:space="preserve">               </w:t>
      </w:r>
    </w:p>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rPr>
        <w:t>授权委托人</w:t>
      </w:r>
      <w:r>
        <w:rPr>
          <w:rFonts w:hint="eastAsia" w:ascii="仿宋_GB2312" w:hAnsi="仿宋_GB2312" w:eastAsia="仿宋_GB2312" w:cs="仿宋_GB2312"/>
          <w:szCs w:val="21"/>
        </w:rPr>
        <w:t>：（签字或盖章）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详细通讯地址：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邮政编码 ：</w:t>
      </w:r>
      <w:r>
        <w:rPr>
          <w:rFonts w:hint="eastAsia" w:ascii="仿宋_GB2312" w:hAnsi="仿宋_GB2312" w:eastAsia="仿宋_GB2312" w:cs="仿宋_GB2312"/>
          <w:szCs w:val="21"/>
          <w:u w:val="single"/>
        </w:rPr>
        <w:t xml:space="preserve">              </w:t>
      </w:r>
    </w:p>
    <w:p>
      <w:pPr>
        <w:spacing w:line="360" w:lineRule="auto"/>
        <w:rPr>
          <w:rFonts w:hint="eastAsia" w:ascii="仿宋_GB2312" w:hAnsi="仿宋_GB2312" w:eastAsia="仿宋_GB2312" w:cs="仿宋_GB2312"/>
          <w:szCs w:val="21"/>
          <w:u w:val="single"/>
        </w:rPr>
      </w:pPr>
      <w:r>
        <w:rPr>
          <w:rFonts w:hint="eastAsia" w:ascii="仿宋_GB2312" w:hAnsi="仿宋_GB2312" w:eastAsia="仿宋_GB2312" w:cs="仿宋_GB2312"/>
          <w:szCs w:val="21"/>
        </w:rPr>
        <w:t>传        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    话：</w:t>
      </w:r>
      <w:r>
        <w:rPr>
          <w:rFonts w:hint="eastAsia" w:ascii="仿宋_GB2312" w:hAnsi="仿宋_GB2312" w:eastAsia="仿宋_GB2312" w:cs="仿宋_GB2312"/>
          <w:szCs w:val="21"/>
          <w:u w:val="single"/>
        </w:rPr>
        <w:t xml:space="preserve">              </w:t>
      </w:r>
    </w:p>
    <w:p>
      <w:pPr>
        <w:spacing w:line="360" w:lineRule="auto"/>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pStyle w:val="3"/>
        <w:adjustRightInd w:val="0"/>
        <w:snapToGrid w:val="0"/>
        <w:spacing w:before="0" w:after="0" w:line="240" w:lineRule="auto"/>
        <w:jc w:val="left"/>
        <w:rPr>
          <w:rFonts w:hint="eastAsia" w:ascii="仿宋_GB2312" w:hAnsi="仿宋_GB2312" w:eastAsia="仿宋_GB2312" w:cs="仿宋_GB2312"/>
          <w:szCs w:val="28"/>
        </w:rPr>
      </w:pPr>
      <w:r>
        <w:rPr>
          <w:rFonts w:hint="eastAsia" w:ascii="仿宋_GB2312" w:hAnsi="仿宋_GB2312" w:eastAsia="仿宋_GB2312" w:cs="仿宋_GB2312"/>
          <w:szCs w:val="21"/>
          <w:u w:val="single"/>
        </w:rPr>
        <w:br w:type="page"/>
      </w:r>
      <w:bookmarkStart w:id="51" w:name="_Toc4485631"/>
      <w:bookmarkStart w:id="52" w:name="_Toc533340154"/>
      <w:r>
        <w:rPr>
          <w:rFonts w:hint="eastAsia" w:ascii="仿宋_GB2312" w:hAnsi="仿宋_GB2312" w:eastAsia="仿宋_GB2312" w:cs="仿宋_GB2312"/>
          <w:sz w:val="28"/>
        </w:rPr>
        <w:t>格式6</w:t>
      </w:r>
    </w:p>
    <w:p>
      <w:pPr>
        <w:spacing w:before="319" w:beforeLines="100" w:after="319" w:afterLines="100" w:line="360" w:lineRule="auto"/>
        <w:ind w:right="-21" w:rightChars="-1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具有良好的商业信誉和健全的财务会计制度的承诺函</w:t>
      </w:r>
    </w:p>
    <w:p>
      <w:pPr>
        <w:spacing w:before="319" w:beforeLines="100" w:after="319" w:afterLines="100" w:line="480" w:lineRule="exact"/>
        <w:ind w:right="630" w:rightChars="3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snapToGrid w:val="0"/>
        <w:spacing w:line="480" w:lineRule="auto"/>
        <w:rPr>
          <w:rFonts w:hint="eastAsia" w:ascii="仿宋_GB2312" w:hAnsi="仿宋_GB2312" w:eastAsia="仿宋_GB2312" w:cs="仿宋_GB2312"/>
        </w:rPr>
      </w:pPr>
      <w:r>
        <w:rPr>
          <w:rFonts w:hint="eastAsia" w:ascii="仿宋_GB2312" w:hAnsi="仿宋_GB2312" w:eastAsia="仿宋_GB2312" w:cs="仿宋_GB2312"/>
        </w:rPr>
        <w:t>供应商名称（加盖单位公章）：</w:t>
      </w:r>
      <w:r>
        <w:rPr>
          <w:rFonts w:hint="eastAsia" w:ascii="仿宋_GB2312" w:hAnsi="仿宋_GB2312" w:eastAsia="仿宋_GB2312" w:cs="仿宋_GB2312"/>
          <w:u w:val="single"/>
        </w:rPr>
        <w:t xml:space="preserve">           </w:t>
      </w:r>
    </w:p>
    <w:p>
      <w:pPr>
        <w:snapToGrid w:val="0"/>
        <w:spacing w:line="480" w:lineRule="auto"/>
        <w:rPr>
          <w:rFonts w:hint="eastAsia"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其授权委托人(签字或盖章)：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hint="eastAsia"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keepNext/>
        <w:keepLines/>
        <w:pageBreakBefore w:val="0"/>
        <w:widowControl w:val="0"/>
        <w:kinsoku/>
        <w:wordWrap/>
        <w:overflowPunct/>
        <w:topLinePunct w:val="0"/>
        <w:autoSpaceDE/>
        <w:autoSpaceDN/>
        <w:bidi w:val="0"/>
        <w:adjustRightInd/>
        <w:snapToGrid/>
        <w:jc w:val="left"/>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szCs w:val="21"/>
          <w:u w:val="single"/>
        </w:rPr>
        <w:br w:type="page"/>
      </w:r>
      <w:r>
        <w:rPr>
          <w:rFonts w:hint="eastAsia" w:ascii="仿宋_GB2312" w:hAnsi="仿宋_GB2312" w:eastAsia="仿宋_GB2312" w:cs="仿宋_GB2312"/>
          <w:b/>
          <w:bCs/>
          <w:sz w:val="28"/>
          <w:szCs w:val="28"/>
        </w:rPr>
        <w:t>格式7</w:t>
      </w:r>
      <w:bookmarkEnd w:id="51"/>
      <w:bookmarkEnd w:id="52"/>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具备履行合同所必需的设备和专业技术能力声明函</w:t>
      </w:r>
    </w:p>
    <w:p>
      <w:pPr>
        <w:spacing w:before="319" w:beforeLines="100" w:after="319" w:afterLines="100" w:line="480" w:lineRule="exact"/>
        <w:ind w:right="630" w:rightChars="3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spacing w:before="319" w:beforeLines="100" w:after="319" w:afterLines="100" w:line="480" w:lineRule="exact"/>
        <w:ind w:right="630" w:rightChars="300"/>
        <w:jc w:val="center"/>
        <w:rPr>
          <w:rFonts w:hint="eastAsia" w:ascii="仿宋_GB2312" w:hAnsi="仿宋_GB2312" w:eastAsia="仿宋_GB2312" w:cs="仿宋_GB2312"/>
          <w:b/>
          <w:sz w:val="28"/>
          <w:szCs w:val="28"/>
        </w:rPr>
      </w:pPr>
    </w:p>
    <w:p>
      <w:pPr>
        <w:spacing w:before="319" w:beforeLines="100" w:after="319" w:afterLines="100" w:line="480" w:lineRule="exact"/>
        <w:ind w:right="630" w:rightChars="300"/>
        <w:jc w:val="center"/>
        <w:rPr>
          <w:rFonts w:hint="eastAsia" w:ascii="仿宋_GB2312" w:hAnsi="仿宋_GB2312" w:eastAsia="仿宋_GB2312" w:cs="仿宋_GB2312"/>
          <w:b/>
          <w:sz w:val="28"/>
          <w:szCs w:val="28"/>
        </w:rPr>
      </w:pPr>
    </w:p>
    <w:p>
      <w:pPr>
        <w:spacing w:before="319" w:beforeLines="100" w:after="319" w:afterLines="100" w:line="480" w:lineRule="exact"/>
        <w:ind w:right="630" w:rightChars="300"/>
        <w:jc w:val="center"/>
        <w:rPr>
          <w:rFonts w:hint="eastAsia" w:ascii="仿宋_GB2312" w:hAnsi="仿宋_GB2312" w:eastAsia="仿宋_GB2312" w:cs="仿宋_GB2312"/>
          <w:b/>
          <w:sz w:val="28"/>
          <w:szCs w:val="28"/>
        </w:rPr>
      </w:pPr>
    </w:p>
    <w:p>
      <w:pPr>
        <w:spacing w:before="319" w:beforeLines="100" w:after="319" w:afterLines="100" w:line="480" w:lineRule="exact"/>
        <w:ind w:right="630" w:rightChars="300"/>
        <w:jc w:val="center"/>
        <w:rPr>
          <w:rFonts w:hint="eastAsia" w:ascii="仿宋_GB2312" w:hAnsi="仿宋_GB2312" w:eastAsia="仿宋_GB2312" w:cs="仿宋_GB2312"/>
          <w:b/>
          <w:sz w:val="28"/>
          <w:szCs w:val="28"/>
        </w:rPr>
      </w:pPr>
    </w:p>
    <w:p>
      <w:pPr>
        <w:spacing w:line="480" w:lineRule="auto"/>
        <w:rPr>
          <w:rFonts w:hint="eastAsia" w:ascii="仿宋_GB2312" w:hAnsi="仿宋_GB2312" w:eastAsia="仿宋_GB2312" w:cs="仿宋_GB2312"/>
        </w:rPr>
      </w:pPr>
      <w:r>
        <w:rPr>
          <w:rFonts w:hint="eastAsia" w:ascii="仿宋_GB2312" w:hAnsi="仿宋_GB2312" w:eastAsia="仿宋_GB2312" w:cs="仿宋_GB2312"/>
        </w:rPr>
        <w:t>供应商名称（加盖单位公章）：</w:t>
      </w:r>
      <w:r>
        <w:rPr>
          <w:rFonts w:hint="eastAsia" w:ascii="仿宋_GB2312" w:hAnsi="仿宋_GB2312" w:eastAsia="仿宋_GB2312" w:cs="仿宋_GB2312"/>
          <w:u w:val="single"/>
        </w:rPr>
        <w:t xml:space="preserve">           </w:t>
      </w:r>
    </w:p>
    <w:p>
      <w:pPr>
        <w:spacing w:line="480" w:lineRule="auto"/>
        <w:rPr>
          <w:rFonts w:hint="eastAsia"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w:t>
      </w:r>
      <w:r>
        <w:rPr>
          <w:rFonts w:hint="eastAsia" w:ascii="仿宋_GB2312" w:hAnsi="仿宋_GB2312" w:eastAsia="仿宋_GB2312" w:cs="仿宋_GB2312"/>
        </w:rPr>
        <w:t>）</w:t>
      </w:r>
      <w:r>
        <w:rPr>
          <w:rFonts w:hint="eastAsia" w:ascii="仿宋_GB2312" w:hAnsi="仿宋_GB2312" w:eastAsia="仿宋_GB2312" w:cs="仿宋_GB2312"/>
          <w:szCs w:val="21"/>
        </w:rPr>
        <w:t>或</w:t>
      </w:r>
      <w:r>
        <w:rPr>
          <w:rFonts w:hint="eastAsia" w:ascii="仿宋_GB2312" w:hAnsi="仿宋_GB2312" w:eastAsia="仿宋_GB2312" w:cs="仿宋_GB2312"/>
        </w:rPr>
        <w:t xml:space="preserve">其授权委托人(签字或盖章)： </w:t>
      </w:r>
      <w:r>
        <w:rPr>
          <w:rFonts w:hint="eastAsia" w:ascii="仿宋_GB2312" w:hAnsi="仿宋_GB2312" w:eastAsia="仿宋_GB2312" w:cs="仿宋_GB2312"/>
          <w:u w:val="single"/>
        </w:rPr>
        <w:t xml:space="preserve">         </w:t>
      </w:r>
    </w:p>
    <w:p>
      <w:pPr>
        <w:spacing w:line="480" w:lineRule="auto"/>
        <w:rPr>
          <w:rFonts w:hint="eastAsia" w:ascii="仿宋_GB2312" w:hAnsi="仿宋_GB2312" w:eastAsia="仿宋_GB2312" w:cs="仿宋_GB2312"/>
        </w:rPr>
      </w:pPr>
      <w:r>
        <w:rPr>
          <w:rFonts w:hint="eastAsia" w:ascii="仿宋_GB2312" w:hAnsi="仿宋_GB2312" w:eastAsia="仿宋_GB2312" w:cs="仿宋_GB2312"/>
        </w:rPr>
        <w:t xml:space="preserve">日期： </w:t>
      </w:r>
      <w:r>
        <w:rPr>
          <w:rFonts w:hint="eastAsia" w:ascii="仿宋_GB2312" w:hAnsi="仿宋_GB2312" w:eastAsia="仿宋_GB2312" w:cs="仿宋_GB2312"/>
          <w:u w:val="single"/>
        </w:rPr>
        <w:t xml:space="preserve">             </w:t>
      </w:r>
    </w:p>
    <w:p>
      <w:pPr>
        <w:keepNext/>
        <w:keepLines/>
        <w:pageBreakBefore w:val="0"/>
        <w:widowControl w:val="0"/>
        <w:kinsoku/>
        <w:wordWrap/>
        <w:overflowPunct/>
        <w:topLinePunct w:val="0"/>
        <w:autoSpaceDE/>
        <w:autoSpaceDN/>
        <w:bidi w:val="0"/>
        <w:adjustRightInd/>
        <w:snapToGrid/>
        <w:jc w:val="left"/>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br w:type="page"/>
      </w:r>
      <w:bookmarkStart w:id="53" w:name="_Toc4485632"/>
      <w:bookmarkStart w:id="54" w:name="_Toc533340155"/>
      <w:r>
        <w:rPr>
          <w:rFonts w:hint="eastAsia" w:ascii="仿宋_GB2312" w:hAnsi="仿宋_GB2312" w:eastAsia="仿宋_GB2312" w:cs="仿宋_GB2312"/>
          <w:b/>
          <w:bCs/>
          <w:sz w:val="28"/>
          <w:szCs w:val="28"/>
        </w:rPr>
        <w:t>格式8</w:t>
      </w:r>
      <w:bookmarkEnd w:id="53"/>
      <w:bookmarkEnd w:id="54"/>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参加政府采购活动前3年内在经营活动中没有重大违法记录的书面声明</w:t>
      </w:r>
    </w:p>
    <w:p>
      <w:pPr>
        <w:spacing w:before="159" w:beforeLines="50" w:after="159" w:afterLines="50" w:line="400" w:lineRule="exact"/>
        <w:ind w:right="630" w:rightChars="300"/>
        <w:rPr>
          <w:rFonts w:hint="eastAsia" w:ascii="仿宋_GB2312" w:hAnsi="仿宋_GB2312" w:eastAsia="仿宋_GB2312" w:cs="仿宋_GB2312"/>
          <w:sz w:val="24"/>
        </w:rPr>
      </w:pPr>
    </w:p>
    <w:p>
      <w:pPr>
        <w:spacing w:line="360" w:lineRule="auto"/>
        <w:ind w:right="630" w:rightChars="300"/>
        <w:rPr>
          <w:rFonts w:hint="eastAsia" w:ascii="仿宋_GB2312" w:hAnsi="仿宋_GB2312" w:eastAsia="仿宋_GB2312" w:cs="仿宋_GB2312"/>
          <w:b/>
          <w:szCs w:val="21"/>
        </w:rPr>
      </w:pPr>
      <w:r>
        <w:rPr>
          <w:rFonts w:hint="eastAsia" w:ascii="仿宋_GB2312" w:hAnsi="仿宋_GB2312" w:eastAsia="仿宋_GB2312" w:cs="仿宋_GB2312"/>
          <w:b/>
          <w:szCs w:val="21"/>
          <w:u w:val="single"/>
        </w:rPr>
        <w:t xml:space="preserve">（采购人或采购代理机构名称） </w:t>
      </w:r>
      <w:r>
        <w:rPr>
          <w:rFonts w:hint="eastAsia" w:ascii="仿宋_GB2312" w:hAnsi="仿宋_GB2312" w:eastAsia="仿宋_GB2312" w:cs="仿宋_GB2312"/>
          <w:b/>
          <w:szCs w:val="21"/>
        </w:rPr>
        <w:t xml:space="preserve"> ：</w:t>
      </w:r>
    </w:p>
    <w:p>
      <w:pPr>
        <w:spacing w:line="500" w:lineRule="exact"/>
        <w:ind w:right="-21" w:rightChars="-10" w:firstLine="493" w:firstLineChars="235"/>
        <w:rPr>
          <w:rFonts w:hint="eastAsia" w:ascii="仿宋_GB2312" w:hAnsi="仿宋_GB2312" w:eastAsia="仿宋_GB2312" w:cs="仿宋_GB2312"/>
          <w:szCs w:val="21"/>
        </w:rPr>
      </w:pPr>
      <w:r>
        <w:rPr>
          <w:rFonts w:hint="eastAsia" w:ascii="仿宋_GB2312" w:hAnsi="仿宋_GB2312" w:eastAsia="仿宋_GB2312" w:cs="仿宋_GB2312"/>
          <w:bCs/>
          <w:szCs w:val="21"/>
        </w:rPr>
        <w:t>在本项目提交响应文件截止时间前，</w:t>
      </w:r>
      <w:r>
        <w:rPr>
          <w:rFonts w:hint="eastAsia" w:ascii="仿宋_GB2312" w:hAnsi="仿宋_GB2312" w:eastAsia="仿宋_GB2312" w:cs="仿宋_GB2312"/>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500" w:lineRule="exact"/>
        <w:ind w:right="-21" w:rightChars="-10" w:firstLine="371" w:firstLineChars="177"/>
        <w:rPr>
          <w:rFonts w:hint="eastAsia" w:ascii="仿宋_GB2312" w:hAnsi="仿宋_GB2312" w:eastAsia="仿宋_GB2312" w:cs="仿宋_GB2312"/>
          <w:szCs w:val="21"/>
        </w:rPr>
      </w:pPr>
      <w:r>
        <w:rPr>
          <w:rFonts w:hint="eastAsia" w:ascii="仿宋_GB2312" w:hAnsi="仿宋_GB2312" w:eastAsia="仿宋_GB2312" w:cs="仿宋_GB2312"/>
          <w:szCs w:val="21"/>
        </w:rPr>
        <w:t>如发现我单位提供的声明函不实时，我单位将按照《政府采购法》有关提供虚假材料的规定，接受处罚。</w:t>
      </w:r>
    </w:p>
    <w:p>
      <w:pPr>
        <w:spacing w:line="500" w:lineRule="exact"/>
        <w:ind w:right="1050" w:rightChars="50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特此声明。</w:t>
      </w:r>
    </w:p>
    <w:p>
      <w:pPr>
        <w:spacing w:line="500" w:lineRule="exact"/>
        <w:ind w:right="1050" w:rightChars="500" w:firstLine="420" w:firstLineChars="200"/>
        <w:rPr>
          <w:rFonts w:hint="eastAsia" w:ascii="仿宋_GB2312" w:hAnsi="仿宋_GB2312" w:eastAsia="仿宋_GB2312" w:cs="仿宋_GB2312"/>
          <w:szCs w:val="21"/>
        </w:rPr>
      </w:pPr>
    </w:p>
    <w:p>
      <w:pPr>
        <w:spacing w:before="159" w:beforeLines="50" w:after="159" w:afterLines="50" w:line="400" w:lineRule="exact"/>
        <w:ind w:right="1050" w:rightChars="500" w:firstLine="420" w:firstLineChars="200"/>
        <w:rPr>
          <w:rFonts w:hint="eastAsia" w:ascii="仿宋_GB2312" w:hAnsi="仿宋_GB2312" w:eastAsia="仿宋_GB2312" w:cs="仿宋_GB2312"/>
          <w:szCs w:val="21"/>
        </w:rPr>
      </w:pPr>
    </w:p>
    <w:p>
      <w:pPr>
        <w:spacing w:before="159" w:beforeLines="50" w:after="159" w:afterLines="50" w:line="400" w:lineRule="exact"/>
        <w:ind w:right="1050" w:rightChars="500" w:firstLine="420" w:firstLineChars="200"/>
        <w:rPr>
          <w:rFonts w:hint="eastAsia" w:ascii="仿宋_GB2312" w:hAnsi="仿宋_GB2312" w:eastAsia="仿宋_GB2312" w:cs="仿宋_GB2312"/>
          <w:szCs w:val="21"/>
        </w:rPr>
      </w:pPr>
    </w:p>
    <w:p>
      <w:pPr>
        <w:spacing w:line="360" w:lineRule="exact"/>
        <w:ind w:left="1050" w:leftChars="500" w:right="1050" w:rightChars="500" w:firstLine="420" w:firstLineChars="200"/>
        <w:rPr>
          <w:rFonts w:hint="eastAsia" w:ascii="仿宋_GB2312" w:hAnsi="仿宋_GB2312" w:eastAsia="仿宋_GB2312" w:cs="仿宋_GB2312"/>
          <w:szCs w:val="21"/>
        </w:rPr>
      </w:pPr>
    </w:p>
    <w:p>
      <w:pPr>
        <w:spacing w:line="480" w:lineRule="auto"/>
        <w:rPr>
          <w:rFonts w:hint="eastAsia" w:ascii="仿宋_GB2312" w:hAnsi="仿宋_GB2312" w:eastAsia="仿宋_GB2312" w:cs="仿宋_GB2312"/>
        </w:rPr>
      </w:pPr>
      <w:r>
        <w:rPr>
          <w:rFonts w:hint="eastAsia" w:ascii="仿宋_GB2312" w:hAnsi="仿宋_GB2312" w:eastAsia="仿宋_GB2312" w:cs="仿宋_GB2312"/>
        </w:rPr>
        <w:t>供应商名称（加盖单位公章）：</w:t>
      </w:r>
      <w:r>
        <w:rPr>
          <w:rFonts w:hint="eastAsia" w:ascii="仿宋_GB2312" w:hAnsi="仿宋_GB2312" w:eastAsia="仿宋_GB2312" w:cs="仿宋_GB2312"/>
          <w:u w:val="single"/>
        </w:rPr>
        <w:t xml:space="preserve">           </w:t>
      </w:r>
    </w:p>
    <w:p>
      <w:pPr>
        <w:spacing w:line="480" w:lineRule="auto"/>
        <w:rPr>
          <w:rFonts w:hint="eastAsia"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w:t>
      </w:r>
      <w:r>
        <w:rPr>
          <w:rFonts w:hint="eastAsia" w:ascii="仿宋_GB2312" w:hAnsi="仿宋_GB2312" w:eastAsia="仿宋_GB2312" w:cs="仿宋_GB2312"/>
        </w:rPr>
        <w:t>）</w:t>
      </w:r>
      <w:r>
        <w:rPr>
          <w:rFonts w:hint="eastAsia" w:ascii="仿宋_GB2312" w:hAnsi="仿宋_GB2312" w:eastAsia="仿宋_GB2312" w:cs="仿宋_GB2312"/>
          <w:szCs w:val="21"/>
        </w:rPr>
        <w:t>或</w:t>
      </w:r>
      <w:r>
        <w:rPr>
          <w:rFonts w:hint="eastAsia" w:ascii="仿宋_GB2312" w:hAnsi="仿宋_GB2312" w:eastAsia="仿宋_GB2312" w:cs="仿宋_GB2312"/>
        </w:rPr>
        <w:t xml:space="preserve">其授权委托人(签字或盖章)： </w:t>
      </w:r>
      <w:r>
        <w:rPr>
          <w:rFonts w:hint="eastAsia" w:ascii="仿宋_GB2312" w:hAnsi="仿宋_GB2312" w:eastAsia="仿宋_GB2312" w:cs="仿宋_GB2312"/>
          <w:u w:val="single"/>
        </w:rPr>
        <w:t xml:space="preserve">         </w:t>
      </w:r>
    </w:p>
    <w:p>
      <w:pPr>
        <w:spacing w:line="480" w:lineRule="auto"/>
        <w:rPr>
          <w:rFonts w:hint="eastAsia" w:ascii="仿宋_GB2312" w:hAnsi="仿宋_GB2312" w:eastAsia="仿宋_GB2312" w:cs="仿宋_GB2312"/>
        </w:rPr>
      </w:pPr>
      <w:r>
        <w:rPr>
          <w:rFonts w:hint="eastAsia" w:ascii="仿宋_GB2312" w:hAnsi="仿宋_GB2312" w:eastAsia="仿宋_GB2312" w:cs="仿宋_GB2312"/>
        </w:rPr>
        <w:t xml:space="preserve">日期： </w:t>
      </w:r>
      <w:r>
        <w:rPr>
          <w:rFonts w:hint="eastAsia" w:ascii="仿宋_GB2312" w:hAnsi="仿宋_GB2312" w:eastAsia="仿宋_GB2312" w:cs="仿宋_GB2312"/>
          <w:u w:val="single"/>
        </w:rPr>
        <w:t xml:space="preserve">             </w:t>
      </w:r>
    </w:p>
    <w:p>
      <w:pPr>
        <w:keepNext/>
        <w:keepLines/>
        <w:pageBreakBefore w:val="0"/>
        <w:widowControl w:val="0"/>
        <w:kinsoku/>
        <w:wordWrap/>
        <w:overflowPunct/>
        <w:topLinePunct w:val="0"/>
        <w:autoSpaceDE/>
        <w:autoSpaceDN/>
        <w:bidi w:val="0"/>
        <w:adjustRightInd/>
        <w:snapToGrid/>
        <w:jc w:val="left"/>
        <w:textAlignment w:val="auto"/>
        <w:outlineLvl w:val="1"/>
        <w:rPr>
          <w:rFonts w:hint="eastAsia" w:ascii="仿宋_GB2312" w:hAnsi="仿宋_GB2312" w:eastAsia="仿宋_GB2312" w:cs="仿宋_GB2312"/>
          <w:szCs w:val="21"/>
        </w:rPr>
      </w:pPr>
      <w:r>
        <w:rPr>
          <w:rFonts w:hint="eastAsia" w:ascii="仿宋_GB2312" w:hAnsi="仿宋_GB2312" w:eastAsia="仿宋_GB2312" w:cs="仿宋_GB2312"/>
          <w:szCs w:val="21"/>
        </w:rPr>
        <w:br w:type="page"/>
      </w:r>
      <w:r>
        <w:rPr>
          <w:rFonts w:hint="eastAsia" w:ascii="仿宋_GB2312" w:hAnsi="仿宋_GB2312" w:eastAsia="仿宋_GB2312" w:cs="仿宋_GB2312"/>
          <w:b/>
          <w:bCs/>
          <w:sz w:val="28"/>
          <w:szCs w:val="28"/>
        </w:rPr>
        <w:t>格式9</w:t>
      </w:r>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联合体协议书</w:t>
      </w:r>
    </w:p>
    <w:p>
      <w:pPr>
        <w:adjustRightInd w:val="0"/>
        <w:snapToGrid w:val="0"/>
        <w:spacing w:line="360" w:lineRule="auto"/>
        <w:ind w:right="-21" w:rightChars="-10"/>
        <w:rPr>
          <w:rFonts w:hint="eastAsia" w:ascii="仿宋_GB2312" w:hAnsi="仿宋_GB2312" w:eastAsia="仿宋_GB2312" w:cs="仿宋_GB2312"/>
          <w:szCs w:val="21"/>
        </w:rPr>
      </w:pPr>
      <w:r>
        <w:rPr>
          <w:rFonts w:hint="eastAsia" w:ascii="仿宋_GB2312" w:hAnsi="仿宋_GB2312" w:eastAsia="仿宋_GB2312" w:cs="仿宋_GB2312"/>
          <w:szCs w:val="21"/>
          <w:u w:val="single"/>
        </w:rPr>
        <w:t>(采购人或采购代理机构)</w:t>
      </w:r>
      <w:r>
        <w:rPr>
          <w:rFonts w:hint="eastAsia" w:ascii="仿宋_GB2312" w:hAnsi="仿宋_GB2312" w:eastAsia="仿宋_GB2312" w:cs="仿宋_GB2312"/>
          <w:szCs w:val="21"/>
        </w:rPr>
        <w:t>：</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经研究，我方决定自愿组成联合体共同参加</w:t>
      </w:r>
      <w:r>
        <w:rPr>
          <w:rFonts w:hint="eastAsia" w:ascii="仿宋_GB2312" w:hAnsi="仿宋_GB2312" w:eastAsia="仿宋_GB2312" w:cs="仿宋_GB2312"/>
          <w:szCs w:val="21"/>
          <w:u w:val="single"/>
        </w:rPr>
        <w:t>(项目名称、项目编号、包号)</w:t>
      </w:r>
      <w:r>
        <w:rPr>
          <w:rFonts w:hint="eastAsia" w:ascii="仿宋_GB2312" w:hAnsi="仿宋_GB2312" w:eastAsia="仿宋_GB2312" w:cs="仿宋_GB2312"/>
          <w:szCs w:val="21"/>
        </w:rPr>
        <w:t>项目的响应。现就联合体参加政府采购活动事宜订立如下协议：</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一、联合体成员：</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u w:val="single"/>
        </w:rPr>
        <w:t>           </w:t>
      </w:r>
      <w:r>
        <w:rPr>
          <w:rFonts w:hint="eastAsia" w:ascii="仿宋_GB2312" w:hAnsi="仿宋_GB2312" w:eastAsia="仿宋_GB2312" w:cs="仿宋_GB2312"/>
          <w:szCs w:val="21"/>
        </w:rPr>
        <w:t>       </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u w:val="single"/>
        </w:rPr>
        <w:t>           </w:t>
      </w:r>
      <w:r>
        <w:rPr>
          <w:rFonts w:hint="eastAsia" w:ascii="仿宋_GB2312" w:hAnsi="仿宋_GB2312" w:eastAsia="仿宋_GB2312" w:cs="仿宋_GB2312"/>
          <w:szCs w:val="21"/>
        </w:rPr>
        <w:t>       </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w:t>
      </w:r>
      <w:r>
        <w:rPr>
          <w:rFonts w:hint="eastAsia" w:ascii="仿宋_GB2312" w:hAnsi="仿宋_GB2312" w:eastAsia="仿宋_GB2312" w:cs="仿宋_GB2312"/>
          <w:szCs w:val="21"/>
          <w:u w:val="single"/>
        </w:rPr>
        <w:t>           </w:t>
      </w:r>
      <w:r>
        <w:rPr>
          <w:rFonts w:hint="eastAsia" w:ascii="仿宋_GB2312" w:hAnsi="仿宋_GB2312" w:eastAsia="仿宋_GB2312" w:cs="仿宋_GB2312"/>
          <w:szCs w:val="21"/>
        </w:rPr>
        <w:t>       </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二、</w:t>
      </w:r>
      <w:r>
        <w:rPr>
          <w:rFonts w:hint="eastAsia" w:ascii="仿宋_GB2312" w:hAnsi="仿宋_GB2312" w:eastAsia="仿宋_GB2312" w:cs="仿宋_GB2312"/>
          <w:szCs w:val="21"/>
          <w:u w:val="single"/>
        </w:rPr>
        <w:t>(某成员单位名称)为</w:t>
      </w:r>
      <w:r>
        <w:rPr>
          <w:rFonts w:hint="eastAsia" w:ascii="仿宋_GB2312" w:hAnsi="仿宋_GB2312" w:eastAsia="仿宋_GB2312" w:cs="仿宋_GB2312"/>
          <w:szCs w:val="21"/>
        </w:rPr>
        <w:t>(联合体名称)牵头人。</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三、联合体牵头人合法代表联合体各成员负责本项目</w:t>
      </w:r>
      <w:r>
        <w:rPr>
          <w:rFonts w:hint="eastAsia" w:ascii="仿宋_GB2312" w:hAnsi="仿宋_GB2312" w:eastAsia="仿宋_GB2312" w:cs="仿宋_GB2312"/>
        </w:rPr>
        <w:t>响应</w:t>
      </w:r>
      <w:r>
        <w:rPr>
          <w:rFonts w:hint="eastAsia" w:ascii="仿宋_GB2312" w:hAnsi="仿宋_GB2312" w:eastAsia="仿宋_GB2312" w:cs="仿宋_GB2312"/>
          <w:szCs w:val="21"/>
        </w:rPr>
        <w:t>文件编制活动，代表联合体提交和接收相关的资料、信息及指示，并处理与</w:t>
      </w:r>
      <w:r>
        <w:rPr>
          <w:rFonts w:hint="eastAsia" w:ascii="仿宋_GB2312" w:hAnsi="仿宋_GB2312" w:eastAsia="仿宋_GB2312" w:cs="仿宋_GB2312"/>
        </w:rPr>
        <w:t>响应</w:t>
      </w:r>
      <w:r>
        <w:rPr>
          <w:rFonts w:hint="eastAsia" w:ascii="仿宋_GB2312" w:hAnsi="仿宋_GB2312" w:eastAsia="仿宋_GB2312" w:cs="仿宋_GB2312"/>
          <w:szCs w:val="21"/>
        </w:rPr>
        <w:t>或成交有关的一切事务；联合体成交后，联合体牵头人负责合同订立和合同实施阶段的主办、组织和协调工作。</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四、联合体将严格按照采购文件的各项要求，递交</w:t>
      </w:r>
      <w:r>
        <w:rPr>
          <w:rFonts w:hint="eastAsia" w:ascii="仿宋_GB2312" w:hAnsi="仿宋_GB2312" w:eastAsia="仿宋_GB2312" w:cs="仿宋_GB2312"/>
        </w:rPr>
        <w:t>响应</w:t>
      </w:r>
      <w:r>
        <w:rPr>
          <w:rFonts w:hint="eastAsia" w:ascii="仿宋_GB2312" w:hAnsi="仿宋_GB2312" w:eastAsia="仿宋_GB2312" w:cs="仿宋_GB2312"/>
          <w:szCs w:val="21"/>
        </w:rPr>
        <w:t>文件，参加磋商会议，履行成交义务和成交后的合同，并向采购人承担连带责任。</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五、联合体各成员单位内部的职责分工如下：</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。按照本条上述分工，联合体成员单位各自所承担的合同工作量比例如下：</w:t>
      </w:r>
      <w:r>
        <w:rPr>
          <w:rFonts w:hint="eastAsia" w:ascii="仿宋_GB2312" w:hAnsi="仿宋_GB2312" w:eastAsia="仿宋_GB2312" w:cs="仿宋_GB2312"/>
          <w:szCs w:val="21"/>
          <w:u w:val="single"/>
        </w:rPr>
        <w:t>                </w:t>
      </w:r>
      <w:r>
        <w:rPr>
          <w:rFonts w:hint="eastAsia" w:ascii="仿宋_GB2312" w:hAnsi="仿宋_GB2312" w:eastAsia="仿宋_GB2312" w:cs="仿宋_GB2312"/>
          <w:szCs w:val="21"/>
        </w:rPr>
        <w:t>  。</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六、本协议书自签署之日起生效，合同履行完毕后自动失效。</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七、本协议书一式</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份，联合体成员和采购人各执</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w:t>
      </w:r>
    </w:p>
    <w:p>
      <w:pPr>
        <w:adjustRightInd w:val="0"/>
        <w:snapToGrid w:val="0"/>
        <w:spacing w:line="360" w:lineRule="auto"/>
        <w:ind w:right="-21" w:rightChars="-10"/>
        <w:rPr>
          <w:rFonts w:hint="eastAsia" w:ascii="仿宋_GB2312" w:hAnsi="仿宋_GB2312" w:eastAsia="仿宋_GB2312" w:cs="仿宋_GB2312"/>
          <w:szCs w:val="21"/>
        </w:rPr>
      </w:pPr>
      <w:r>
        <w:rPr>
          <w:rFonts w:hint="eastAsia" w:ascii="仿宋_GB2312" w:hAnsi="仿宋_GB2312" w:eastAsia="仿宋_GB2312" w:cs="仿宋_GB2312"/>
          <w:szCs w:val="21"/>
        </w:rPr>
        <w:t> </w:t>
      </w:r>
    </w:p>
    <w:p>
      <w:pPr>
        <w:adjustRightInd w:val="0"/>
        <w:snapToGrid w:val="0"/>
        <w:spacing w:line="360" w:lineRule="auto"/>
        <w:ind w:right="-21" w:rightChars="-10"/>
        <w:rPr>
          <w:rFonts w:hint="eastAsia" w:ascii="仿宋_GB2312" w:hAnsi="仿宋_GB2312" w:eastAsia="仿宋_GB2312" w:cs="仿宋_GB2312"/>
          <w:szCs w:val="21"/>
        </w:rPr>
      </w:pPr>
    </w:p>
    <w:p>
      <w:pPr>
        <w:adjustRightInd w:val="0"/>
        <w:snapToGrid w:val="0"/>
        <w:spacing w:line="360" w:lineRule="auto"/>
        <w:ind w:right="-21" w:rightChars="-10"/>
        <w:rPr>
          <w:rFonts w:hint="eastAsia" w:ascii="仿宋_GB2312" w:hAnsi="仿宋_GB2312" w:eastAsia="仿宋_GB2312" w:cs="仿宋_GB2312"/>
          <w:szCs w:val="21"/>
        </w:rPr>
      </w:pPr>
      <w:r>
        <w:rPr>
          <w:rFonts w:hint="eastAsia" w:ascii="仿宋_GB2312" w:hAnsi="仿宋_GB2312" w:eastAsia="仿宋_GB2312" w:cs="仿宋_GB2312"/>
          <w:szCs w:val="21"/>
        </w:rPr>
        <w:t>牵头人名称（加盖单位公章）：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hint="eastAsia" w:ascii="仿宋_GB2312" w:hAnsi="仿宋_GB2312" w:eastAsia="仿宋_GB2312" w:cs="仿宋_GB2312"/>
          <w:szCs w:val="21"/>
        </w:rPr>
      </w:pPr>
      <w:r>
        <w:rPr>
          <w:rFonts w:hint="eastAsia" w:ascii="仿宋_GB2312" w:hAnsi="仿宋_GB2312" w:eastAsia="仿宋_GB2312" w:cs="仿宋_GB2312"/>
          <w:szCs w:val="21"/>
        </w:rPr>
        <w:t>法定代表人或其</w:t>
      </w:r>
      <w:r>
        <w:rPr>
          <w:rFonts w:hint="eastAsia" w:ascii="仿宋_GB2312" w:hAnsi="仿宋_GB2312" w:eastAsia="仿宋_GB2312" w:cs="仿宋_GB2312"/>
        </w:rPr>
        <w:t>授权委托人</w:t>
      </w:r>
      <w:r>
        <w:rPr>
          <w:rFonts w:hint="eastAsia" w:ascii="仿宋_GB2312" w:hAnsi="仿宋_GB2312" w:eastAsia="仿宋_GB2312" w:cs="仿宋_GB2312"/>
          <w:szCs w:val="21"/>
        </w:rPr>
        <w:t>(签字或盖章)：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hint="eastAsia" w:ascii="仿宋_GB2312" w:hAnsi="仿宋_GB2312" w:eastAsia="仿宋_GB2312" w:cs="仿宋_GB2312"/>
          <w:szCs w:val="21"/>
        </w:rPr>
      </w:pPr>
    </w:p>
    <w:p>
      <w:pPr>
        <w:adjustRightInd w:val="0"/>
        <w:snapToGrid w:val="0"/>
        <w:spacing w:line="360" w:lineRule="auto"/>
        <w:ind w:right="-21" w:rightChars="-10"/>
        <w:rPr>
          <w:rFonts w:hint="eastAsia" w:ascii="仿宋_GB2312" w:hAnsi="仿宋_GB2312" w:eastAsia="仿宋_GB2312" w:cs="仿宋_GB2312"/>
          <w:szCs w:val="21"/>
        </w:rPr>
      </w:pPr>
      <w:r>
        <w:rPr>
          <w:rFonts w:hint="eastAsia" w:ascii="仿宋_GB2312" w:hAnsi="仿宋_GB2312" w:eastAsia="仿宋_GB2312" w:cs="仿宋_GB2312"/>
          <w:szCs w:val="21"/>
        </w:rPr>
        <w:t>成员名称（加盖单位公章）：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hint="eastAsia" w:ascii="仿宋_GB2312" w:hAnsi="仿宋_GB2312" w:eastAsia="仿宋_GB2312" w:cs="仿宋_GB2312"/>
          <w:szCs w:val="21"/>
        </w:rPr>
      </w:pPr>
      <w:r>
        <w:rPr>
          <w:rFonts w:hint="eastAsia" w:ascii="仿宋_GB2312" w:hAnsi="仿宋_GB2312" w:eastAsia="仿宋_GB2312" w:cs="仿宋_GB2312"/>
          <w:szCs w:val="21"/>
        </w:rPr>
        <w:t>法定代表人或其</w:t>
      </w:r>
      <w:r>
        <w:rPr>
          <w:rFonts w:hint="eastAsia" w:ascii="仿宋_GB2312" w:hAnsi="仿宋_GB2312" w:eastAsia="仿宋_GB2312" w:cs="仿宋_GB2312"/>
        </w:rPr>
        <w:t>授权委托人</w:t>
      </w:r>
      <w:r>
        <w:rPr>
          <w:rFonts w:hint="eastAsia" w:ascii="仿宋_GB2312" w:hAnsi="仿宋_GB2312" w:eastAsia="仿宋_GB2312" w:cs="仿宋_GB2312"/>
          <w:szCs w:val="21"/>
        </w:rPr>
        <w:t>(签字或盖章)：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hint="eastAsia" w:ascii="仿宋_GB2312" w:hAnsi="仿宋_GB2312" w:eastAsia="仿宋_GB2312" w:cs="仿宋_GB2312"/>
          <w:b/>
          <w:sz w:val="28"/>
          <w:szCs w:val="28"/>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pStyle w:val="3"/>
        <w:keepNext/>
        <w:keepLines/>
        <w:pageBreakBefore w:val="0"/>
        <w:widowControl w:val="0"/>
        <w:kinsoku/>
        <w:wordWrap/>
        <w:overflowPunct/>
        <w:topLinePunct w:val="0"/>
        <w:autoSpaceDE/>
        <w:autoSpaceDN/>
        <w:bidi w:val="0"/>
        <w:adjustRightInd w:val="0"/>
        <w:snapToGrid w:val="0"/>
        <w:spacing w:before="20" w:after="20" w:line="240" w:lineRule="auto"/>
        <w:jc w:val="left"/>
        <w:textAlignment w:val="auto"/>
        <w:rPr>
          <w:rFonts w:hint="eastAsia" w:ascii="仿宋_GB2312" w:hAnsi="仿宋_GB2312" w:eastAsia="仿宋_GB2312" w:cs="仿宋_GB2312"/>
          <w:sz w:val="28"/>
          <w:szCs w:val="28"/>
        </w:rPr>
      </w:pPr>
      <w:bookmarkStart w:id="55" w:name="_Toc533340156"/>
      <w:bookmarkStart w:id="56" w:name="_Toc4485633"/>
      <w:r>
        <w:rPr>
          <w:rFonts w:hint="eastAsia" w:ascii="仿宋_GB2312" w:hAnsi="仿宋_GB2312" w:eastAsia="仿宋_GB2312" w:cs="仿宋_GB2312"/>
          <w:sz w:val="28"/>
          <w:szCs w:val="28"/>
        </w:rPr>
        <w:br w:type="page"/>
      </w:r>
      <w:r>
        <w:rPr>
          <w:rFonts w:hint="eastAsia" w:ascii="仿宋_GB2312" w:hAnsi="仿宋_GB2312" w:eastAsia="仿宋_GB2312" w:cs="仿宋_GB2312"/>
          <w:sz w:val="28"/>
          <w:szCs w:val="28"/>
        </w:rPr>
        <w:t>格式10</w:t>
      </w:r>
      <w:bookmarkEnd w:id="55"/>
      <w:bookmarkEnd w:id="56"/>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响应函</w:t>
      </w:r>
    </w:p>
    <w:p>
      <w:pPr>
        <w:adjustRightInd w:val="0"/>
        <w:snapToGrid w:val="0"/>
        <w:spacing w:line="360" w:lineRule="auto"/>
        <w:ind w:right="630" w:rightChars="300"/>
        <w:rPr>
          <w:rFonts w:hint="eastAsia" w:ascii="仿宋_GB2312" w:hAnsi="仿宋_GB2312" w:eastAsia="仿宋_GB2312" w:cs="仿宋_GB2312"/>
          <w:szCs w:val="21"/>
          <w:u w:val="single"/>
        </w:rPr>
      </w:pPr>
      <w:r>
        <w:rPr>
          <w:rFonts w:hint="eastAsia" w:ascii="仿宋_GB2312" w:hAnsi="仿宋_GB2312" w:eastAsia="仿宋_GB2312" w:cs="仿宋_GB2312"/>
          <w:szCs w:val="21"/>
          <w:u w:val="single"/>
        </w:rPr>
        <w:t>（采购人或采购代理机构）：</w:t>
      </w:r>
    </w:p>
    <w:p>
      <w:pPr>
        <w:adjustRightInd w:val="0"/>
        <w:snapToGrid w:val="0"/>
        <w:spacing w:line="360" w:lineRule="auto"/>
        <w:ind w:right="-21" w:rightChars="-1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根据贵方</w:t>
      </w:r>
      <w:r>
        <w:rPr>
          <w:rFonts w:hint="eastAsia" w:ascii="仿宋_GB2312" w:hAnsi="仿宋_GB2312" w:eastAsia="仿宋_GB2312" w:cs="仿宋_GB2312"/>
          <w:szCs w:val="21"/>
          <w:u w:val="single"/>
        </w:rPr>
        <w:t xml:space="preserve">   (项目名称  )</w:t>
      </w:r>
      <w:r>
        <w:rPr>
          <w:rFonts w:hint="eastAsia" w:ascii="仿宋_GB2312" w:hAnsi="仿宋_GB2312" w:eastAsia="仿宋_GB2312" w:cs="仿宋_GB2312"/>
          <w:szCs w:val="21"/>
        </w:rPr>
        <w:t>项目的</w:t>
      </w:r>
      <w:r>
        <w:rPr>
          <w:rFonts w:hint="eastAsia" w:ascii="仿宋_GB2312" w:hAnsi="仿宋_GB2312" w:eastAsia="仿宋_GB2312" w:cs="仿宋_GB2312"/>
          <w:lang w:val="en-US" w:eastAsia="zh-CN"/>
        </w:rPr>
        <w:t>竞争性磋商</w:t>
      </w:r>
      <w:r>
        <w:rPr>
          <w:rFonts w:hint="eastAsia" w:ascii="仿宋_GB2312" w:hAnsi="仿宋_GB2312" w:eastAsia="仿宋_GB2312" w:cs="仿宋_GB2312"/>
        </w:rPr>
        <w:t>公告</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u w:val="single"/>
        </w:rPr>
        <w:t>(项目编号  )</w:t>
      </w:r>
      <w:r>
        <w:rPr>
          <w:rFonts w:hint="eastAsia" w:ascii="仿宋_GB2312" w:hAnsi="仿宋_GB2312" w:eastAsia="仿宋_GB2312" w:cs="仿宋_GB2312"/>
          <w:szCs w:val="21"/>
        </w:rPr>
        <w:t>,签字代表</w:t>
      </w:r>
      <w:r>
        <w:rPr>
          <w:rFonts w:hint="eastAsia" w:ascii="仿宋_GB2312" w:hAnsi="仿宋_GB2312" w:eastAsia="仿宋_GB2312" w:cs="仿宋_GB2312"/>
          <w:szCs w:val="21"/>
          <w:u w:val="single"/>
        </w:rPr>
        <w:t xml:space="preserve">  (姓名、职务)</w:t>
      </w:r>
      <w:r>
        <w:rPr>
          <w:rFonts w:hint="eastAsia" w:ascii="仿宋_GB2312" w:hAnsi="仿宋_GB2312" w:eastAsia="仿宋_GB2312" w:cs="仿宋_GB2312"/>
          <w:szCs w:val="21"/>
        </w:rPr>
        <w:t>经正式授权并代表供应商</w:t>
      </w:r>
      <w:r>
        <w:rPr>
          <w:rFonts w:hint="eastAsia" w:ascii="仿宋_GB2312" w:hAnsi="仿宋_GB2312" w:eastAsia="仿宋_GB2312" w:cs="仿宋_GB2312"/>
          <w:szCs w:val="21"/>
          <w:u w:val="single"/>
        </w:rPr>
        <w:t>（名称、地址）</w:t>
      </w:r>
      <w:r>
        <w:rPr>
          <w:rFonts w:hint="eastAsia" w:ascii="仿宋_GB2312" w:hAnsi="仿宋_GB2312" w:eastAsia="仿宋_GB2312" w:cs="仿宋_GB2312"/>
          <w:szCs w:val="21"/>
        </w:rPr>
        <w:t>提交下述文件电子文档</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份，并以</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形式出具的金额为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人民币元的磋商保证金。</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据此，签字代表宣布同意如下：</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（1）本项目响应总价详见报价一览表。</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（2）本响应有效期为自递交响应文件截止之日起</w:t>
      </w:r>
      <w:r>
        <w:rPr>
          <w:rFonts w:hint="eastAsia" w:ascii="仿宋_GB2312" w:hAnsi="仿宋_GB2312" w:eastAsia="仿宋_GB2312" w:cs="仿宋_GB2312"/>
          <w:szCs w:val="21"/>
          <w:u w:val="single"/>
        </w:rPr>
        <w:t>90</w:t>
      </w:r>
      <w:r>
        <w:rPr>
          <w:rFonts w:hint="eastAsia" w:ascii="仿宋_GB2312" w:hAnsi="仿宋_GB2312" w:eastAsia="仿宋_GB2312" w:cs="仿宋_GB2312"/>
          <w:szCs w:val="21"/>
        </w:rPr>
        <w:t>日历日。</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（3）已详细审查全部采购文件，包括所有补充通知（如果有的话）。</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（4）在规定的磋商时间后，遵守采购文件中有关保证金的规定。</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（6）在领取成交通知书的同时按采购文件规定的形式，向采购代理机构一次性支付采购代理服务费（适用于成交供应商支付采购代理服务费情形）。</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（7）按照贵方要求，提供与其响应有关的一切数据或资料，完全理解贵方不一定接受最低价的响应。</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（8）按照采购文件的规定履行合同责任和义务。</w:t>
      </w:r>
    </w:p>
    <w:p>
      <w:pPr>
        <w:adjustRightInd w:val="0"/>
        <w:snapToGrid w:val="0"/>
        <w:spacing w:line="360" w:lineRule="auto"/>
        <w:ind w:right="-21" w:rightChars="-10"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（9）我方承诺响应文件中的证明材料真实、合法、有效。</w:t>
      </w:r>
    </w:p>
    <w:p>
      <w:pPr>
        <w:tabs>
          <w:tab w:val="left" w:pos="10467"/>
        </w:tabs>
        <w:adjustRightInd w:val="0"/>
        <w:snapToGrid w:val="0"/>
        <w:spacing w:line="360" w:lineRule="auto"/>
        <w:ind w:right="1050" w:rightChars="500"/>
        <w:rPr>
          <w:rFonts w:hint="eastAsia" w:ascii="仿宋_GB2312" w:hAnsi="仿宋_GB2312" w:eastAsia="仿宋_GB2312" w:cs="仿宋_GB2312"/>
          <w:szCs w:val="21"/>
        </w:rPr>
      </w:pPr>
    </w:p>
    <w:p>
      <w:pPr>
        <w:tabs>
          <w:tab w:val="left" w:pos="10467"/>
        </w:tabs>
        <w:adjustRightInd w:val="0"/>
        <w:snapToGrid w:val="0"/>
        <w:spacing w:line="360" w:lineRule="auto"/>
        <w:ind w:right="1050" w:rightChars="500"/>
        <w:rPr>
          <w:rFonts w:hint="eastAsia" w:ascii="仿宋_GB2312" w:hAnsi="仿宋_GB2312" w:eastAsia="仿宋_GB2312" w:cs="仿宋_GB2312"/>
          <w:szCs w:val="21"/>
        </w:rPr>
      </w:pPr>
    </w:p>
    <w:p>
      <w:pPr>
        <w:tabs>
          <w:tab w:val="left" w:pos="10467"/>
        </w:tabs>
        <w:adjustRightInd w:val="0"/>
        <w:snapToGrid w:val="0"/>
        <w:spacing w:line="360" w:lineRule="auto"/>
        <w:ind w:right="1050" w:rightChars="500"/>
        <w:rPr>
          <w:rFonts w:hint="eastAsia" w:ascii="仿宋_GB2312" w:hAnsi="仿宋_GB2312" w:eastAsia="仿宋_GB2312" w:cs="仿宋_GB2312"/>
          <w:szCs w:val="21"/>
        </w:rPr>
      </w:pPr>
    </w:p>
    <w:p>
      <w:pPr>
        <w:tabs>
          <w:tab w:val="left" w:pos="10467"/>
        </w:tabs>
        <w:adjustRightInd w:val="0"/>
        <w:snapToGrid w:val="0"/>
        <w:spacing w:line="360" w:lineRule="auto"/>
        <w:ind w:right="1050" w:rightChars="500"/>
        <w:rPr>
          <w:rFonts w:hint="eastAsia" w:ascii="仿宋_GB2312" w:hAnsi="仿宋_GB2312" w:eastAsia="仿宋_GB2312" w:cs="仿宋_GB2312"/>
          <w:szCs w:val="21"/>
        </w:rPr>
      </w:pPr>
      <w:r>
        <w:rPr>
          <w:rFonts w:hint="eastAsia" w:ascii="仿宋_GB2312" w:hAnsi="仿宋_GB2312" w:eastAsia="仿宋_GB2312" w:cs="仿宋_GB2312"/>
          <w:szCs w:val="21"/>
        </w:rPr>
        <w:t>与本项目有关的一切往来通讯请寄</w:t>
      </w:r>
    </w:p>
    <w:p>
      <w:pPr>
        <w:tabs>
          <w:tab w:val="left" w:pos="10467"/>
        </w:tabs>
        <w:adjustRightInd w:val="0"/>
        <w:snapToGrid w:val="0"/>
        <w:spacing w:line="360" w:lineRule="auto"/>
        <w:ind w:right="-21" w:rightChars="-10"/>
        <w:rPr>
          <w:rFonts w:hint="eastAsia" w:ascii="仿宋_GB2312" w:hAnsi="仿宋_GB2312" w:eastAsia="仿宋_GB2312" w:cs="仿宋_GB2312"/>
          <w:szCs w:val="21"/>
          <w:u w:val="single"/>
        </w:rPr>
      </w:pPr>
      <w:r>
        <w:rPr>
          <w:rFonts w:hint="eastAsia" w:ascii="仿宋_GB2312" w:hAnsi="仿宋_GB2312" w:eastAsia="仿宋_GB2312" w:cs="仿宋_GB2312"/>
          <w:szCs w:val="21"/>
        </w:rPr>
        <w:t>地    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传    真：</w:t>
      </w:r>
      <w:r>
        <w:rPr>
          <w:rFonts w:hint="eastAsia" w:ascii="仿宋_GB2312" w:hAnsi="仿宋_GB2312" w:eastAsia="仿宋_GB2312" w:cs="仿宋_GB2312"/>
          <w:szCs w:val="21"/>
          <w:u w:val="single"/>
        </w:rPr>
        <w:t xml:space="preserve">                     </w:t>
      </w:r>
    </w:p>
    <w:p>
      <w:pPr>
        <w:tabs>
          <w:tab w:val="left" w:pos="10467"/>
        </w:tabs>
        <w:adjustRightInd w:val="0"/>
        <w:snapToGrid w:val="0"/>
        <w:spacing w:line="360" w:lineRule="auto"/>
        <w:ind w:right="-21" w:rightChars="-10"/>
        <w:rPr>
          <w:rFonts w:hint="eastAsia" w:ascii="仿宋_GB2312" w:hAnsi="仿宋_GB2312" w:eastAsia="仿宋_GB2312" w:cs="仿宋_GB2312"/>
          <w:szCs w:val="21"/>
        </w:rPr>
      </w:pPr>
      <w:r>
        <w:rPr>
          <w:rFonts w:hint="eastAsia" w:ascii="仿宋_GB2312" w:hAnsi="仿宋_GB2312" w:eastAsia="仿宋_GB2312" w:cs="仿宋_GB2312"/>
          <w:szCs w:val="21"/>
        </w:rPr>
        <w:t>电    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电子邮件：</w:t>
      </w:r>
      <w:r>
        <w:rPr>
          <w:rFonts w:hint="eastAsia" w:ascii="仿宋_GB2312" w:hAnsi="仿宋_GB2312" w:eastAsia="仿宋_GB2312" w:cs="仿宋_GB2312"/>
          <w:szCs w:val="21"/>
          <w:u w:val="single"/>
        </w:rPr>
        <w:t xml:space="preserve">                     </w:t>
      </w:r>
    </w:p>
    <w:p>
      <w:pPr>
        <w:tabs>
          <w:tab w:val="left" w:pos="10467"/>
        </w:tabs>
        <w:adjustRightInd w:val="0"/>
        <w:snapToGrid w:val="0"/>
        <w:spacing w:line="360" w:lineRule="auto"/>
        <w:ind w:right="260" w:rightChars="124"/>
        <w:rPr>
          <w:rFonts w:hint="eastAsia" w:ascii="仿宋_GB2312" w:hAnsi="仿宋_GB2312" w:eastAsia="仿宋_GB2312" w:cs="仿宋_GB2312"/>
          <w:szCs w:val="21"/>
        </w:rPr>
      </w:pPr>
      <w:r>
        <w:rPr>
          <w:rFonts w:hint="eastAsia" w:ascii="仿宋_GB2312" w:hAnsi="仿宋_GB2312" w:eastAsia="仿宋_GB2312" w:cs="仿宋_GB2312"/>
          <w:szCs w:val="21"/>
        </w:rPr>
        <w:t>法定代表人（非法人组织负责人）或其授权委托人</w:t>
      </w:r>
      <w:r>
        <w:rPr>
          <w:rFonts w:hint="eastAsia" w:ascii="仿宋_GB2312" w:hAnsi="仿宋_GB2312" w:eastAsia="仿宋_GB2312" w:cs="仿宋_GB2312"/>
        </w:rPr>
        <w:t>(签字或盖章)</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tabs>
          <w:tab w:val="left" w:pos="10467"/>
        </w:tabs>
        <w:adjustRightInd w:val="0"/>
        <w:snapToGrid w:val="0"/>
        <w:spacing w:line="360" w:lineRule="auto"/>
        <w:ind w:right="260" w:rightChars="124"/>
        <w:rPr>
          <w:rFonts w:hint="eastAsia" w:ascii="仿宋_GB2312" w:hAnsi="仿宋_GB2312" w:eastAsia="仿宋_GB2312" w:cs="仿宋_GB2312"/>
          <w:szCs w:val="21"/>
        </w:rPr>
      </w:pPr>
      <w:r>
        <w:rPr>
          <w:rFonts w:hint="eastAsia" w:ascii="仿宋_GB2312" w:hAnsi="仿宋_GB2312" w:eastAsia="仿宋_GB2312" w:cs="仿宋_GB2312"/>
          <w:szCs w:val="21"/>
        </w:rPr>
        <w:t>供应商名称（加盖单位公章）：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tabs>
          <w:tab w:val="left" w:pos="10467"/>
        </w:tabs>
        <w:adjustRightInd w:val="0"/>
        <w:snapToGrid w:val="0"/>
        <w:spacing w:line="360" w:lineRule="auto"/>
        <w:ind w:right="260" w:rightChars="124"/>
        <w:rPr>
          <w:rFonts w:hint="eastAsia" w:ascii="仿宋_GB2312" w:hAnsi="仿宋_GB2312" w:eastAsia="仿宋_GB2312" w:cs="仿宋_GB2312"/>
          <w:szCs w:val="21"/>
        </w:rPr>
      </w:pPr>
      <w:r>
        <w:rPr>
          <w:rFonts w:hint="eastAsia" w:ascii="仿宋_GB2312" w:hAnsi="仿宋_GB2312" w:eastAsia="仿宋_GB2312" w:cs="仿宋_GB2312"/>
          <w:szCs w:val="21"/>
        </w:rPr>
        <w:t>供应商开户银行（全称）：</w:t>
      </w:r>
      <w:r>
        <w:rPr>
          <w:rFonts w:hint="eastAsia" w:ascii="仿宋_GB2312" w:hAnsi="仿宋_GB2312" w:eastAsia="仿宋_GB2312" w:cs="仿宋_GB2312"/>
          <w:szCs w:val="21"/>
          <w:u w:val="single"/>
        </w:rPr>
        <w:t xml:space="preserve">         </w:t>
      </w:r>
    </w:p>
    <w:p>
      <w:pPr>
        <w:tabs>
          <w:tab w:val="left" w:pos="10467"/>
        </w:tabs>
        <w:adjustRightInd w:val="0"/>
        <w:snapToGrid w:val="0"/>
        <w:spacing w:line="360" w:lineRule="auto"/>
        <w:ind w:right="260" w:rightChars="124"/>
        <w:rPr>
          <w:rFonts w:hint="eastAsia" w:ascii="仿宋_GB2312" w:hAnsi="仿宋_GB2312" w:eastAsia="仿宋_GB2312" w:cs="仿宋_GB2312"/>
          <w:szCs w:val="21"/>
        </w:rPr>
      </w:pPr>
      <w:r>
        <w:rPr>
          <w:rFonts w:hint="eastAsia" w:ascii="仿宋_GB2312" w:hAnsi="仿宋_GB2312" w:eastAsia="仿宋_GB2312" w:cs="仿宋_GB2312"/>
          <w:szCs w:val="21"/>
        </w:rPr>
        <w:t>供应商银行帐号：</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rPr>
          <w:rFonts w:hint="eastAsia"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pStyle w:val="3"/>
        <w:keepNext/>
        <w:keepLines/>
        <w:pageBreakBefore w:val="0"/>
        <w:widowControl w:val="0"/>
        <w:kinsoku/>
        <w:wordWrap/>
        <w:overflowPunct/>
        <w:topLinePunct w:val="0"/>
        <w:autoSpaceDE/>
        <w:autoSpaceDN/>
        <w:bidi w:val="0"/>
        <w:adjustRightInd w:val="0"/>
        <w:snapToGrid w:val="0"/>
        <w:spacing w:before="20" w:after="20" w:line="240" w:lineRule="auto"/>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Cs w:val="21"/>
        </w:rPr>
        <w:br w:type="page"/>
      </w:r>
      <w:bookmarkStart w:id="57" w:name="_Toc533340158"/>
      <w:bookmarkStart w:id="58" w:name="_Toc4485634"/>
      <w:r>
        <w:rPr>
          <w:rFonts w:hint="eastAsia" w:ascii="仿宋_GB2312" w:hAnsi="仿宋_GB2312" w:eastAsia="仿宋_GB2312" w:cs="仿宋_GB2312"/>
          <w:sz w:val="28"/>
          <w:szCs w:val="28"/>
        </w:rPr>
        <w:t>格式1</w:t>
      </w:r>
      <w:bookmarkEnd w:id="57"/>
      <w:r>
        <w:rPr>
          <w:rFonts w:hint="eastAsia" w:ascii="仿宋_GB2312" w:hAnsi="仿宋_GB2312" w:eastAsia="仿宋_GB2312" w:cs="仿宋_GB2312"/>
          <w:sz w:val="28"/>
          <w:szCs w:val="28"/>
        </w:rPr>
        <w:t>1</w:t>
      </w:r>
      <w:bookmarkEnd w:id="58"/>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报价一览表</w:t>
      </w:r>
    </w:p>
    <w:p>
      <w:pPr>
        <w:adjustRightInd w:val="0"/>
        <w:snapToGrid w:val="0"/>
        <w:spacing w:line="360" w:lineRule="auto"/>
        <w:ind w:right="105" w:rightChars="50"/>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6"/>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718"/>
        <w:gridCol w:w="3103"/>
        <w:gridCol w:w="144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85" w:type="dxa"/>
            <w:noWrap w:val="0"/>
            <w:vAlign w:val="center"/>
          </w:tcPr>
          <w:p>
            <w:pPr>
              <w:adjustRightInd w:val="0"/>
              <w:snapToGrid w:val="0"/>
              <w:ind w:left="-82" w:leftChars="-39" w:right="-46" w:rightChars="-22"/>
              <w:jc w:val="center"/>
              <w:rPr>
                <w:rFonts w:hint="eastAsia" w:ascii="仿宋_GB2312" w:hAnsi="仿宋_GB2312" w:eastAsia="仿宋_GB2312" w:cs="仿宋_GB2312"/>
                <w:szCs w:val="21"/>
              </w:rPr>
            </w:pPr>
            <w:r>
              <w:rPr>
                <w:rFonts w:hint="eastAsia" w:ascii="仿宋_GB2312" w:hAnsi="仿宋_GB2312" w:eastAsia="仿宋_GB2312" w:cs="仿宋_GB2312"/>
                <w:szCs w:val="21"/>
              </w:rPr>
              <w:t>服务名称</w:t>
            </w:r>
          </w:p>
        </w:tc>
        <w:tc>
          <w:tcPr>
            <w:tcW w:w="1718" w:type="dxa"/>
            <w:noWrap w:val="0"/>
            <w:vAlign w:val="center"/>
          </w:tcPr>
          <w:p>
            <w:pPr>
              <w:adjustRightInd w:val="0"/>
              <w:snapToGrid w:val="0"/>
              <w:ind w:left="-82" w:leftChars="-39" w:right="-46" w:rightChars="-22"/>
              <w:jc w:val="center"/>
              <w:rPr>
                <w:rFonts w:hint="eastAsia" w:ascii="仿宋_GB2312" w:hAnsi="仿宋_GB2312" w:eastAsia="仿宋_GB2312" w:cs="仿宋_GB2312"/>
                <w:szCs w:val="21"/>
              </w:rPr>
            </w:pPr>
            <w:r>
              <w:rPr>
                <w:rFonts w:hint="eastAsia" w:ascii="仿宋_GB2312" w:hAnsi="仿宋_GB2312" w:eastAsia="仿宋_GB2312" w:cs="仿宋_GB2312"/>
                <w:szCs w:val="21"/>
              </w:rPr>
              <w:t>响应总价</w:t>
            </w:r>
          </w:p>
        </w:tc>
        <w:tc>
          <w:tcPr>
            <w:tcW w:w="3103" w:type="dxa"/>
            <w:noWrap w:val="0"/>
            <w:vAlign w:val="center"/>
          </w:tcPr>
          <w:p>
            <w:pPr>
              <w:adjustRightInd w:val="0"/>
              <w:snapToGrid w:val="0"/>
              <w:ind w:left="-82" w:leftChars="-39" w:right="-46" w:rightChars="-22"/>
              <w:jc w:val="center"/>
              <w:rPr>
                <w:rFonts w:hint="eastAsia" w:ascii="仿宋_GB2312" w:hAnsi="仿宋_GB2312" w:eastAsia="仿宋_GB2312" w:cs="仿宋_GB2312"/>
                <w:szCs w:val="21"/>
              </w:rPr>
            </w:pPr>
            <w:r>
              <w:rPr>
                <w:rFonts w:hint="eastAsia" w:ascii="仿宋_GB2312" w:hAnsi="仿宋_GB2312" w:eastAsia="仿宋_GB2312" w:cs="仿宋_GB2312"/>
                <w:szCs w:val="21"/>
              </w:rPr>
              <w:t>履约期限</w:t>
            </w:r>
          </w:p>
        </w:tc>
        <w:tc>
          <w:tcPr>
            <w:tcW w:w="1449" w:type="dxa"/>
            <w:noWrap w:val="0"/>
            <w:vAlign w:val="center"/>
          </w:tcPr>
          <w:p>
            <w:pPr>
              <w:adjustRightInd w:val="0"/>
              <w:snapToGrid w:val="0"/>
              <w:ind w:left="-82" w:leftChars="-39" w:right="-46" w:rightChars="-22"/>
              <w:jc w:val="center"/>
              <w:rPr>
                <w:rFonts w:hint="eastAsia" w:ascii="仿宋_GB2312" w:hAnsi="仿宋_GB2312" w:eastAsia="仿宋_GB2312" w:cs="仿宋_GB2312"/>
                <w:szCs w:val="21"/>
              </w:rPr>
            </w:pPr>
            <w:r>
              <w:rPr>
                <w:rFonts w:hint="eastAsia" w:ascii="仿宋_GB2312" w:hAnsi="仿宋_GB2312" w:eastAsia="仿宋_GB2312" w:cs="仿宋_GB2312"/>
                <w:szCs w:val="21"/>
              </w:rPr>
              <w:t>履约地点</w:t>
            </w:r>
          </w:p>
        </w:tc>
        <w:tc>
          <w:tcPr>
            <w:tcW w:w="1100" w:type="dxa"/>
            <w:noWrap w:val="0"/>
            <w:vAlign w:val="center"/>
          </w:tcPr>
          <w:p>
            <w:pPr>
              <w:adjustRightInd w:val="0"/>
              <w:snapToGrid w:val="0"/>
              <w:ind w:left="-82" w:leftChars="-39" w:right="-46" w:rightChars="-22"/>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485" w:type="dxa"/>
            <w:noWrap w:val="0"/>
            <w:vAlign w:val="center"/>
          </w:tcPr>
          <w:p>
            <w:pPr>
              <w:adjustRightInd w:val="0"/>
              <w:snapToGrid w:val="0"/>
              <w:ind w:left="-82" w:leftChars="-39" w:right="-46" w:rightChars="-22"/>
              <w:jc w:val="center"/>
              <w:rPr>
                <w:rFonts w:hint="eastAsia" w:ascii="仿宋_GB2312" w:hAnsi="仿宋_GB2312" w:eastAsia="仿宋_GB2312" w:cs="仿宋_GB2312"/>
                <w:szCs w:val="21"/>
              </w:rPr>
            </w:pPr>
          </w:p>
        </w:tc>
        <w:tc>
          <w:tcPr>
            <w:tcW w:w="1718" w:type="dxa"/>
            <w:noWrap w:val="0"/>
            <w:vAlign w:val="center"/>
          </w:tcPr>
          <w:p>
            <w:pPr>
              <w:adjustRightInd w:val="0"/>
              <w:snapToGrid w:val="0"/>
              <w:ind w:left="-82" w:leftChars="-39" w:right="-46" w:rightChars="-22"/>
              <w:jc w:val="both"/>
              <w:rPr>
                <w:rFonts w:hint="eastAsia" w:ascii="仿宋_GB2312" w:hAnsi="仿宋_GB2312" w:eastAsia="仿宋_GB2312" w:cs="仿宋_GB2312"/>
                <w:szCs w:val="21"/>
              </w:rPr>
            </w:pPr>
            <w:r>
              <w:rPr>
                <w:rFonts w:hint="eastAsia" w:ascii="仿宋_GB2312" w:hAnsi="仿宋_GB2312" w:eastAsia="仿宋_GB2312" w:cs="仿宋_GB2312"/>
                <w:szCs w:val="21"/>
              </w:rPr>
              <w:t>小写：</w:t>
            </w:r>
          </w:p>
          <w:p>
            <w:pPr>
              <w:adjustRightInd w:val="0"/>
              <w:snapToGrid w:val="0"/>
              <w:ind w:left="-82" w:leftChars="-39" w:right="-46" w:rightChars="-22"/>
              <w:jc w:val="both"/>
              <w:rPr>
                <w:rFonts w:hint="eastAsia" w:ascii="仿宋_GB2312" w:hAnsi="仿宋_GB2312" w:eastAsia="仿宋_GB2312" w:cs="仿宋_GB2312"/>
                <w:szCs w:val="21"/>
              </w:rPr>
            </w:pPr>
            <w:r>
              <w:rPr>
                <w:rFonts w:hint="eastAsia" w:ascii="仿宋_GB2312" w:hAnsi="仿宋_GB2312" w:eastAsia="仿宋_GB2312" w:cs="仿宋_GB2312"/>
                <w:szCs w:val="21"/>
              </w:rPr>
              <w:t>大写：</w:t>
            </w:r>
          </w:p>
        </w:tc>
        <w:tc>
          <w:tcPr>
            <w:tcW w:w="3103" w:type="dxa"/>
            <w:noWrap w:val="0"/>
            <w:vAlign w:val="center"/>
          </w:tcPr>
          <w:p>
            <w:pPr>
              <w:adjustRightInd w:val="0"/>
              <w:snapToGrid w:val="0"/>
              <w:ind w:left="-82" w:leftChars="-39" w:right="-46" w:rightChars="-22"/>
              <w:jc w:val="center"/>
              <w:rPr>
                <w:rFonts w:hint="eastAsia" w:ascii="仿宋_GB2312" w:hAnsi="仿宋_GB2312" w:eastAsia="仿宋_GB2312" w:cs="仿宋_GB2312"/>
                <w:szCs w:val="21"/>
              </w:rPr>
            </w:pPr>
          </w:p>
        </w:tc>
        <w:tc>
          <w:tcPr>
            <w:tcW w:w="1449" w:type="dxa"/>
            <w:noWrap w:val="0"/>
            <w:vAlign w:val="center"/>
          </w:tcPr>
          <w:p>
            <w:pPr>
              <w:adjustRightInd w:val="0"/>
              <w:snapToGrid w:val="0"/>
              <w:ind w:left="-82" w:leftChars="-39" w:right="-46" w:rightChars="-22"/>
              <w:jc w:val="center"/>
              <w:rPr>
                <w:rFonts w:hint="eastAsia" w:ascii="仿宋_GB2312" w:hAnsi="仿宋_GB2312" w:eastAsia="仿宋_GB2312" w:cs="仿宋_GB2312"/>
                <w:szCs w:val="21"/>
              </w:rPr>
            </w:pPr>
          </w:p>
        </w:tc>
        <w:tc>
          <w:tcPr>
            <w:tcW w:w="1100" w:type="dxa"/>
            <w:noWrap w:val="0"/>
            <w:vAlign w:val="center"/>
          </w:tcPr>
          <w:p>
            <w:pPr>
              <w:adjustRightInd w:val="0"/>
              <w:snapToGrid w:val="0"/>
              <w:ind w:left="-82" w:leftChars="-39" w:right="-46" w:rightChars="-22"/>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203" w:type="dxa"/>
            <w:gridSpan w:val="2"/>
            <w:noWrap w:val="0"/>
            <w:vAlign w:val="center"/>
          </w:tcPr>
          <w:p>
            <w:pPr>
              <w:adjustRightInd w:val="0"/>
              <w:snapToGrid w:val="0"/>
              <w:ind w:right="-107" w:rightChars="-51"/>
              <w:jc w:val="center"/>
              <w:rPr>
                <w:rFonts w:hint="eastAsia" w:ascii="仿宋_GB2312" w:hAnsi="仿宋_GB2312" w:eastAsia="仿宋_GB2312" w:cs="仿宋_GB2312"/>
                <w:szCs w:val="21"/>
              </w:rPr>
            </w:pPr>
            <w:r>
              <w:rPr>
                <w:rFonts w:hint="eastAsia" w:ascii="仿宋_GB2312" w:hAnsi="仿宋_GB2312" w:eastAsia="仿宋_GB2312" w:cs="仿宋_GB2312"/>
                <w:szCs w:val="21"/>
              </w:rPr>
              <w:t>最后报价</w:t>
            </w:r>
          </w:p>
        </w:tc>
        <w:tc>
          <w:tcPr>
            <w:tcW w:w="5652" w:type="dxa"/>
            <w:gridSpan w:val="3"/>
            <w:noWrap w:val="0"/>
            <w:vAlign w:val="center"/>
          </w:tcPr>
          <w:p>
            <w:pPr>
              <w:adjustRightInd w:val="0"/>
              <w:snapToGrid w:val="0"/>
              <w:ind w:right="-107" w:rightChars="-51"/>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在线</w:t>
            </w:r>
            <w:r>
              <w:rPr>
                <w:rFonts w:hint="eastAsia" w:ascii="仿宋_GB2312" w:hAnsi="仿宋_GB2312" w:eastAsia="仿宋_GB2312" w:cs="仿宋_GB2312"/>
                <w:szCs w:val="21"/>
              </w:rPr>
              <w:t>填报</w:t>
            </w:r>
          </w:p>
        </w:tc>
      </w:tr>
    </w:tbl>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r>
        <w:rPr>
          <w:rFonts w:hint="eastAsia" w:ascii="仿宋_GB2312" w:hAnsi="仿宋_GB2312" w:eastAsia="仿宋_GB2312" w:cs="仿宋_GB2312"/>
          <w:szCs w:val="21"/>
        </w:rPr>
        <w:t>注：1、此表中，响应总价应和服务价格明细表的总价相一致。</w:t>
      </w:r>
    </w:p>
    <w:p>
      <w:pPr>
        <w:adjustRightInd w:val="0"/>
        <w:snapToGrid w:val="0"/>
        <w:spacing w:line="360" w:lineRule="auto"/>
        <w:ind w:right="105" w:rightChars="50"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2、供应商应按磋商小组要求，在规定时间内提交最后报价。</w:t>
      </w: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480" w:lineRule="auto"/>
        <w:ind w:right="105" w:rightChars="50"/>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供应商(加盖单位公章):</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法定代表人（或非法人组织负责人）或其</w:t>
      </w:r>
      <w:r>
        <w:rPr>
          <w:rFonts w:hint="eastAsia" w:ascii="仿宋_GB2312" w:hAnsi="仿宋_GB2312" w:eastAsia="仿宋_GB2312" w:cs="仿宋_GB2312"/>
        </w:rPr>
        <w:t>授权委托人(签字或盖章)</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hint="eastAsia" w:ascii="仿宋_GB2312" w:hAnsi="仿宋_GB2312" w:eastAsia="仿宋_GB2312" w:cs="仿宋_GB2312"/>
          <w:szCs w:val="21"/>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w:t>
      </w:r>
    </w:p>
    <w:p>
      <w:pPr>
        <w:keepNext/>
        <w:keepLines/>
        <w:pageBreakBefore w:val="0"/>
        <w:widowControl w:val="0"/>
        <w:kinsoku/>
        <w:wordWrap/>
        <w:overflowPunct/>
        <w:topLinePunct w:val="0"/>
        <w:autoSpaceDE/>
        <w:autoSpaceDN/>
        <w:bidi w:val="0"/>
        <w:adjustRightInd/>
        <w:snapToGrid/>
        <w:jc w:val="left"/>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szCs w:val="21"/>
        </w:rPr>
        <w:br w:type="page"/>
      </w:r>
      <w:bookmarkStart w:id="59" w:name="_Toc533340159"/>
      <w:bookmarkStart w:id="60" w:name="_Toc4485635"/>
      <w:r>
        <w:rPr>
          <w:rFonts w:hint="eastAsia" w:ascii="仿宋_GB2312" w:hAnsi="仿宋_GB2312" w:eastAsia="仿宋_GB2312" w:cs="仿宋_GB2312"/>
          <w:b/>
          <w:bCs/>
          <w:sz w:val="28"/>
          <w:szCs w:val="28"/>
        </w:rPr>
        <w:t>格式1</w:t>
      </w:r>
      <w:bookmarkEnd w:id="59"/>
      <w:r>
        <w:rPr>
          <w:rFonts w:hint="eastAsia" w:ascii="仿宋_GB2312" w:hAnsi="仿宋_GB2312" w:eastAsia="仿宋_GB2312" w:cs="仿宋_GB2312"/>
          <w:b/>
          <w:bCs/>
          <w:sz w:val="28"/>
          <w:szCs w:val="28"/>
        </w:rPr>
        <w:t>2</w:t>
      </w:r>
      <w:bookmarkEnd w:id="60"/>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服务价格明细表</w:t>
      </w:r>
    </w:p>
    <w:p>
      <w:pPr>
        <w:adjustRightInd w:val="0"/>
        <w:snapToGrid w:val="0"/>
        <w:spacing w:line="360" w:lineRule="auto"/>
        <w:ind w:right="105" w:rightChars="50"/>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6"/>
        <w:tblW w:w="8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078"/>
        <w:gridCol w:w="1228"/>
        <w:gridCol w:w="123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left="-65" w:leftChars="-31"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078" w:type="dxa"/>
            <w:noWrap w:val="0"/>
            <w:vAlign w:val="center"/>
          </w:tcPr>
          <w:p>
            <w:pPr>
              <w:adjustRightInd w:val="0"/>
              <w:snapToGrid w:val="0"/>
              <w:ind w:left="-65" w:leftChars="-31"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服务名称</w:t>
            </w:r>
          </w:p>
        </w:tc>
        <w:tc>
          <w:tcPr>
            <w:tcW w:w="1228" w:type="dxa"/>
            <w:noWrap w:val="0"/>
            <w:vAlign w:val="center"/>
          </w:tcPr>
          <w:p>
            <w:pPr>
              <w:adjustRightInd w:val="0"/>
              <w:snapToGrid w:val="0"/>
              <w:ind w:left="-65" w:leftChars="-31"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单价</w:t>
            </w:r>
          </w:p>
        </w:tc>
        <w:tc>
          <w:tcPr>
            <w:tcW w:w="1238" w:type="dxa"/>
            <w:noWrap w:val="0"/>
            <w:vAlign w:val="center"/>
          </w:tcPr>
          <w:p>
            <w:pPr>
              <w:adjustRightInd w:val="0"/>
              <w:snapToGrid w:val="0"/>
              <w:ind w:left="-65" w:leftChars="-31"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1457" w:type="dxa"/>
            <w:noWrap w:val="0"/>
            <w:vAlign w:val="center"/>
          </w:tcPr>
          <w:p>
            <w:pPr>
              <w:adjustRightInd w:val="0"/>
              <w:snapToGrid w:val="0"/>
              <w:ind w:left="-65" w:leftChars="-31"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3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3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3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3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3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3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307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2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3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089" w:type="dxa"/>
            <w:gridSpan w:val="2"/>
            <w:noWrap w:val="0"/>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122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238" w:type="dxa"/>
            <w:noWrap w:val="0"/>
            <w:vAlign w:val="center"/>
          </w:tcPr>
          <w:p>
            <w:pPr>
              <w:adjustRightInd w:val="0"/>
              <w:snapToGrid w:val="0"/>
              <w:ind w:right="105" w:rightChars="50"/>
              <w:jc w:val="center"/>
              <w:rPr>
                <w:rFonts w:ascii="仿宋_GB2312" w:hAnsi="仿宋_GB2312" w:eastAsia="仿宋_GB2312" w:cs="仿宋_GB2312"/>
                <w:szCs w:val="21"/>
              </w:rPr>
            </w:pPr>
          </w:p>
        </w:tc>
        <w:tc>
          <w:tcPr>
            <w:tcW w:w="1457" w:type="dxa"/>
            <w:noWrap w:val="0"/>
            <w:vAlign w:val="center"/>
          </w:tcPr>
          <w:p>
            <w:pPr>
              <w:adjustRightInd w:val="0"/>
              <w:snapToGrid w:val="0"/>
              <w:ind w:right="105" w:rightChars="50"/>
              <w:jc w:val="center"/>
              <w:rPr>
                <w:rFonts w:ascii="仿宋_GB2312" w:hAnsi="仿宋_GB2312" w:eastAsia="仿宋_GB2312" w:cs="仿宋_GB2312"/>
                <w:szCs w:val="21"/>
              </w:rPr>
            </w:pPr>
          </w:p>
        </w:tc>
      </w:tr>
    </w:tbl>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注：1.此表中，总价应和报价一览表的响应总价相一致。</w:t>
      </w:r>
    </w:p>
    <w:p>
      <w:pPr>
        <w:adjustRightInd w:val="0"/>
        <w:snapToGrid w:val="0"/>
        <w:spacing w:line="360" w:lineRule="auto"/>
        <w:ind w:right="105" w:rightChars="50" w:firstLine="840" w:firstLineChars="400"/>
        <w:jc w:val="left"/>
        <w:rPr>
          <w:rFonts w:hint="eastAsia" w:ascii="仿宋_GB2312" w:hAnsi="仿宋_GB2312" w:eastAsia="仿宋_GB2312" w:cs="仿宋_GB2312"/>
          <w:szCs w:val="21"/>
        </w:rPr>
      </w:pPr>
      <w:r>
        <w:rPr>
          <w:rFonts w:hint="eastAsia" w:ascii="仿宋_GB2312" w:hAnsi="仿宋_GB2312" w:eastAsia="仿宋_GB2312" w:cs="仿宋_GB2312"/>
          <w:szCs w:val="21"/>
        </w:rPr>
        <w:t>2.本表可根据实际情况进行拓展。</w:t>
      </w:r>
    </w:p>
    <w:p>
      <w:pPr>
        <w:adjustRightInd w:val="0"/>
        <w:snapToGrid w:val="0"/>
        <w:spacing w:line="360" w:lineRule="auto"/>
        <w:ind w:right="105" w:rightChars="50"/>
        <w:jc w:val="left"/>
        <w:rPr>
          <w:rFonts w:hint="eastAsia" w:ascii="仿宋_GB2312" w:hAnsi="仿宋_GB2312" w:eastAsia="仿宋_GB2312" w:cs="仿宋_GB2312"/>
          <w:b/>
          <w:sz w:val="28"/>
          <w:szCs w:val="28"/>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480" w:lineRule="auto"/>
        <w:ind w:right="105" w:rightChars="50"/>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供应商</w:t>
      </w:r>
      <w:r>
        <w:rPr>
          <w:rFonts w:hint="eastAsia" w:ascii="仿宋_GB2312" w:hAnsi="仿宋_GB2312" w:eastAsia="仿宋_GB2312" w:cs="仿宋_GB2312"/>
        </w:rPr>
        <w:t>名称</w:t>
      </w:r>
      <w:r>
        <w:rPr>
          <w:rFonts w:hint="eastAsia" w:ascii="仿宋_GB2312" w:hAnsi="仿宋_GB2312" w:eastAsia="仿宋_GB2312" w:cs="仿宋_GB2312"/>
          <w:szCs w:val="21"/>
        </w:rPr>
        <w:t>(加盖单位公章):</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法定代表人（或非法人组织负责人）或其授权委托人</w:t>
      </w:r>
      <w:r>
        <w:rPr>
          <w:rFonts w:hint="eastAsia" w:ascii="仿宋_GB2312" w:hAnsi="仿宋_GB2312" w:eastAsia="仿宋_GB2312" w:cs="仿宋_GB2312"/>
        </w:rPr>
        <w:t>(签字或盖章)</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p>
    <w:p>
      <w:pPr>
        <w:adjustRightInd w:val="0"/>
        <w:snapToGrid w:val="0"/>
        <w:spacing w:line="480" w:lineRule="auto"/>
        <w:ind w:right="1050" w:rightChars="500"/>
        <w:rPr>
          <w:rFonts w:hint="eastAsia"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keepNext/>
        <w:keepLines/>
        <w:pageBreakBefore w:val="0"/>
        <w:widowControl w:val="0"/>
        <w:kinsoku/>
        <w:wordWrap/>
        <w:overflowPunct/>
        <w:topLinePunct w:val="0"/>
        <w:autoSpaceDE/>
        <w:autoSpaceDN/>
        <w:bidi w:val="0"/>
        <w:adjustRightInd w:val="0"/>
        <w:snapToGrid w:val="0"/>
        <w:spacing w:line="480" w:lineRule="auto"/>
        <w:ind w:right="1050" w:rightChars="500"/>
        <w:textAlignment w:val="auto"/>
        <w:rPr>
          <w:rFonts w:hint="eastAsia" w:ascii="仿宋_GB2312" w:hAnsi="仿宋_GB2312" w:eastAsia="仿宋_GB2312" w:cs="仿宋_GB2312"/>
          <w:szCs w:val="21"/>
          <w:u w:val="single"/>
        </w:rPr>
      </w:pPr>
    </w:p>
    <w:p>
      <w:pPr>
        <w:adjustRightInd w:val="0"/>
        <w:snapToGrid w:val="0"/>
        <w:spacing w:line="480" w:lineRule="auto"/>
        <w:ind w:right="1050" w:rightChars="500"/>
        <w:rPr>
          <w:rFonts w:hint="eastAsia" w:ascii="仿宋_GB2312" w:hAnsi="仿宋_GB2312" w:eastAsia="仿宋_GB2312" w:cs="仿宋_GB2312"/>
          <w:szCs w:val="21"/>
          <w:u w:val="single"/>
        </w:rPr>
        <w:sectPr>
          <w:footerReference r:id="rId3" w:type="default"/>
          <w:pgSz w:w="11906" w:h="16838"/>
          <w:pgMar w:top="1440" w:right="1803" w:bottom="1440" w:left="1803" w:header="851" w:footer="992" w:gutter="0"/>
          <w:cols w:space="720" w:num="1"/>
          <w:docGrid w:type="lines" w:linePitch="319" w:charSpace="0"/>
        </w:sect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格式13</w:t>
      </w:r>
    </w:p>
    <w:p>
      <w:pPr>
        <w:adjustRightInd w:val="0"/>
        <w:snapToGrid w:val="0"/>
        <w:spacing w:before="319" w:beforeLines="100" w:line="360" w:lineRule="auto"/>
        <w:ind w:right="105" w:rightChars="50"/>
        <w:jc w:val="center"/>
        <w:rPr>
          <w:rFonts w:ascii="仿宋_GB2312" w:hAnsi="仿宋_GB2312" w:eastAsia="仿宋_GB2312" w:cs="仿宋_GB2312"/>
          <w:b/>
          <w:bCs/>
          <w:sz w:val="32"/>
          <w:szCs w:val="32"/>
        </w:rPr>
      </w:pPr>
      <w:bookmarkStart w:id="61" w:name="_Toc9235_WPSOffice_Level2"/>
      <w:bookmarkStart w:id="62" w:name="_Toc31555_WPSOffice_Level2"/>
      <w:r>
        <w:rPr>
          <w:rFonts w:hint="eastAsia" w:ascii="仿宋_GB2312" w:hAnsi="仿宋_GB2312" w:eastAsia="仿宋_GB2312" w:cs="仿宋_GB2312"/>
          <w:b/>
          <w:bCs/>
          <w:sz w:val="32"/>
          <w:szCs w:val="32"/>
        </w:rPr>
        <w:t>服务需求响应表</w:t>
      </w:r>
      <w:bookmarkEnd w:id="61"/>
      <w:bookmarkEnd w:id="62"/>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2"/>
        <w:gridCol w:w="1062"/>
        <w:gridCol w:w="440"/>
        <w:gridCol w:w="440"/>
        <w:gridCol w:w="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b/>
                <w:szCs w:val="21"/>
              </w:rPr>
            </w:pPr>
            <w:r>
              <w:rPr>
                <w:rFonts w:hint="eastAsia" w:ascii="仿宋_GB2312" w:hAnsi="仿宋_GB2312" w:eastAsia="仿宋_GB2312" w:cs="仿宋_GB2312"/>
                <w:szCs w:val="21"/>
                <w:lang w:eastAsia="zh-CN"/>
              </w:rPr>
              <w:t>采购</w:t>
            </w:r>
            <w:r>
              <w:rPr>
                <w:rFonts w:hint="eastAsia" w:ascii="仿宋_GB2312" w:hAnsi="仿宋_GB2312" w:eastAsia="仿宋_GB2312" w:cs="仿宋_GB2312"/>
                <w:szCs w:val="21"/>
              </w:rPr>
              <w:t>文件要求</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响应</w:t>
            </w:r>
            <w:r>
              <w:rPr>
                <w:rFonts w:hint="eastAsia" w:ascii="仿宋_GB2312" w:hAnsi="仿宋_GB2312" w:eastAsia="仿宋_GB2312" w:cs="仿宋_GB2312"/>
                <w:szCs w:val="21"/>
              </w:rPr>
              <w:t>文件</w:t>
            </w:r>
          </w:p>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响应内容</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75"/>
              </w:tabs>
              <w:spacing w:line="240" w:lineRule="exact"/>
              <w:ind w:right="-57"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偏离程度</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75"/>
              </w:tabs>
              <w:spacing w:line="240" w:lineRule="exact"/>
              <w:ind w:right="-57"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偏离说明</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75"/>
              </w:tabs>
              <w:spacing w:line="240" w:lineRule="exact"/>
              <w:ind w:right="-57"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
          <w:p>
            <w:pPr>
              <w:pStyle w:val="2"/>
              <w:adjustRightInd w:val="0"/>
              <w:snapToGrid w:val="0"/>
              <w:spacing w:before="0" w:after="0" w:line="360" w:lineRule="auto"/>
              <w:jc w:val="center"/>
              <w:rPr>
                <w:rFonts w:ascii="宋体" w:hAnsi="宋体" w:eastAsia="宋体" w:cs="仿宋_GB2312"/>
              </w:rPr>
            </w:pPr>
            <w:r>
              <w:rPr>
                <w:rFonts w:hint="eastAsia" w:ascii="宋体" w:hAnsi="宋体" w:eastAsia="宋体" w:cs="仿宋_GB2312"/>
              </w:rPr>
              <w:t>服务需求</w:t>
            </w:r>
          </w:p>
          <w:p>
            <w:pPr>
              <w:pStyle w:val="7"/>
              <w:ind w:firstLine="633" w:firstLineChars="198"/>
              <w:contextualSpacing/>
              <w:rPr>
                <w:rFonts w:ascii="仿宋" w:hAnsi="仿宋" w:eastAsia="仿宋" w:cs="仿宋_GB2312"/>
                <w:bCs/>
                <w:sz w:val="32"/>
                <w:szCs w:val="32"/>
              </w:rPr>
            </w:pPr>
            <w:r>
              <w:rPr>
                <w:rFonts w:hint="eastAsia" w:ascii="仿宋" w:hAnsi="仿宋" w:eastAsia="仿宋" w:cs="宋体"/>
                <w:sz w:val="32"/>
                <w:szCs w:val="32"/>
              </w:rPr>
              <w:t>一、</w:t>
            </w:r>
            <w:r>
              <w:rPr>
                <w:rFonts w:hint="eastAsia" w:ascii="仿宋" w:hAnsi="仿宋" w:eastAsia="仿宋" w:cs="仿宋_GB2312"/>
                <w:b/>
                <w:sz w:val="32"/>
                <w:szCs w:val="32"/>
              </w:rPr>
              <w:t>项目概述：</w:t>
            </w:r>
          </w:p>
          <w:p>
            <w:pPr>
              <w:pStyle w:val="7"/>
              <w:ind w:firstLine="640" w:firstLineChars="200"/>
              <w:contextualSpacing/>
              <w:rPr>
                <w:rFonts w:ascii="仿宋" w:hAnsi="仿宋" w:eastAsia="仿宋" w:cs="仿宋_GB2312"/>
                <w:bCs/>
                <w:sz w:val="32"/>
                <w:szCs w:val="32"/>
              </w:rPr>
            </w:pPr>
            <w:r>
              <w:rPr>
                <w:rFonts w:hint="eastAsia" w:ascii="仿宋" w:hAnsi="仿宋" w:eastAsia="仿宋" w:cs="仿宋_GB2312"/>
                <w:bCs/>
                <w:sz w:val="32"/>
                <w:szCs w:val="32"/>
              </w:rPr>
              <w:t>营口市城乡建设与公用事业中心两处办公楼分别位于营口市站前区市府路北21号、营口市辽河大街东98甲。针对两处办公楼的日常保洁服务、安保服务、食堂管理、设施设备维护服务对外委托，需提供服务人员18人。</w:t>
            </w:r>
            <w:r>
              <w:rPr>
                <w:rFonts w:hint="eastAsia" w:ascii="仿宋" w:hAnsi="仿宋" w:eastAsia="仿宋" w:cs="仿宋_GB2312"/>
                <w:bCs/>
                <w:sz w:val="32"/>
                <w:szCs w:val="32"/>
                <w:lang w:eastAsia="zh-CN"/>
              </w:rPr>
              <w:t>付款方式：月结，每月20日结账。</w:t>
            </w:r>
            <w:r>
              <w:rPr>
                <w:rFonts w:hint="eastAsia" w:ascii="仿宋" w:hAnsi="仿宋" w:eastAsia="仿宋" w:cs="仿宋_GB2312"/>
                <w:bCs/>
                <w:sz w:val="32"/>
                <w:szCs w:val="32"/>
              </w:rPr>
              <w:t>服务期限自2022年7月1日至2023年6月30日止。</w:t>
            </w:r>
          </w:p>
          <w:p>
            <w:pPr>
              <w:ind w:firstLine="643" w:firstLineChars="200"/>
              <w:contextualSpacing/>
              <w:jc w:val="left"/>
              <w:rPr>
                <w:rFonts w:ascii="仿宋" w:hAnsi="仿宋" w:eastAsia="仿宋" w:cs="仿宋_GB2312"/>
                <w:b/>
                <w:sz w:val="32"/>
                <w:szCs w:val="32"/>
              </w:rPr>
            </w:pPr>
            <w:r>
              <w:rPr>
                <w:rFonts w:hint="eastAsia" w:ascii="仿宋" w:hAnsi="仿宋" w:eastAsia="仿宋" w:cs="仿宋_GB2312"/>
                <w:b/>
                <w:sz w:val="32"/>
                <w:szCs w:val="32"/>
              </w:rPr>
              <w:t>二、服务内容：</w:t>
            </w:r>
          </w:p>
          <w:p>
            <w:pPr>
              <w:pStyle w:val="7"/>
              <w:ind w:firstLine="640" w:firstLineChars="200"/>
              <w:contextualSpacing/>
              <w:rPr>
                <w:rFonts w:ascii="仿宋" w:hAnsi="仿宋" w:eastAsia="仿宋" w:cs="仿宋_GB2312"/>
                <w:bCs/>
                <w:sz w:val="32"/>
                <w:szCs w:val="32"/>
              </w:rPr>
            </w:pPr>
            <w:r>
              <w:rPr>
                <w:rFonts w:hint="eastAsia" w:ascii="仿宋" w:hAnsi="仿宋" w:eastAsia="仿宋" w:cs="仿宋_GB2312"/>
                <w:bCs/>
                <w:sz w:val="32"/>
                <w:szCs w:val="32"/>
              </w:rPr>
              <w:t>（一）保洁：要求保洁人员配置4人，乙方所提供的人员年龄在45周岁以下。</w:t>
            </w:r>
          </w:p>
          <w:p>
            <w:pPr>
              <w:ind w:firstLine="640" w:firstLineChars="200"/>
              <w:contextualSpacing/>
              <w:rPr>
                <w:rFonts w:ascii="仿宋" w:hAnsi="仿宋" w:eastAsia="仿宋" w:cs="Lucida Sans Unicode"/>
                <w:sz w:val="32"/>
                <w:szCs w:val="32"/>
              </w:rPr>
            </w:pPr>
            <w:r>
              <w:rPr>
                <w:rFonts w:hint="eastAsia" w:ascii="仿宋" w:hAnsi="仿宋" w:eastAsia="仿宋" w:cs="Lucida Sans Unicode"/>
                <w:sz w:val="32"/>
                <w:szCs w:val="32"/>
              </w:rPr>
              <w:t>1、保洁范围：</w:t>
            </w:r>
          </w:p>
          <w:p>
            <w:pPr>
              <w:ind w:firstLine="640" w:firstLineChars="200"/>
              <w:contextualSpacing/>
              <w:rPr>
                <w:rFonts w:ascii="仿宋" w:hAnsi="仿宋" w:eastAsia="仿宋"/>
                <w:color w:val="000000"/>
                <w:sz w:val="32"/>
                <w:szCs w:val="32"/>
              </w:rPr>
            </w:pPr>
            <w:r>
              <w:rPr>
                <w:rFonts w:hint="eastAsia" w:ascii="仿宋" w:hAnsi="仿宋" w:eastAsia="仿宋" w:cs="Lucida Sans Unicode"/>
                <w:sz w:val="32"/>
                <w:szCs w:val="32"/>
              </w:rPr>
              <w:t>（1）</w:t>
            </w:r>
            <w:r>
              <w:rPr>
                <w:rFonts w:hint="eastAsia" w:ascii="仿宋" w:hAnsi="仿宋" w:eastAsia="仿宋"/>
                <w:sz w:val="32"/>
                <w:szCs w:val="32"/>
              </w:rPr>
              <w:t>楼内保洁：负责办公楼内公共区域</w:t>
            </w:r>
            <w:r>
              <w:rPr>
                <w:rFonts w:hint="eastAsia" w:ascii="仿宋" w:hAnsi="仿宋" w:eastAsia="仿宋"/>
                <w:color w:val="000000"/>
                <w:sz w:val="32"/>
                <w:szCs w:val="32"/>
              </w:rPr>
              <w:t>地面、各楼层会议室、地下室、楼梯、走廊、卫生间、标牌、灯具、墙面、公共部分的门窗、玻璃、楼顶屋面、裙楼屋面、楼内电梯、周期性保洁、年度保洁等，区域内环境卫生、所有物品及设施的清洁、保洁保养。</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）楼外保洁：楼外广场、台阶清洁、办公楼周边所有物品及设施的清洁、保洁、保养。</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2、保洁人员工作要求</w:t>
            </w:r>
            <w:r>
              <w:rPr>
                <w:rFonts w:hint="eastAsia" w:ascii="仿宋" w:hAnsi="仿宋" w:eastAsia="仿宋" w:cs="Lucida Sans Unicode"/>
                <w:sz w:val="32"/>
                <w:szCs w:val="32"/>
              </w:rPr>
              <w:t>：</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（1）物业服务要对上岗员工进行岗前培训，培训合格后方可上岗，派驻管理人员进行日常工作管理。</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（2）负责巡回打扫和推抹地面，擦抹干净玻璃大门。</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（3）负责楼内设施清洁工作，确保楼内无吸烟环境死角。</w:t>
            </w:r>
          </w:p>
          <w:p>
            <w:pPr>
              <w:ind w:firstLine="640" w:firstLineChars="200"/>
              <w:contextualSpacing/>
              <w:jc w:val="left"/>
              <w:rPr>
                <w:rFonts w:ascii="仿宋" w:hAnsi="仿宋" w:eastAsia="仿宋"/>
                <w:sz w:val="32"/>
                <w:szCs w:val="32"/>
              </w:rPr>
            </w:pPr>
            <w:r>
              <w:rPr>
                <w:rFonts w:hint="eastAsia" w:ascii="仿宋" w:hAnsi="仿宋" w:eastAsia="仿宋"/>
                <w:sz w:val="32"/>
                <w:szCs w:val="32"/>
              </w:rPr>
              <w:t>（4）负责定时擦抹干净墙壁。</w:t>
            </w:r>
          </w:p>
          <w:p>
            <w:pPr>
              <w:ind w:firstLine="640" w:firstLineChars="200"/>
              <w:contextualSpacing/>
              <w:jc w:val="left"/>
              <w:rPr>
                <w:rFonts w:ascii="仿宋" w:hAnsi="仿宋" w:eastAsia="仿宋"/>
                <w:sz w:val="32"/>
                <w:szCs w:val="32"/>
              </w:rPr>
            </w:pPr>
            <w:r>
              <w:rPr>
                <w:rFonts w:hint="eastAsia" w:ascii="仿宋" w:hAnsi="仿宋" w:eastAsia="仿宋"/>
                <w:sz w:val="32"/>
                <w:szCs w:val="32"/>
              </w:rPr>
              <w:t>（5）按工作计划和时间安排完成所属楼层岗位各项清洁保洁工作，负责公共走廊、电梯间、洗手间、楼梯的保洁工作。</w:t>
            </w:r>
          </w:p>
          <w:p>
            <w:pPr>
              <w:ind w:firstLine="640" w:firstLineChars="200"/>
              <w:contextualSpacing/>
              <w:jc w:val="left"/>
              <w:rPr>
                <w:rFonts w:ascii="仿宋" w:hAnsi="仿宋" w:eastAsia="仿宋"/>
                <w:sz w:val="32"/>
                <w:szCs w:val="32"/>
              </w:rPr>
            </w:pPr>
            <w:r>
              <w:rPr>
                <w:rFonts w:hint="eastAsia" w:ascii="仿宋" w:hAnsi="仿宋" w:eastAsia="仿宋"/>
                <w:sz w:val="32"/>
                <w:szCs w:val="32"/>
              </w:rPr>
              <w:t>（6）负责巡回清扫走廊、楼梯间地面，并按要求拖抹走廊、楼梯间地面，清除污渍保持洁净。</w:t>
            </w:r>
          </w:p>
          <w:p>
            <w:pPr>
              <w:ind w:firstLine="640" w:firstLineChars="200"/>
              <w:contextualSpacing/>
              <w:jc w:val="left"/>
              <w:rPr>
                <w:rFonts w:ascii="仿宋" w:hAnsi="仿宋" w:eastAsia="仿宋"/>
                <w:sz w:val="32"/>
                <w:szCs w:val="32"/>
              </w:rPr>
            </w:pPr>
            <w:r>
              <w:rPr>
                <w:rFonts w:hint="eastAsia" w:ascii="仿宋" w:hAnsi="仿宋" w:eastAsia="仿宋"/>
                <w:sz w:val="32"/>
                <w:szCs w:val="32"/>
              </w:rPr>
              <w:t>（7）负责擦抹电梯门、防火门、墙壁、垃圾桶、花盆、消防栓柜，并负责走廊地面拖抹、清扫，并对小块污渍及时进行清洗。</w:t>
            </w:r>
          </w:p>
          <w:p>
            <w:pPr>
              <w:ind w:firstLine="640" w:firstLineChars="200"/>
              <w:contextualSpacing/>
              <w:jc w:val="left"/>
              <w:rPr>
                <w:rFonts w:ascii="仿宋" w:hAnsi="仿宋" w:eastAsia="仿宋"/>
                <w:sz w:val="32"/>
                <w:szCs w:val="32"/>
              </w:rPr>
            </w:pPr>
            <w:r>
              <w:rPr>
                <w:rFonts w:hint="eastAsia" w:ascii="仿宋" w:hAnsi="仿宋" w:eastAsia="仿宋"/>
                <w:sz w:val="32"/>
                <w:szCs w:val="32"/>
              </w:rPr>
              <w:t>（8）负责洗手间地面、洁具、镜面、门窗清洁，及时冲洗污物，不留污渍、异味。</w:t>
            </w:r>
          </w:p>
          <w:p>
            <w:pPr>
              <w:ind w:firstLine="640" w:firstLineChars="200"/>
              <w:contextualSpacing/>
              <w:jc w:val="left"/>
              <w:rPr>
                <w:rFonts w:ascii="仿宋" w:hAnsi="仿宋" w:eastAsia="仿宋"/>
                <w:sz w:val="32"/>
                <w:szCs w:val="32"/>
              </w:rPr>
            </w:pPr>
            <w:r>
              <w:rPr>
                <w:rFonts w:hint="eastAsia" w:ascii="仿宋" w:hAnsi="仿宋" w:eastAsia="仿宋"/>
                <w:sz w:val="32"/>
                <w:szCs w:val="32"/>
              </w:rPr>
              <w:t>（9）将收回的垃圾集中到垃圾筒内，定时将垃圾送到指定地点处理，保持垃圾筒的清洁。</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（10）负责指定公共区域或岗位的保洁工作，根据清洁程序和卫生标准的要求，按质按量按时完成各项日常和定期保洁工作。</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（11）庭院、停车场区域内清洁卫生。</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（12）配合甲方做好冬季除雪，做到雪停即除。</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（13）在各项保洁作业中，工作要认真细致，做到拾遗补缺作用，不留任何卫生死角，确保卫生达标。</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（14）要爱护各种设备、工具、并按操作规程操作，了解和掌握各种清洁剂的用途并合理使用，消除事故隐患，安全作业。</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（15）信息反馈或发现本区域有需要修理和维护的设施及时上报。</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（16）做好清洁工具的清洁、整理及维护保养工作。</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（17）要爱护公共财物，如发现情况异常，应及时通知上报，以便及时解决。</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（18）清洁卫生的基本要求是六定：即定人、定地点、定时间、定任务、定质量、定责任，对上述范围的任何地方都应有专人负责清洁卫生、垃圾清运的工作。</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（19）保洁员须身体健康、品德良好，无违法犯罪记录，自觉维护甲方形象。</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（20）穿着公司统一配发的制服，保持其干净整洁，提前到岗签到，佩戴胸卡上岗。</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3、保洁标准：</w:t>
            </w:r>
          </w:p>
          <w:tbl>
            <w:tblPr>
              <w:tblStyle w:val="16"/>
              <w:tblW w:w="905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993"/>
              <w:gridCol w:w="3543"/>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b/>
                      <w:sz w:val="32"/>
                      <w:szCs w:val="32"/>
                    </w:rPr>
                  </w:pPr>
                  <w:r>
                    <w:rPr>
                      <w:rFonts w:hint="eastAsia" w:ascii="仿宋" w:hAnsi="仿宋" w:eastAsia="仿宋"/>
                      <w:b/>
                      <w:sz w:val="32"/>
                      <w:szCs w:val="32"/>
                    </w:rPr>
                    <w:t>序号</w:t>
                  </w:r>
                </w:p>
              </w:tc>
              <w:tc>
                <w:tcPr>
                  <w:tcW w:w="993"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b/>
                      <w:sz w:val="32"/>
                      <w:szCs w:val="32"/>
                    </w:rPr>
                  </w:pPr>
                  <w:r>
                    <w:rPr>
                      <w:rFonts w:hint="eastAsia" w:ascii="仿宋" w:hAnsi="仿宋" w:eastAsia="仿宋"/>
                      <w:b/>
                      <w:sz w:val="32"/>
                      <w:szCs w:val="32"/>
                    </w:rPr>
                    <w:t>场地</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ind w:firstLine="643" w:firstLineChars="200"/>
                    <w:contextualSpacing/>
                    <w:jc w:val="center"/>
                    <w:rPr>
                      <w:rFonts w:ascii="仿宋" w:hAnsi="仿宋" w:eastAsia="仿宋"/>
                      <w:b/>
                      <w:sz w:val="32"/>
                      <w:szCs w:val="32"/>
                    </w:rPr>
                  </w:pPr>
                  <w:r>
                    <w:rPr>
                      <w:rFonts w:hint="eastAsia" w:ascii="仿宋" w:hAnsi="仿宋" w:eastAsia="仿宋"/>
                      <w:b/>
                      <w:sz w:val="32"/>
                      <w:szCs w:val="32"/>
                    </w:rPr>
                    <w:t>服务内容</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b/>
                      <w:sz w:val="32"/>
                      <w:szCs w:val="32"/>
                    </w:rPr>
                  </w:pPr>
                  <w:r>
                    <w:rPr>
                      <w:rFonts w:hint="eastAsia" w:ascii="仿宋" w:hAnsi="仿宋" w:eastAsia="仿宋"/>
                      <w:b/>
                      <w:sz w:val="32"/>
                      <w:szCs w:val="32"/>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restart"/>
                  <w:tcBorders>
                    <w:top w:val="single" w:color="auto" w:sz="4" w:space="0"/>
                    <w:left w:val="single" w:color="auto" w:sz="4" w:space="0"/>
                    <w:right w:val="single" w:color="auto" w:sz="4" w:space="0"/>
                  </w:tcBorders>
                  <w:noWrap w:val="0"/>
                  <w:vAlign w:val="center"/>
                </w:tcPr>
                <w:p>
                  <w:pPr>
                    <w:contextualSpacing/>
                    <w:jc w:val="center"/>
                    <w:rPr>
                      <w:rFonts w:ascii="仿宋" w:hAnsi="仿宋" w:eastAsia="仿宋"/>
                      <w:sz w:val="32"/>
                      <w:szCs w:val="32"/>
                    </w:rPr>
                  </w:pPr>
                  <w:r>
                    <w:rPr>
                      <w:rFonts w:hint="eastAsia" w:ascii="仿宋" w:hAnsi="仿宋" w:eastAsia="仿宋"/>
                      <w:sz w:val="32"/>
                      <w:szCs w:val="32"/>
                    </w:rPr>
                    <w:t>1</w:t>
                  </w:r>
                </w:p>
              </w:tc>
              <w:tc>
                <w:tcPr>
                  <w:tcW w:w="993"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公共走廊</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地面、墙面、墙角线擦拭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无灰尘、污迹、明亮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楼梯间门、消防栓、房门等擦拭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无灰尘、污迹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垃圾桶擦拭清理等</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杂物、污迹、壁面光洁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灭火器擦拭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明亮、无灰尘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走廊天棚、灯具擦拭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无积尘、灰网、内壁无水珠、杂物、光亮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扶手擦拭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干净、光亮、无手印污渍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restart"/>
                  <w:tcBorders>
                    <w:top w:val="single" w:color="auto" w:sz="4" w:space="0"/>
                    <w:left w:val="single" w:color="auto" w:sz="4" w:space="0"/>
                    <w:right w:val="single" w:color="auto" w:sz="4" w:space="0"/>
                  </w:tcBorders>
                  <w:noWrap w:val="0"/>
                  <w:vAlign w:val="center"/>
                </w:tcPr>
                <w:p>
                  <w:pPr>
                    <w:contextualSpacing/>
                    <w:jc w:val="center"/>
                    <w:rPr>
                      <w:rFonts w:ascii="仿宋" w:hAnsi="仿宋" w:eastAsia="仿宋"/>
                      <w:sz w:val="32"/>
                      <w:szCs w:val="32"/>
                    </w:rPr>
                  </w:pPr>
                  <w:r>
                    <w:rPr>
                      <w:rFonts w:hint="eastAsia" w:ascii="仿宋" w:hAnsi="仿宋" w:eastAsia="仿宋"/>
                      <w:sz w:val="32"/>
                      <w:szCs w:val="32"/>
                    </w:rPr>
                    <w:t>2</w:t>
                  </w:r>
                </w:p>
              </w:tc>
              <w:tc>
                <w:tcPr>
                  <w:tcW w:w="99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洗手间</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洗手台、镜面</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无灰尘、水渍、污点、光洁明亮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天棚、灯具、风口</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无灰网、积尘、污迹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门、隔板擦拭</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墙面清洁</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各垃圾桶内外壁</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清洁、无污迹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便器、洗手盆</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内壁无污迹、杂物、光亮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台阶、地面</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清洁、无垃圾、杂物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玻璃</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无明显污渍、水渍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地面</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清洁、无灰尘、脚印、杂物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bottom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便器消毒</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消除异味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restart"/>
                  <w:tcBorders>
                    <w:top w:val="single" w:color="auto" w:sz="4" w:space="0"/>
                    <w:left w:val="single" w:color="auto" w:sz="4" w:space="0"/>
                    <w:right w:val="single" w:color="auto" w:sz="4" w:space="0"/>
                  </w:tcBorders>
                  <w:noWrap w:val="0"/>
                  <w:vAlign w:val="center"/>
                </w:tcPr>
                <w:p>
                  <w:pPr>
                    <w:contextualSpacing/>
                    <w:jc w:val="center"/>
                    <w:rPr>
                      <w:rFonts w:ascii="仿宋" w:hAnsi="仿宋" w:eastAsia="仿宋"/>
                      <w:sz w:val="32"/>
                      <w:szCs w:val="32"/>
                    </w:rPr>
                  </w:pPr>
                  <w:r>
                    <w:rPr>
                      <w:rFonts w:hint="eastAsia" w:ascii="仿宋" w:hAnsi="仿宋" w:eastAsia="仿宋"/>
                      <w:sz w:val="32"/>
                      <w:szCs w:val="32"/>
                    </w:rPr>
                    <w:t>3</w:t>
                  </w:r>
                </w:p>
              </w:tc>
              <w:tc>
                <w:tcPr>
                  <w:tcW w:w="99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楼梯间</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地面、墙角线擦拭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无灰尘、污迹、明亮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楼梯扶手擦拭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光亮、无手印污渍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墙面</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无浮尘、蛛网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开关等附属设施</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表面无浮尘、无污渍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bottom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防火门及附件</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表面无浮尘、无污渍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831" w:type="dxa"/>
                  <w:tcBorders>
                    <w:top w:val="single" w:color="auto" w:sz="4" w:space="0"/>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r>
                    <w:rPr>
                      <w:rFonts w:hint="eastAsia" w:ascii="仿宋" w:hAnsi="仿宋" w:eastAsia="仿宋"/>
                      <w:sz w:val="32"/>
                      <w:szCs w:val="32"/>
                    </w:rPr>
                    <w:t>4</w:t>
                  </w:r>
                </w:p>
              </w:tc>
              <w:tc>
                <w:tcPr>
                  <w:tcW w:w="993" w:type="dxa"/>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垃圾收集</w:t>
                  </w:r>
                </w:p>
              </w:tc>
              <w:tc>
                <w:tcPr>
                  <w:tcW w:w="3543" w:type="dxa"/>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生活垃圾</w:t>
                  </w:r>
                </w:p>
              </w:tc>
              <w:tc>
                <w:tcPr>
                  <w:tcW w:w="3686" w:type="dxa"/>
                  <w:tcBorders>
                    <w:top w:val="single" w:color="auto" w:sz="4" w:space="0"/>
                    <w:left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日产日清，保证垃圾桶呈半空以下状态，方便办公室使用，运送垃圾避让人流高峰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vMerge w:val="restart"/>
                  <w:tcBorders>
                    <w:top w:val="single" w:color="auto" w:sz="4" w:space="0"/>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r>
                    <w:rPr>
                      <w:rFonts w:hint="eastAsia" w:ascii="仿宋" w:hAnsi="仿宋" w:eastAsia="仿宋"/>
                      <w:sz w:val="32"/>
                      <w:szCs w:val="32"/>
                    </w:rPr>
                    <w:t>5</w:t>
                  </w:r>
                </w:p>
              </w:tc>
              <w:tc>
                <w:tcPr>
                  <w:tcW w:w="993"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大堂</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地面</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保持地面干净、光亮、无污迹、无烟头、无明显灰尘、雨天保持地面干爽、防滑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玻璃及玻璃门</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保持清洁、明亮、无尘、无污印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bottom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指示牌、告示牌及其他设施</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保持干净、明亮、无尘、无污迹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restart"/>
                  <w:tcBorders>
                    <w:top w:val="single" w:color="auto" w:sz="4" w:space="0"/>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r>
                    <w:rPr>
                      <w:rFonts w:hint="eastAsia" w:ascii="仿宋" w:hAnsi="仿宋" w:eastAsia="仿宋"/>
                      <w:sz w:val="32"/>
                      <w:szCs w:val="32"/>
                    </w:rPr>
                    <w:t>6</w:t>
                  </w:r>
                </w:p>
              </w:tc>
              <w:tc>
                <w:tcPr>
                  <w:tcW w:w="993"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楼外</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道路</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无积水、无泥沙、无杂物飘浮物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停车场</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无果皮、无积水、无飘浮物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绿地</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无枯草烂叶、无杂物，无垃圾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top"/>
                </w:tcPr>
                <w:p>
                  <w:pPr>
                    <w:widowControl/>
                    <w:contextualSpacing/>
                    <w:jc w:val="left"/>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雨水井、排水沟</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定期清掏，无垃圾污垢堵塞外溢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restart"/>
                  <w:tcBorders>
                    <w:top w:val="single" w:color="auto" w:sz="4" w:space="0"/>
                    <w:left w:val="single" w:color="auto" w:sz="4" w:space="0"/>
                    <w:right w:val="single" w:color="auto" w:sz="4" w:space="0"/>
                  </w:tcBorders>
                  <w:noWrap w:val="0"/>
                  <w:vAlign w:val="center"/>
                </w:tcPr>
                <w:p>
                  <w:pPr>
                    <w:contextualSpacing/>
                    <w:jc w:val="center"/>
                    <w:rPr>
                      <w:rFonts w:ascii="仿宋" w:hAnsi="仿宋" w:eastAsia="仿宋"/>
                      <w:sz w:val="32"/>
                      <w:szCs w:val="32"/>
                    </w:rPr>
                  </w:pPr>
                  <w:r>
                    <w:rPr>
                      <w:rFonts w:hint="eastAsia" w:ascii="仿宋" w:hAnsi="仿宋" w:eastAsia="仿宋"/>
                      <w:sz w:val="32"/>
                      <w:szCs w:val="32"/>
                    </w:rPr>
                    <w:t>7</w:t>
                  </w:r>
                </w:p>
              </w:tc>
              <w:tc>
                <w:tcPr>
                  <w:tcW w:w="993"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公共区域</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玻璃</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每年两次清擦根据实际需要另行安排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bottom w:val="single" w:color="auto" w:sz="4" w:space="0"/>
                    <w:right w:val="single" w:color="auto" w:sz="4" w:space="0"/>
                  </w:tcBorders>
                  <w:noWrap w:val="0"/>
                  <w:vAlign w:val="center"/>
                </w:tcPr>
                <w:p>
                  <w:pPr>
                    <w:contextualSpacing/>
                    <w:jc w:val="center"/>
                    <w:rPr>
                      <w:rFonts w:ascii="仿宋" w:hAnsi="仿宋" w:eastAsia="仿宋"/>
                      <w:sz w:val="32"/>
                      <w:szCs w:val="32"/>
                    </w:rPr>
                  </w:pPr>
                </w:p>
              </w:tc>
              <w:tc>
                <w:tcPr>
                  <w:tcW w:w="993"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地面瓷砖及理石</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每季度进行一次清洗及保养</w:t>
                  </w:r>
                </w:p>
              </w:tc>
            </w:tr>
          </w:tbl>
          <w:p>
            <w:pPr>
              <w:ind w:firstLine="480" w:firstLineChars="150"/>
              <w:contextualSpacing/>
              <w:jc w:val="left"/>
              <w:rPr>
                <w:rFonts w:ascii="仿宋" w:hAnsi="仿宋" w:eastAsia="仿宋"/>
                <w:sz w:val="32"/>
                <w:szCs w:val="32"/>
              </w:rPr>
            </w:pPr>
            <w:r>
              <w:rPr>
                <w:rFonts w:hint="eastAsia" w:ascii="仿宋" w:hAnsi="仿宋" w:eastAsia="仿宋"/>
                <w:sz w:val="32"/>
                <w:szCs w:val="32"/>
              </w:rPr>
              <w:t>重点部位要突出，要特殊对待，并要灵活机动。设备、工具、物料的配备及日常所需的清洁工具、清洁剂等，由乙方自备。</w:t>
            </w:r>
          </w:p>
          <w:p>
            <w:pPr>
              <w:ind w:firstLine="480" w:firstLineChars="150"/>
              <w:contextualSpacing/>
              <w:jc w:val="left"/>
              <w:rPr>
                <w:rFonts w:ascii="仿宋" w:hAnsi="仿宋" w:eastAsia="仿宋"/>
                <w:sz w:val="32"/>
                <w:szCs w:val="32"/>
              </w:rPr>
            </w:pPr>
            <w:r>
              <w:rPr>
                <w:rFonts w:hint="eastAsia" w:ascii="仿宋" w:hAnsi="仿宋" w:eastAsia="仿宋"/>
                <w:sz w:val="32"/>
                <w:szCs w:val="32"/>
              </w:rPr>
              <w:t>4、工作时间：    7：30---17：00</w:t>
            </w:r>
          </w:p>
          <w:p>
            <w:pPr>
              <w:ind w:firstLine="480" w:firstLineChars="150"/>
              <w:contextualSpacing/>
              <w:jc w:val="left"/>
              <w:rPr>
                <w:rFonts w:ascii="仿宋" w:hAnsi="仿宋" w:eastAsia="仿宋"/>
                <w:sz w:val="32"/>
                <w:szCs w:val="32"/>
              </w:rPr>
            </w:pPr>
            <w:r>
              <w:rPr>
                <w:rFonts w:hint="eastAsia" w:ascii="仿宋" w:hAnsi="仿宋" w:eastAsia="仿宋"/>
                <w:sz w:val="32"/>
                <w:szCs w:val="32"/>
              </w:rPr>
              <w:t>5、规章制度：</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（1）保洁服务员每天必须按保洁标准规定打扫。</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（2）禁止在单位洗涤工作服以外的个人衣物。</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（3）保洁人员在按规定完成保洁工作外，要坚持巡查，及时发现问题及时清扫。</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（4）卫生间垃圾筒要及时清理。</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（5）保洁区域内的消防设施要保持无灰尘，办公指示牌摆放规范、干净无尘。</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（6）在责任区内发现的各类问题要在最快的时间内解决如自己不能解决的要及时向保洁主管报告，或与甲方报告。</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（7）统一着装，保持良好的工作形象，上班时间内着装与个人卫生要保持干净、整洁、整齐。禁止在楼内嬉笑打闹和大声喧哗。工作时间内禁止在一起拉家常、闲谈、聚堆做与工作无关的事。</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（8）早上班后、晚下班前要对负责区域内进行检查，防止财物丢失和人为破坏；关闭电源和水源避免出现事故灾害。</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6、处罚办法：</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甲方在按保洁标准抽查中，如发现以下问题：</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（一）</w:t>
            </w:r>
            <w:r>
              <w:rPr>
                <w:rFonts w:hint="eastAsia" w:ascii="仿宋" w:hAnsi="仿宋" w:eastAsia="仿宋"/>
                <w:color w:val="000000"/>
                <w:sz w:val="32"/>
                <w:szCs w:val="32"/>
              </w:rPr>
              <w:t>如有违反规章制度的要求的，第一次由甲方以书面形式通知乙方，乙方需在书面规定的时间内及时处理，如没有按规定时间处理一次扣款200元，同一问题同一位置发现二次的扣款1000元，发现第三次，乙方应向甲方提交书面形式的检讨书。此岗位员工调离原岗位。</w:t>
            </w:r>
          </w:p>
          <w:p>
            <w:pPr>
              <w:ind w:firstLine="480" w:firstLineChars="150"/>
              <w:contextualSpacing/>
              <w:jc w:val="left"/>
              <w:rPr>
                <w:rFonts w:ascii="仿宋" w:hAnsi="仿宋" w:eastAsia="仿宋"/>
                <w:color w:val="000000"/>
                <w:sz w:val="32"/>
                <w:szCs w:val="32"/>
              </w:rPr>
            </w:pPr>
            <w:r>
              <w:rPr>
                <w:rFonts w:hint="eastAsia" w:ascii="仿宋" w:hAnsi="仿宋" w:eastAsia="仿宋"/>
                <w:sz w:val="32"/>
                <w:szCs w:val="32"/>
              </w:rPr>
              <w:t>（二）保安服务：</w:t>
            </w:r>
            <w:r>
              <w:rPr>
                <w:rFonts w:hint="eastAsia" w:ascii="仿宋" w:hAnsi="仿宋" w:eastAsia="仿宋"/>
                <w:color w:val="000000"/>
                <w:sz w:val="32"/>
                <w:szCs w:val="32"/>
              </w:rPr>
              <w:t>设置4人，乙方所提供的保安人员平均年龄在48周岁以下，必须24小时值守。</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保安工作范围：对所管辖区域的安全与消防安全管理，完成所承担的管理任务。其中包括：范围内所管辖的公共场所区域的安全管理（楼内巡视；维持公共秩序；外来人员接待和查验登记），院内交通秩序的管理。</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2、保安人员工作要求：</w:t>
            </w:r>
          </w:p>
          <w:p>
            <w:pPr>
              <w:ind w:firstLine="480" w:firstLineChars="150"/>
              <w:contextualSpacing/>
              <w:jc w:val="left"/>
              <w:rPr>
                <w:rFonts w:ascii="仿宋" w:hAnsi="仿宋" w:eastAsia="仿宋"/>
                <w:sz w:val="32"/>
                <w:szCs w:val="32"/>
              </w:rPr>
            </w:pPr>
            <w:r>
              <w:rPr>
                <w:rFonts w:hint="eastAsia" w:ascii="仿宋" w:hAnsi="仿宋" w:eastAsia="仿宋"/>
                <w:sz w:val="32"/>
                <w:szCs w:val="32"/>
              </w:rPr>
              <w:t>（1）保安人员须身体健康、品德良好，无违法犯罪记录，自觉维护甲方形象。</w:t>
            </w:r>
          </w:p>
          <w:p>
            <w:pPr>
              <w:ind w:firstLine="480" w:firstLineChars="150"/>
              <w:contextualSpacing/>
              <w:jc w:val="left"/>
              <w:rPr>
                <w:rFonts w:ascii="仿宋" w:hAnsi="仿宋" w:eastAsia="仿宋"/>
                <w:sz w:val="32"/>
                <w:szCs w:val="32"/>
              </w:rPr>
            </w:pPr>
            <w:r>
              <w:rPr>
                <w:rFonts w:hint="eastAsia" w:ascii="仿宋" w:hAnsi="仿宋" w:eastAsia="仿宋"/>
                <w:sz w:val="32"/>
                <w:szCs w:val="32"/>
              </w:rPr>
              <w:t>（2）公司要对上岗员工进行岗前培训，培训合格后方可上岗，派驻人员进行日常工作管理。</w:t>
            </w:r>
          </w:p>
          <w:p>
            <w:pPr>
              <w:ind w:firstLine="480" w:firstLineChars="150"/>
              <w:contextualSpacing/>
              <w:jc w:val="left"/>
              <w:rPr>
                <w:rFonts w:ascii="仿宋" w:hAnsi="仿宋" w:eastAsia="仿宋"/>
                <w:sz w:val="32"/>
                <w:szCs w:val="32"/>
              </w:rPr>
            </w:pPr>
            <w:r>
              <w:rPr>
                <w:rFonts w:hint="eastAsia" w:ascii="仿宋" w:hAnsi="仿宋" w:eastAsia="仿宋"/>
                <w:sz w:val="32"/>
                <w:szCs w:val="32"/>
              </w:rPr>
              <w:t>（3）穿着公司统一配发的制服，保持其干净整洁，提前到岗签到，佩戴胸卡上岗。</w:t>
            </w:r>
          </w:p>
          <w:p>
            <w:pPr>
              <w:ind w:firstLine="480" w:firstLineChars="150"/>
              <w:contextualSpacing/>
              <w:jc w:val="left"/>
              <w:rPr>
                <w:rFonts w:ascii="仿宋" w:hAnsi="仿宋" w:eastAsia="仿宋"/>
                <w:sz w:val="32"/>
                <w:szCs w:val="32"/>
              </w:rPr>
            </w:pPr>
            <w:r>
              <w:rPr>
                <w:rFonts w:hint="eastAsia" w:ascii="仿宋" w:hAnsi="仿宋" w:eastAsia="仿宋"/>
                <w:sz w:val="32"/>
                <w:szCs w:val="32"/>
              </w:rPr>
              <w:t>（4）对来访人，要进行有礼貌的询问，填写登记单，与被访者进行联系，联系好后来访人方可允许上楼；对询问情况的外来人员要做好登记及按规定答复等工作。</w:t>
            </w:r>
          </w:p>
          <w:p>
            <w:pPr>
              <w:ind w:firstLine="480" w:firstLineChars="150"/>
              <w:contextualSpacing/>
              <w:jc w:val="left"/>
              <w:rPr>
                <w:rFonts w:ascii="仿宋" w:hAnsi="仿宋" w:eastAsia="仿宋"/>
                <w:color w:val="000000"/>
                <w:sz w:val="32"/>
                <w:szCs w:val="32"/>
              </w:rPr>
            </w:pPr>
            <w:r>
              <w:rPr>
                <w:rFonts w:hint="eastAsia" w:ascii="仿宋" w:hAnsi="仿宋" w:eastAsia="仿宋" w:cs="宋体"/>
                <w:color w:val="000000"/>
                <w:sz w:val="32"/>
                <w:szCs w:val="32"/>
              </w:rPr>
              <w:t>（5）</w:t>
            </w:r>
            <w:r>
              <w:rPr>
                <w:rFonts w:hint="eastAsia" w:ascii="仿宋" w:hAnsi="仿宋" w:eastAsia="仿宋"/>
                <w:sz w:val="32"/>
                <w:szCs w:val="32"/>
              </w:rPr>
              <w:t>负责维护办公区域内治安秩序</w:t>
            </w:r>
            <w:r>
              <w:rPr>
                <w:rFonts w:hint="eastAsia" w:ascii="仿宋" w:hAnsi="仿宋" w:eastAsia="仿宋"/>
                <w:color w:val="000000"/>
                <w:sz w:val="32"/>
                <w:szCs w:val="32"/>
              </w:rPr>
              <w:t>，预防和发现安全隐患，履行保安人员工作职责。</w:t>
            </w:r>
          </w:p>
          <w:p>
            <w:pPr>
              <w:ind w:firstLine="480" w:firstLineChars="150"/>
              <w:contextualSpacing/>
              <w:jc w:val="left"/>
              <w:rPr>
                <w:rFonts w:ascii="仿宋" w:hAnsi="仿宋" w:eastAsia="仿宋"/>
                <w:color w:val="000000"/>
                <w:sz w:val="32"/>
                <w:szCs w:val="32"/>
              </w:rPr>
            </w:pPr>
            <w:r>
              <w:rPr>
                <w:rFonts w:hint="eastAsia" w:ascii="仿宋" w:hAnsi="仿宋" w:eastAsia="仿宋" w:cs="宋体"/>
                <w:color w:val="000000"/>
                <w:sz w:val="32"/>
                <w:szCs w:val="32"/>
              </w:rPr>
              <w:t>（6）</w:t>
            </w:r>
            <w:r>
              <w:rPr>
                <w:rFonts w:hint="eastAsia" w:ascii="仿宋" w:hAnsi="仿宋" w:eastAsia="仿宋"/>
                <w:sz w:val="32"/>
                <w:szCs w:val="32"/>
              </w:rPr>
              <w:t>处理当班突发事件</w:t>
            </w:r>
            <w:r>
              <w:rPr>
                <w:rFonts w:hint="eastAsia" w:ascii="仿宋" w:hAnsi="仿宋" w:eastAsia="仿宋"/>
                <w:color w:val="000000"/>
                <w:sz w:val="32"/>
                <w:szCs w:val="32"/>
              </w:rPr>
              <w:t>，如火灾、偷盗等险情并立即控制，迅速报警，同时报告主管部门。</w:t>
            </w:r>
          </w:p>
          <w:p>
            <w:pPr>
              <w:ind w:firstLine="480" w:firstLineChars="150"/>
              <w:contextualSpacing/>
              <w:jc w:val="left"/>
              <w:rPr>
                <w:rFonts w:ascii="仿宋" w:hAnsi="仿宋" w:eastAsia="仿宋"/>
                <w:sz w:val="32"/>
                <w:szCs w:val="32"/>
              </w:rPr>
            </w:pPr>
            <w:r>
              <w:rPr>
                <w:rFonts w:hint="eastAsia" w:ascii="仿宋" w:hAnsi="仿宋" w:eastAsia="仿宋"/>
                <w:color w:val="000000"/>
                <w:sz w:val="32"/>
                <w:szCs w:val="32"/>
              </w:rPr>
              <w:t>（7）建立</w:t>
            </w:r>
            <w:r>
              <w:rPr>
                <w:rFonts w:hint="eastAsia" w:ascii="仿宋" w:hAnsi="仿宋" w:eastAsia="仿宋"/>
                <w:sz w:val="32"/>
                <w:szCs w:val="32"/>
              </w:rPr>
              <w:t>正常的巡视制度并明确重点保卫目标，做到点、面结合。</w:t>
            </w:r>
          </w:p>
          <w:p>
            <w:pPr>
              <w:ind w:firstLine="480" w:firstLineChars="150"/>
              <w:contextualSpacing/>
              <w:jc w:val="left"/>
              <w:rPr>
                <w:rFonts w:ascii="仿宋" w:hAnsi="仿宋" w:eastAsia="仿宋"/>
                <w:color w:val="000000"/>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保安人员落实</w:t>
            </w:r>
            <w:r>
              <w:rPr>
                <w:rFonts w:ascii="仿宋" w:hAnsi="仿宋" w:eastAsia="仿宋"/>
                <w:sz w:val="32"/>
                <w:szCs w:val="32"/>
              </w:rPr>
              <w:t>24</w:t>
            </w:r>
            <w:r>
              <w:rPr>
                <w:rFonts w:hint="eastAsia" w:ascii="仿宋" w:hAnsi="仿宋" w:eastAsia="仿宋"/>
                <w:sz w:val="32"/>
                <w:szCs w:val="32"/>
              </w:rPr>
              <w:t>小时值班制度，公司对工作情况进行监督和检查。负责不定时地查岗及查夜，不定时巡视办公楼内的消防安全工</w:t>
            </w:r>
            <w:r>
              <w:rPr>
                <w:rFonts w:hint="eastAsia" w:ascii="仿宋" w:hAnsi="仿宋" w:eastAsia="仿宋"/>
                <w:color w:val="000000"/>
                <w:sz w:val="32"/>
                <w:szCs w:val="32"/>
              </w:rPr>
              <w:t>作，夜间保安在工作人员下班后进行巡岗。检查办公室的门窗是否关好，有无安全隐患，对监控室不能控制的照明，需要关闭的进行关闭，并做好巡检记录。</w:t>
            </w:r>
          </w:p>
          <w:p>
            <w:pPr>
              <w:ind w:firstLine="480" w:firstLineChars="150"/>
              <w:contextualSpacing/>
              <w:jc w:val="left"/>
              <w:rPr>
                <w:rFonts w:ascii="仿宋" w:hAnsi="仿宋" w:eastAsia="仿宋"/>
                <w:sz w:val="32"/>
                <w:szCs w:val="32"/>
              </w:rPr>
            </w:pPr>
            <w:r>
              <w:rPr>
                <w:rFonts w:hint="eastAsia" w:ascii="仿宋" w:hAnsi="仿宋" w:eastAsia="仿宋"/>
                <w:color w:val="000000"/>
                <w:sz w:val="32"/>
                <w:szCs w:val="32"/>
              </w:rPr>
              <w:t>（9</w:t>
            </w:r>
            <w:r>
              <w:rPr>
                <w:rFonts w:ascii="仿宋" w:hAnsi="仿宋" w:eastAsia="仿宋"/>
                <w:color w:val="000000"/>
                <w:sz w:val="32"/>
                <w:szCs w:val="32"/>
              </w:rPr>
              <w:t>）</w:t>
            </w:r>
            <w:r>
              <w:rPr>
                <w:rFonts w:hint="eastAsia" w:ascii="仿宋" w:hAnsi="仿宋" w:eastAsia="仿宋"/>
                <w:color w:val="000000"/>
                <w:sz w:val="32"/>
                <w:szCs w:val="32"/>
              </w:rPr>
              <w:t>协助消</w:t>
            </w:r>
            <w:r>
              <w:rPr>
                <w:rFonts w:hint="eastAsia" w:ascii="仿宋" w:hAnsi="仿宋" w:eastAsia="仿宋"/>
                <w:sz w:val="32"/>
                <w:szCs w:val="32"/>
              </w:rPr>
              <w:t>防员完善办公区域内消防安全防范措施，检查消防安全设施、设备、器材的使用情况，保证其能在工作中达到预定的使用效果。</w:t>
            </w:r>
          </w:p>
          <w:p>
            <w:pPr>
              <w:ind w:firstLine="480" w:firstLineChars="150"/>
              <w:contextualSpacing/>
              <w:jc w:val="left"/>
              <w:rPr>
                <w:rFonts w:ascii="仿宋" w:hAnsi="仿宋" w:eastAsia="仿宋"/>
                <w:color w:val="000000"/>
                <w:sz w:val="32"/>
                <w:szCs w:val="32"/>
              </w:rPr>
            </w:pPr>
            <w:r>
              <w:rPr>
                <w:rFonts w:hint="eastAsia" w:ascii="仿宋" w:hAnsi="仿宋" w:eastAsia="仿宋"/>
                <w:sz w:val="32"/>
                <w:szCs w:val="32"/>
              </w:rPr>
              <w:t>（10</w:t>
            </w:r>
            <w:r>
              <w:rPr>
                <w:rFonts w:ascii="仿宋" w:hAnsi="仿宋" w:eastAsia="仿宋"/>
                <w:sz w:val="32"/>
                <w:szCs w:val="32"/>
              </w:rPr>
              <w:t>）</w:t>
            </w:r>
            <w:r>
              <w:rPr>
                <w:rFonts w:hint="eastAsia" w:ascii="仿宋" w:hAnsi="仿宋" w:eastAsia="仿宋"/>
                <w:sz w:val="32"/>
                <w:szCs w:val="32"/>
              </w:rPr>
              <w:t>检查办公楼区内有无妨害公共安全和社会治安秩序的行为，有无违反规</w:t>
            </w:r>
            <w:r>
              <w:rPr>
                <w:rFonts w:hint="eastAsia" w:ascii="仿宋" w:hAnsi="仿宋" w:eastAsia="仿宋"/>
                <w:color w:val="000000"/>
                <w:sz w:val="32"/>
                <w:szCs w:val="32"/>
              </w:rPr>
              <w:t>章制度的行为，并及时进行纠正，妥善处置。确保停放在管辖区域车辆安全及交通秩序井然有序。</w:t>
            </w:r>
          </w:p>
          <w:p>
            <w:pPr>
              <w:ind w:firstLine="480" w:firstLineChars="150"/>
              <w:contextualSpacing/>
              <w:jc w:val="left"/>
              <w:rPr>
                <w:rFonts w:ascii="仿宋" w:hAnsi="仿宋" w:eastAsia="仿宋"/>
                <w:sz w:val="32"/>
                <w:szCs w:val="32"/>
              </w:rPr>
            </w:pPr>
            <w:r>
              <w:rPr>
                <w:rFonts w:hint="eastAsia" w:ascii="仿宋" w:hAnsi="仿宋" w:eastAsia="仿宋"/>
                <w:color w:val="000000"/>
                <w:sz w:val="32"/>
                <w:szCs w:val="32"/>
              </w:rPr>
              <w:t>(11)</w:t>
            </w:r>
            <w:r>
              <w:rPr>
                <w:rFonts w:hint="eastAsia" w:ascii="仿宋" w:hAnsi="仿宋" w:eastAsia="仿宋"/>
                <w:sz w:val="32"/>
                <w:szCs w:val="32"/>
              </w:rPr>
              <w:t>记录好当值期间发生的一切有影响的事情</w:t>
            </w:r>
            <w:r>
              <w:rPr>
                <w:rFonts w:hint="eastAsia" w:ascii="仿宋" w:hAnsi="仿宋" w:eastAsia="仿宋"/>
                <w:color w:val="000000"/>
                <w:sz w:val="32"/>
                <w:szCs w:val="32"/>
              </w:rPr>
              <w:t>，对突发重大事件要填写突发</w:t>
            </w:r>
            <w:r>
              <w:rPr>
                <w:rFonts w:hint="eastAsia" w:ascii="仿宋" w:hAnsi="仿宋" w:eastAsia="仿宋"/>
                <w:sz w:val="32"/>
                <w:szCs w:val="32"/>
              </w:rPr>
              <w:t>事件报告。</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3、保安人员工作纪律（标准）</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（1）遵守国家的法律法规、以及办公楼和物业服务内部各项规章制度。</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（2）坚守岗位，忠于职守，严格执行岗位责任制。</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（3）坚决做到“五不准”，即不准喝酒，不准聊天，不准容留外来人员，不准擅离职守，不准迟到早退。</w:t>
            </w:r>
          </w:p>
          <w:p>
            <w:pPr>
              <w:ind w:firstLine="640" w:firstLineChars="200"/>
              <w:contextualSpacing/>
              <w:jc w:val="left"/>
              <w:rPr>
                <w:rFonts w:ascii="仿宋" w:hAnsi="仿宋" w:eastAsia="仿宋"/>
                <w:sz w:val="32"/>
                <w:szCs w:val="32"/>
              </w:rPr>
            </w:pPr>
            <w:r>
              <w:rPr>
                <w:rFonts w:hint="eastAsia" w:ascii="仿宋" w:hAnsi="仿宋" w:eastAsia="仿宋"/>
                <w:sz w:val="32"/>
                <w:szCs w:val="32"/>
              </w:rPr>
              <w:t>（4）服从管理，听从安排，廉洁奉公，敢于发现和制止各类违规事件。</w:t>
            </w:r>
          </w:p>
          <w:p>
            <w:pPr>
              <w:ind w:firstLine="640" w:firstLineChars="200"/>
              <w:contextualSpacing/>
              <w:jc w:val="left"/>
              <w:rPr>
                <w:rFonts w:ascii="仿宋" w:hAnsi="仿宋" w:eastAsia="仿宋"/>
                <w:sz w:val="32"/>
                <w:szCs w:val="32"/>
              </w:rPr>
            </w:pPr>
            <w:r>
              <w:rPr>
                <w:rFonts w:hint="eastAsia" w:ascii="仿宋" w:hAnsi="仿宋" w:eastAsia="仿宋"/>
                <w:sz w:val="32"/>
                <w:szCs w:val="32"/>
              </w:rPr>
              <w:t>（5）爱护各种器具装备，不能丢失、损坏、转借或随意携带外出。</w:t>
            </w:r>
          </w:p>
          <w:p>
            <w:pPr>
              <w:ind w:firstLine="640" w:firstLineChars="200"/>
              <w:contextualSpacing/>
              <w:jc w:val="left"/>
              <w:rPr>
                <w:rFonts w:ascii="仿宋" w:hAnsi="仿宋" w:eastAsia="仿宋"/>
                <w:sz w:val="32"/>
                <w:szCs w:val="32"/>
              </w:rPr>
            </w:pPr>
            <w:r>
              <w:rPr>
                <w:rFonts w:hint="eastAsia" w:ascii="仿宋" w:hAnsi="仿宋" w:eastAsia="仿宋"/>
                <w:sz w:val="32"/>
                <w:szCs w:val="32"/>
              </w:rPr>
              <w:t>（6）严格执行请、销假制度。保安人员请假，物业服务必须安排其他人员接替工作，保证有熟悉业务的人员带班。</w:t>
            </w:r>
          </w:p>
          <w:p>
            <w:pPr>
              <w:ind w:firstLine="640" w:firstLineChars="200"/>
              <w:contextualSpacing/>
              <w:jc w:val="left"/>
              <w:rPr>
                <w:rFonts w:ascii="仿宋" w:hAnsi="仿宋" w:eastAsia="仿宋"/>
                <w:sz w:val="32"/>
                <w:szCs w:val="32"/>
              </w:rPr>
            </w:pPr>
            <w:r>
              <w:rPr>
                <w:rFonts w:hint="eastAsia" w:ascii="仿宋" w:hAnsi="仿宋" w:eastAsia="仿宋"/>
                <w:sz w:val="32"/>
                <w:szCs w:val="32"/>
              </w:rPr>
              <w:t>4、保安人员交接班制度</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（1）接班保安人员要按规定提前10分钟上岗接班，在登记薄上记录接班时间。</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（2）交接班时，交班的保安人员要把值班中继续注意或处理的问题向接班保安交代、移交清楚。</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接班保安人员验收时发现问题，应由交班保安人员承担责任。验收完毕，交班保安人员离开岗位后所发生的问题由当班保安人员承担责任。所有事情交代清楚后，交班保安人员在离开工作岗位前在登记薄上记录下班时间并且签名。</w:t>
            </w:r>
          </w:p>
          <w:p>
            <w:pPr>
              <w:ind w:firstLine="640" w:firstLineChars="200"/>
              <w:contextualSpacing/>
              <w:jc w:val="left"/>
              <w:rPr>
                <w:rFonts w:ascii="仿宋" w:hAnsi="仿宋" w:eastAsia="仿宋"/>
                <w:sz w:val="32"/>
                <w:szCs w:val="32"/>
              </w:rPr>
            </w:pPr>
            <w:r>
              <w:rPr>
                <w:rFonts w:hint="eastAsia" w:ascii="仿宋" w:hAnsi="仿宋" w:eastAsia="仿宋"/>
                <w:sz w:val="32"/>
                <w:szCs w:val="32"/>
              </w:rPr>
              <w:t>（4）接班人未到，交班人员不得下班。如果接班人员未到，交班人员下班，这期间发生的问题两人共同负责；即使没有发生问题也要分别扣发两人的工资并通报批评。</w:t>
            </w:r>
          </w:p>
          <w:p>
            <w:pPr>
              <w:ind w:firstLine="640" w:firstLineChars="200"/>
              <w:contextualSpacing/>
              <w:jc w:val="left"/>
              <w:rPr>
                <w:rFonts w:ascii="仿宋" w:hAnsi="仿宋" w:eastAsia="仿宋"/>
                <w:sz w:val="32"/>
                <w:szCs w:val="32"/>
              </w:rPr>
            </w:pPr>
            <w:r>
              <w:rPr>
                <w:rFonts w:hint="eastAsia" w:ascii="仿宋" w:hAnsi="仿宋" w:eastAsia="仿宋"/>
                <w:sz w:val="32"/>
                <w:szCs w:val="32"/>
              </w:rPr>
              <w:t>5、日常巡查制度</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（1）消防器材定期检查确认。</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（2）要时常对管理区域内所有门窗进行检查，确保安全，每日下班后实行全面巡检，对未关闭的门窗予以关闭。</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（3）对管理区域外围、楼宇顶端经常检查确认，有无异常现象。</w:t>
            </w:r>
          </w:p>
          <w:p>
            <w:pPr>
              <w:ind w:firstLine="640" w:firstLineChars="200"/>
              <w:contextualSpacing/>
              <w:jc w:val="left"/>
              <w:rPr>
                <w:rFonts w:ascii="仿宋" w:hAnsi="仿宋" w:eastAsia="仿宋"/>
                <w:sz w:val="32"/>
                <w:szCs w:val="32"/>
              </w:rPr>
            </w:pPr>
            <w:r>
              <w:rPr>
                <w:rFonts w:hint="eastAsia" w:ascii="仿宋" w:hAnsi="仿宋" w:eastAsia="仿宋"/>
                <w:sz w:val="32"/>
                <w:szCs w:val="32"/>
              </w:rPr>
              <w:t>（4）对管理区域内配电室、泵房、监控室等要害部位进场检查确认。</w:t>
            </w:r>
          </w:p>
          <w:p>
            <w:pPr>
              <w:ind w:firstLine="640" w:firstLineChars="200"/>
              <w:contextualSpacing/>
              <w:jc w:val="left"/>
              <w:rPr>
                <w:rFonts w:ascii="仿宋" w:hAnsi="仿宋" w:eastAsia="仿宋"/>
                <w:sz w:val="32"/>
                <w:szCs w:val="32"/>
              </w:rPr>
            </w:pPr>
            <w:r>
              <w:rPr>
                <w:rFonts w:hint="eastAsia" w:ascii="仿宋" w:hAnsi="仿宋" w:eastAsia="仿宋"/>
                <w:sz w:val="32"/>
                <w:szCs w:val="32"/>
              </w:rPr>
              <w:t>（5）按照要求对公共区域及设备进行巡回检查，发现隐患及时处理并报告。</w:t>
            </w:r>
          </w:p>
          <w:p>
            <w:pPr>
              <w:ind w:firstLine="640" w:firstLineChars="200"/>
              <w:contextualSpacing/>
              <w:jc w:val="left"/>
              <w:rPr>
                <w:rFonts w:ascii="仿宋" w:hAnsi="仿宋" w:eastAsia="仿宋"/>
                <w:sz w:val="32"/>
                <w:szCs w:val="32"/>
              </w:rPr>
            </w:pPr>
            <w:r>
              <w:rPr>
                <w:rFonts w:hint="eastAsia" w:ascii="仿宋" w:hAnsi="仿宋" w:eastAsia="仿宋"/>
                <w:sz w:val="32"/>
                <w:szCs w:val="32"/>
              </w:rPr>
              <w:t>（6）在巡查过程中，如发现个别部位有特殊情况，如漏水、渗水或冒烟等，应立即向甲方部门领导报告，安排人员参与抢修，以免遭受更大损失。</w:t>
            </w:r>
          </w:p>
          <w:p>
            <w:pPr>
              <w:ind w:firstLine="640" w:firstLineChars="200"/>
              <w:contextualSpacing/>
              <w:jc w:val="left"/>
              <w:rPr>
                <w:rFonts w:ascii="仿宋" w:hAnsi="仿宋" w:eastAsia="仿宋"/>
                <w:sz w:val="32"/>
                <w:szCs w:val="32"/>
              </w:rPr>
            </w:pPr>
            <w:r>
              <w:rPr>
                <w:rFonts w:hint="eastAsia" w:ascii="仿宋" w:hAnsi="仿宋" w:eastAsia="仿宋"/>
                <w:sz w:val="32"/>
                <w:szCs w:val="32"/>
              </w:rPr>
              <w:t>（7）对巡查中或在工作中发现的问题需及时作出处理，对处理不了的问题要及时上报。</w:t>
            </w:r>
          </w:p>
          <w:p>
            <w:pPr>
              <w:ind w:firstLine="640" w:firstLineChars="200"/>
              <w:contextualSpacing/>
              <w:jc w:val="left"/>
              <w:rPr>
                <w:rFonts w:ascii="仿宋" w:hAnsi="仿宋" w:eastAsia="仿宋"/>
                <w:sz w:val="32"/>
                <w:szCs w:val="32"/>
              </w:rPr>
            </w:pPr>
            <w:r>
              <w:rPr>
                <w:rFonts w:hint="eastAsia" w:ascii="仿宋" w:hAnsi="仿宋" w:eastAsia="仿宋"/>
                <w:sz w:val="32"/>
                <w:szCs w:val="32"/>
              </w:rPr>
              <w:t>（8）当班人员要注意对巡查结果进行跟踪处理，了解处理情况并记录结果，对两次记录以上但仍未解决之情况应上报主管领导。</w:t>
            </w:r>
          </w:p>
          <w:p>
            <w:pPr>
              <w:ind w:firstLine="640" w:firstLineChars="200"/>
              <w:contextualSpacing/>
              <w:jc w:val="left"/>
              <w:rPr>
                <w:rFonts w:ascii="仿宋" w:hAnsi="仿宋" w:eastAsia="仿宋" w:cs="Lucida Sans Unicode"/>
                <w:sz w:val="32"/>
                <w:szCs w:val="32"/>
              </w:rPr>
            </w:pPr>
            <w:r>
              <w:rPr>
                <w:rFonts w:hint="eastAsia" w:ascii="仿宋" w:hAnsi="仿宋" w:eastAsia="仿宋" w:cs="Lucida Sans Unicode"/>
                <w:sz w:val="32"/>
                <w:szCs w:val="32"/>
              </w:rPr>
              <w:t>6.保安工作考核：如发现违反制度的问题，扣款将从甲方付给乙方的服务费中扣除，具体规定如下：</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（1）</w:t>
            </w:r>
            <w:r>
              <w:rPr>
                <w:rFonts w:hint="eastAsia" w:ascii="仿宋" w:hAnsi="仿宋" w:eastAsia="仿宋"/>
                <w:color w:val="000000"/>
                <w:sz w:val="32"/>
                <w:szCs w:val="32"/>
              </w:rPr>
              <w:t>保安警容、着装、接待不规范，不符合要求，每查处一次扣</w:t>
            </w:r>
            <w:r>
              <w:rPr>
                <w:rFonts w:ascii="仿宋" w:hAnsi="仿宋" w:eastAsia="仿宋"/>
                <w:color w:val="000000"/>
                <w:sz w:val="32"/>
                <w:szCs w:val="32"/>
              </w:rPr>
              <w:t>50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（2）</w:t>
            </w:r>
            <w:r>
              <w:rPr>
                <w:rFonts w:hint="eastAsia" w:ascii="仿宋" w:hAnsi="仿宋" w:eastAsia="仿宋"/>
                <w:color w:val="000000"/>
                <w:sz w:val="32"/>
                <w:szCs w:val="32"/>
              </w:rPr>
              <w:t>不能礼貌用语，文明工作，每查处一次扣</w:t>
            </w:r>
            <w:r>
              <w:rPr>
                <w:rFonts w:ascii="仿宋" w:hAnsi="仿宋" w:eastAsia="仿宋"/>
                <w:color w:val="000000"/>
                <w:sz w:val="32"/>
                <w:szCs w:val="32"/>
              </w:rPr>
              <w:t>50</w:t>
            </w:r>
            <w:r>
              <w:rPr>
                <w:rFonts w:hint="eastAsia" w:ascii="仿宋" w:hAnsi="仿宋" w:eastAsia="仿宋"/>
                <w:color w:val="000000"/>
                <w:sz w:val="32"/>
                <w:szCs w:val="32"/>
              </w:rPr>
              <w:t>元。</w:t>
            </w:r>
            <w:r>
              <w:rPr>
                <w:rFonts w:hint="eastAsia" w:ascii="宋体" w:hAnsi="宋体" w:cs="宋体"/>
                <w:color w:val="000000"/>
                <w:sz w:val="32"/>
                <w:szCs w:val="32"/>
              </w:rPr>
              <w:t> </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（3）</w:t>
            </w:r>
            <w:r>
              <w:rPr>
                <w:rFonts w:hint="eastAsia" w:ascii="仿宋" w:hAnsi="仿宋" w:eastAsia="仿宋"/>
                <w:color w:val="000000"/>
                <w:sz w:val="32"/>
                <w:szCs w:val="32"/>
              </w:rPr>
              <w:t>未经登记放入外来人员，进入办公楼，或异常现象未向上级报告，每查处一次扣</w:t>
            </w:r>
            <w:r>
              <w:rPr>
                <w:rFonts w:ascii="仿宋" w:hAnsi="仿宋" w:eastAsia="仿宋"/>
                <w:color w:val="000000"/>
                <w:sz w:val="32"/>
                <w:szCs w:val="32"/>
              </w:rPr>
              <w:t>500</w:t>
            </w:r>
            <w:r>
              <w:rPr>
                <w:rFonts w:hint="eastAsia" w:ascii="仿宋" w:hAnsi="仿宋" w:eastAsia="仿宋"/>
                <w:color w:val="000000"/>
                <w:sz w:val="32"/>
                <w:szCs w:val="32"/>
              </w:rPr>
              <w:t>元。</w:t>
            </w:r>
            <w:r>
              <w:rPr>
                <w:rFonts w:hint="eastAsia" w:ascii="宋体" w:hAnsi="宋体" w:cs="宋体"/>
                <w:color w:val="000000"/>
                <w:sz w:val="32"/>
                <w:szCs w:val="32"/>
              </w:rPr>
              <w:t> </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（4）</w:t>
            </w:r>
            <w:r>
              <w:rPr>
                <w:rFonts w:hint="eastAsia" w:ascii="仿宋" w:hAnsi="仿宋" w:eastAsia="仿宋"/>
                <w:color w:val="000000"/>
                <w:sz w:val="32"/>
                <w:szCs w:val="32"/>
              </w:rPr>
              <w:t>物资出入办公楼大门，没有有效出门证放行，每查处一次扣</w:t>
            </w:r>
            <w:r>
              <w:rPr>
                <w:rFonts w:ascii="仿宋" w:hAnsi="仿宋" w:eastAsia="仿宋"/>
                <w:color w:val="000000"/>
                <w:sz w:val="32"/>
                <w:szCs w:val="32"/>
              </w:rPr>
              <w:t>500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（5）</w:t>
            </w:r>
            <w:r>
              <w:rPr>
                <w:rFonts w:hint="eastAsia" w:ascii="仿宋" w:hAnsi="仿宋" w:eastAsia="仿宋"/>
                <w:color w:val="000000"/>
                <w:sz w:val="32"/>
                <w:szCs w:val="32"/>
              </w:rPr>
              <w:t>交接班制度、警卫室管理办法未执行到位，每查处一次扣</w:t>
            </w:r>
            <w:r>
              <w:rPr>
                <w:rFonts w:ascii="仿宋" w:hAnsi="仿宋" w:eastAsia="仿宋"/>
                <w:color w:val="000000"/>
                <w:sz w:val="32"/>
                <w:szCs w:val="32"/>
              </w:rPr>
              <w:t>100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（6）</w:t>
            </w:r>
            <w:r>
              <w:rPr>
                <w:rFonts w:hint="eastAsia" w:ascii="仿宋" w:hAnsi="仿宋" w:eastAsia="仿宋"/>
                <w:color w:val="000000"/>
                <w:sz w:val="32"/>
                <w:szCs w:val="32"/>
              </w:rPr>
              <w:t>迟到、早退、脱岗、睡岗（白天），每查处一次扣</w:t>
            </w:r>
            <w:r>
              <w:rPr>
                <w:rFonts w:ascii="仿宋" w:hAnsi="仿宋" w:eastAsia="仿宋"/>
                <w:color w:val="000000"/>
                <w:sz w:val="32"/>
                <w:szCs w:val="32"/>
              </w:rPr>
              <w:t>100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（7）</w:t>
            </w:r>
            <w:r>
              <w:rPr>
                <w:rFonts w:hint="eastAsia" w:ascii="仿宋" w:hAnsi="仿宋" w:eastAsia="仿宋"/>
                <w:color w:val="000000"/>
                <w:sz w:val="32"/>
                <w:szCs w:val="32"/>
              </w:rPr>
              <w:t>酒后上岗或者在岗喝酒每查处一次扣</w:t>
            </w:r>
            <w:r>
              <w:rPr>
                <w:rFonts w:ascii="仿宋" w:hAnsi="仿宋" w:eastAsia="仿宋"/>
                <w:color w:val="000000"/>
                <w:sz w:val="32"/>
                <w:szCs w:val="32"/>
              </w:rPr>
              <w:t>1000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（8）</w:t>
            </w:r>
            <w:r>
              <w:rPr>
                <w:rFonts w:hint="eastAsia" w:ascii="仿宋" w:hAnsi="仿宋" w:eastAsia="仿宋"/>
                <w:color w:val="000000"/>
                <w:sz w:val="32"/>
                <w:szCs w:val="32"/>
              </w:rPr>
              <w:t>不按规定停放车辆，每查处一次扣</w:t>
            </w:r>
            <w:r>
              <w:rPr>
                <w:rFonts w:ascii="仿宋" w:hAnsi="仿宋" w:eastAsia="仿宋"/>
                <w:color w:val="000000"/>
                <w:sz w:val="32"/>
                <w:szCs w:val="32"/>
              </w:rPr>
              <w:t>100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（9）疏于职守，被楼内其他部门投诉的，每次扣</w:t>
            </w:r>
            <w:r>
              <w:rPr>
                <w:rFonts w:ascii="仿宋" w:hAnsi="仿宋" w:eastAsia="仿宋"/>
                <w:color w:val="000000"/>
                <w:sz w:val="32"/>
                <w:szCs w:val="32"/>
              </w:rPr>
              <w:t>300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（10）推销、上访和其他闲散人员混入楼内每次扣</w:t>
            </w:r>
            <w:r>
              <w:rPr>
                <w:rFonts w:ascii="仿宋" w:hAnsi="仿宋" w:eastAsia="仿宋"/>
                <w:color w:val="000000"/>
                <w:sz w:val="32"/>
                <w:szCs w:val="32"/>
              </w:rPr>
              <w:t>500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（11）其他临时任务配合不及时，态度不认真，或相互推诿的，每次扣</w:t>
            </w:r>
            <w:r>
              <w:rPr>
                <w:rFonts w:ascii="仿宋" w:hAnsi="仿宋" w:eastAsia="仿宋"/>
                <w:color w:val="000000"/>
                <w:sz w:val="32"/>
                <w:szCs w:val="32"/>
              </w:rPr>
              <w:t>300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（12）夜间未进行巡查，每查处一次扣</w:t>
            </w:r>
            <w:r>
              <w:rPr>
                <w:rFonts w:ascii="仿宋" w:hAnsi="仿宋" w:eastAsia="仿宋"/>
                <w:color w:val="000000"/>
                <w:sz w:val="32"/>
                <w:szCs w:val="32"/>
              </w:rPr>
              <w:t>200</w:t>
            </w:r>
            <w:r>
              <w:rPr>
                <w:rFonts w:hint="eastAsia" w:ascii="仿宋" w:hAnsi="仿宋" w:eastAsia="仿宋"/>
                <w:color w:val="000000"/>
                <w:sz w:val="32"/>
                <w:szCs w:val="32"/>
              </w:rPr>
              <w:t>元。</w:t>
            </w:r>
          </w:p>
          <w:p>
            <w:pPr>
              <w:ind w:firstLine="640" w:firstLineChars="200"/>
              <w:contextualSpacing/>
              <w:jc w:val="left"/>
              <w:rPr>
                <w:rFonts w:ascii="仿宋" w:hAnsi="仿宋" w:eastAsia="仿宋" w:cs="Lucida Sans Unicode"/>
                <w:sz w:val="32"/>
                <w:szCs w:val="32"/>
              </w:rPr>
            </w:pPr>
            <w:r>
              <w:rPr>
                <w:rFonts w:hint="eastAsia" w:ascii="仿宋" w:hAnsi="仿宋" w:eastAsia="仿宋" w:cs="Lucida Sans Unicode"/>
                <w:sz w:val="32"/>
                <w:szCs w:val="32"/>
              </w:rPr>
              <w:t>（三）食堂管理：</w:t>
            </w:r>
          </w:p>
          <w:p>
            <w:pPr>
              <w:ind w:firstLine="640" w:firstLineChars="200"/>
              <w:contextualSpacing/>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、餐饮服务范围：负责工作人员日常供餐、临时任务供餐等服务。</w:t>
            </w:r>
          </w:p>
          <w:p>
            <w:pPr>
              <w:ind w:firstLine="640" w:firstLineChars="200"/>
              <w:contextualSpacing/>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、服务要求：保证早餐人、午餐人就餐需求。</w:t>
            </w:r>
          </w:p>
          <w:p>
            <w:pPr>
              <w:ind w:firstLine="640" w:firstLineChars="200"/>
              <w:contextualSpacing/>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、人员配置及岗位：其中厨师2人，帮厨4人，面点师2人（乙方提供的服务人员须有健康证，相关岗位须有相关职业资格证书。）</w:t>
            </w:r>
          </w:p>
          <w:p>
            <w:pPr>
              <w:ind w:firstLine="640" w:firstLineChars="200"/>
              <w:contextualSpacing/>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、餐厅服务标准：</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00"/>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序号</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服务内容</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ascii="仿宋" w:hAnsi="仿宋" w:eastAsia="仿宋"/>
                      <w:color w:val="000000"/>
                      <w:sz w:val="32"/>
                      <w:szCs w:val="32"/>
                    </w:rPr>
                    <w:t>1</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服务人员上岗要求</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仪容仪表符合工作要求，上班着工装，佩戴工号牌，短发不过耳，长发用头花盘好，不允许留长指甲、染指甲。</w:t>
                  </w:r>
                </w:p>
                <w:p>
                  <w:pPr>
                    <w:contextualSpacing/>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文明礼貌服务，语调温和亲切，微笑迎客、敬语待客、谦逊谢客。</w:t>
                  </w:r>
                </w:p>
                <w:p>
                  <w:pPr>
                    <w:contextualSpacing/>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严格遵守劳动纪律，不脱岗、串岗。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ascii="仿宋" w:hAnsi="仿宋" w:eastAsia="仿宋"/>
                      <w:color w:val="000000"/>
                      <w:sz w:val="32"/>
                      <w:szCs w:val="32"/>
                    </w:rPr>
                    <w:t>2</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餐前准备</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室内通风良好、温度适宜、光线充足、桌椅摆放整齐、卫生整洁。</w:t>
                  </w:r>
                </w:p>
                <w:p>
                  <w:pPr>
                    <w:contextualSpacing/>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餐厅桌椅摆放整齐，桌面物品摆放有序，传菜间备品准备好。</w:t>
                  </w:r>
                </w:p>
                <w:p>
                  <w:pPr>
                    <w:contextualSpacing/>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)墙面、地面整洁干净，无污渍、水渍。</w:t>
                  </w:r>
                </w:p>
                <w:p>
                  <w:pPr>
                    <w:contextualSpacing/>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餐具摆放整洁有序。</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5</w:t>
                  </w:r>
                  <w:r>
                    <w:rPr>
                      <w:rFonts w:ascii="仿宋" w:hAnsi="仿宋" w:eastAsia="仿宋"/>
                      <w:color w:val="000000"/>
                      <w:sz w:val="32"/>
                      <w:szCs w:val="32"/>
                    </w:rPr>
                    <w:t>)</w:t>
                  </w:r>
                  <w:r>
                    <w:rPr>
                      <w:rFonts w:hint="eastAsia" w:ascii="仿宋" w:hAnsi="仿宋" w:eastAsia="仿宋"/>
                      <w:color w:val="000000"/>
                      <w:sz w:val="32"/>
                      <w:szCs w:val="32"/>
                    </w:rPr>
                    <w:t>室内温度适宜、光线充足，空气清新。</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6</w:t>
                  </w:r>
                  <w:r>
                    <w:rPr>
                      <w:rFonts w:ascii="仿宋" w:hAnsi="仿宋" w:eastAsia="仿宋"/>
                      <w:color w:val="000000"/>
                      <w:sz w:val="32"/>
                      <w:szCs w:val="32"/>
                    </w:rPr>
                    <w:t>)</w:t>
                  </w:r>
                  <w:r>
                    <w:rPr>
                      <w:rFonts w:hint="eastAsia" w:ascii="仿宋" w:hAnsi="仿宋" w:eastAsia="仿宋"/>
                      <w:color w:val="000000"/>
                      <w:sz w:val="32"/>
                      <w:szCs w:val="32"/>
                    </w:rPr>
                    <w:t>餐盘、筷子、碗、餐巾纸等配备齐全，摆放有序，卫生达标。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ascii="仿宋" w:hAnsi="仿宋" w:eastAsia="仿宋"/>
                      <w:color w:val="000000"/>
                      <w:sz w:val="32"/>
                      <w:szCs w:val="32"/>
                    </w:rPr>
                    <w:t>3</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用餐服务</w:t>
                  </w:r>
                </w:p>
              </w:tc>
              <w:tc>
                <w:tcPr>
                  <w:tcW w:w="61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要注意器皿边缘及餐桌台面的卫生。</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z w:val="32"/>
                      <w:szCs w:val="32"/>
                    </w:rPr>
                    <w:t>及时观察菜品是否需添加，与厨房做好沟通。</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3</w:t>
                  </w:r>
                  <w:r>
                    <w:rPr>
                      <w:rFonts w:ascii="仿宋" w:hAnsi="仿宋" w:eastAsia="仿宋"/>
                      <w:color w:val="000000"/>
                      <w:sz w:val="32"/>
                      <w:szCs w:val="32"/>
                    </w:rPr>
                    <w:t>)</w:t>
                  </w:r>
                  <w:r>
                    <w:rPr>
                      <w:rFonts w:hint="eastAsia" w:ascii="仿宋" w:hAnsi="仿宋" w:eastAsia="仿宋"/>
                      <w:color w:val="000000"/>
                      <w:sz w:val="32"/>
                      <w:szCs w:val="32"/>
                    </w:rPr>
                    <w:t>就餐人员用完餐后，提醒就餐人员把餐盘放到送餐处。</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倒餐时使用礼貌用语，提醒就餐人员自觉排队，倒餐处保持干净整洁。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4</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餐后</w:t>
                  </w:r>
                </w:p>
                <w:p>
                  <w:pPr>
                    <w:contextualSpacing/>
                    <w:jc w:val="center"/>
                    <w:rPr>
                      <w:rFonts w:ascii="仿宋" w:hAnsi="仿宋" w:eastAsia="仿宋"/>
                      <w:color w:val="000000"/>
                      <w:sz w:val="32"/>
                      <w:szCs w:val="32"/>
                    </w:rPr>
                  </w:pPr>
                  <w:r>
                    <w:rPr>
                      <w:rFonts w:hint="eastAsia" w:ascii="仿宋" w:hAnsi="仿宋" w:eastAsia="仿宋"/>
                      <w:color w:val="000000"/>
                      <w:sz w:val="32"/>
                      <w:szCs w:val="32"/>
                    </w:rPr>
                    <w:t>收尾工作</w:t>
                  </w:r>
                </w:p>
              </w:tc>
              <w:tc>
                <w:tcPr>
                  <w:tcW w:w="61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撤餐具，清理台面。</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z w:val="32"/>
                      <w:szCs w:val="32"/>
                    </w:rPr>
                    <w:t>清洁餐厅整体卫生，关闭电源门窗等。</w:t>
                  </w:r>
                </w:p>
              </w:tc>
            </w:tr>
          </w:tbl>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5、餐厅的清洁标准：</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00"/>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序号</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项目</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1</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餐桌餐椅</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①保持餐桌桌面光洁，无油腻、杂物；</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②餐椅无灰尘、无油污；</w:t>
                  </w:r>
                </w:p>
                <w:p>
                  <w:pPr>
                    <w:contextualSpacing/>
                    <w:jc w:val="left"/>
                    <w:rPr>
                      <w:rFonts w:ascii="仿宋" w:hAnsi="仿宋" w:eastAsia="仿宋"/>
                      <w:color w:val="000000"/>
                      <w:sz w:val="32"/>
                      <w:szCs w:val="32"/>
                    </w:rPr>
                  </w:pPr>
                  <w:r>
                    <w:rPr>
                      <w:rFonts w:hint="eastAsia" w:ascii="仿宋" w:hAnsi="仿宋" w:eastAsia="仿宋"/>
                      <w:color w:val="000000"/>
                      <w:sz w:val="32"/>
                      <w:szCs w:val="32"/>
                    </w:rPr>
                    <w:t>③就餐时随时收拾桌上的碗盘，清理餐桌的剩饭、杂物等。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2</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地面、水池</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①地面整洁干净，无污渍；</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②餐桌餐椅底等死角无灰尘、无遗弃食物等；</w:t>
                  </w:r>
                </w:p>
                <w:p>
                  <w:pPr>
                    <w:contextualSpacing/>
                    <w:jc w:val="left"/>
                    <w:rPr>
                      <w:rFonts w:ascii="仿宋" w:hAnsi="仿宋" w:eastAsia="仿宋"/>
                      <w:color w:val="000000"/>
                      <w:sz w:val="32"/>
                      <w:szCs w:val="32"/>
                    </w:rPr>
                  </w:pPr>
                  <w:r>
                    <w:rPr>
                      <w:rFonts w:hint="eastAsia" w:ascii="仿宋" w:hAnsi="仿宋" w:eastAsia="仿宋"/>
                      <w:color w:val="000000"/>
                      <w:sz w:val="32"/>
                      <w:szCs w:val="32"/>
                    </w:rPr>
                    <w:t>③水池无剩饭剩菜等异物。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3</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墙面、门窗</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①墙面无污垢，无灰网；</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②门窗保洁明亮、无尘、无污印。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4</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残食区</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①残食日产日清；</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②残食桶须每日清洁，保持干净。</w:t>
                  </w:r>
                </w:p>
              </w:tc>
            </w:tr>
          </w:tbl>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6、餐厅的食品安全要求：</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00"/>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序号</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项目</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1</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原材料</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①严把采购第一关，必须从正规渠道购买食物，确保食品无污染、无毒、无变质；</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②杜绝“三无”产品；</w:t>
                  </w:r>
                </w:p>
                <w:p>
                  <w:pPr>
                    <w:contextualSpacing/>
                    <w:jc w:val="left"/>
                    <w:rPr>
                      <w:rFonts w:ascii="仿宋" w:hAnsi="仿宋" w:eastAsia="仿宋"/>
                      <w:color w:val="000000"/>
                      <w:sz w:val="32"/>
                      <w:szCs w:val="32"/>
                    </w:rPr>
                  </w:pPr>
                  <w:r>
                    <w:rPr>
                      <w:rFonts w:hint="eastAsia" w:ascii="仿宋" w:hAnsi="仿宋" w:eastAsia="仿宋"/>
                      <w:color w:val="000000"/>
                      <w:sz w:val="32"/>
                      <w:szCs w:val="32"/>
                    </w:rPr>
                    <w:t>③隔夜剩饭菜应及时处理，原则上不予保留。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2</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食品质量</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①米饭：米质量好，色泽纯正，不糊，不夹生，软硬适当；</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②菜肴：色味鲜美，原料新鲜，无杂物；</w:t>
                  </w:r>
                </w:p>
                <w:p>
                  <w:pPr>
                    <w:contextualSpacing/>
                    <w:jc w:val="left"/>
                    <w:rPr>
                      <w:rFonts w:ascii="仿宋" w:hAnsi="仿宋" w:eastAsia="仿宋"/>
                      <w:color w:val="000000"/>
                      <w:sz w:val="32"/>
                      <w:szCs w:val="32"/>
                    </w:rPr>
                  </w:pPr>
                  <w:r>
                    <w:rPr>
                      <w:rFonts w:hint="eastAsia" w:ascii="仿宋" w:hAnsi="仿宋" w:eastAsia="仿宋"/>
                      <w:color w:val="000000"/>
                      <w:sz w:val="32"/>
                      <w:szCs w:val="32"/>
                    </w:rPr>
                    <w:t>③面制品：软硬适当，色泽纯正，均匀足量。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3</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操作、存储</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①生与熟、成品与半成品、食物与杂物、食品与天然物隔离好，防止生熟交叉感染；</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②操作时按照原料、半成品的顺序进行流程布局；</w:t>
                  </w:r>
                </w:p>
                <w:p>
                  <w:pPr>
                    <w:contextualSpacing/>
                    <w:jc w:val="left"/>
                    <w:rPr>
                      <w:rFonts w:ascii="仿宋" w:hAnsi="仿宋" w:eastAsia="仿宋"/>
                      <w:color w:val="000000"/>
                      <w:sz w:val="32"/>
                      <w:szCs w:val="32"/>
                    </w:rPr>
                  </w:pPr>
                  <w:r>
                    <w:rPr>
                      <w:rFonts w:hint="eastAsia" w:ascii="仿宋" w:hAnsi="仿宋" w:eastAsia="仿宋"/>
                      <w:color w:val="000000"/>
                      <w:sz w:val="32"/>
                      <w:szCs w:val="32"/>
                    </w:rPr>
                    <w:t>③餐厅内严禁放置有毒物品。</w:t>
                  </w:r>
                </w:p>
              </w:tc>
            </w:tr>
          </w:tbl>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(四)设备设施维护养护范围：</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1、设备设施维护养护服务内容：①供电系统的日常维修及养护；②其他维修。</w:t>
            </w:r>
          </w:p>
          <w:p>
            <w:pPr>
              <w:ind w:firstLine="640" w:firstLineChars="200"/>
              <w:contextualSpacing/>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、人员配置及岗位：电工1人，水暖工1人，乙方所提供的维护人员必须持证上岗。</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3、设备设施的维护养护标准</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（1）设备间卫生清洁，物品摆放整齐。</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（2）配电室</w:t>
            </w:r>
            <w:r>
              <w:rPr>
                <w:rFonts w:ascii="仿宋" w:hAnsi="仿宋" w:eastAsia="仿宋"/>
                <w:color w:val="000000"/>
                <w:sz w:val="32"/>
                <w:szCs w:val="32"/>
              </w:rPr>
              <w:t>24</w:t>
            </w:r>
            <w:r>
              <w:rPr>
                <w:rFonts w:hint="eastAsia" w:ascii="仿宋" w:hAnsi="仿宋" w:eastAsia="仿宋"/>
                <w:color w:val="000000"/>
                <w:sz w:val="32"/>
                <w:szCs w:val="32"/>
              </w:rPr>
              <w:t>小时专人值守。每天对供电设施设备进行巡检。</w:t>
            </w:r>
          </w:p>
          <w:p>
            <w:pPr>
              <w:ind w:firstLine="640" w:firstLineChars="200"/>
              <w:contextualSpacing/>
              <w:rPr>
                <w:rFonts w:ascii="仿宋" w:hAnsi="仿宋" w:eastAsia="仿宋"/>
                <w:sz w:val="32"/>
                <w:szCs w:val="32"/>
              </w:rPr>
            </w:pPr>
            <w:r>
              <w:rPr>
                <w:rFonts w:hint="eastAsia" w:ascii="仿宋" w:hAnsi="仿宋" w:eastAsia="仿宋"/>
                <w:sz w:val="32"/>
                <w:szCs w:val="32"/>
              </w:rPr>
              <w:t>4、维修工作的考核标准：</w:t>
            </w:r>
          </w:p>
          <w:p>
            <w:pPr>
              <w:ind w:firstLine="640" w:firstLineChars="200"/>
              <w:contextualSpacing/>
              <w:rPr>
                <w:rFonts w:ascii="仿宋" w:hAnsi="仿宋" w:eastAsia="仿宋"/>
                <w:sz w:val="32"/>
                <w:szCs w:val="32"/>
              </w:rPr>
            </w:pPr>
            <w:r>
              <w:rPr>
                <w:rFonts w:hint="eastAsia" w:ascii="仿宋" w:hAnsi="仿宋" w:eastAsia="仿宋"/>
                <w:sz w:val="32"/>
                <w:szCs w:val="32"/>
              </w:rPr>
              <w:t>（1）按时上下班。上班时间统一着工装、佩戴胸卡，精神饱满，举止得体。</w:t>
            </w:r>
          </w:p>
          <w:p>
            <w:pPr>
              <w:ind w:firstLine="640" w:firstLineChars="200"/>
              <w:contextualSpacing/>
              <w:rPr>
                <w:rFonts w:ascii="仿宋" w:hAnsi="仿宋" w:eastAsia="仿宋"/>
                <w:sz w:val="32"/>
                <w:szCs w:val="32"/>
              </w:rPr>
            </w:pPr>
            <w:r>
              <w:rPr>
                <w:rFonts w:hint="eastAsia" w:ascii="仿宋" w:hAnsi="仿宋" w:eastAsia="仿宋"/>
                <w:sz w:val="32"/>
                <w:szCs w:val="32"/>
              </w:rPr>
              <w:t>（2）每天接到办公楼、楼的报修单或报修电话后，根据工作情况及时安排维修，做到</w:t>
            </w:r>
            <w:r>
              <w:rPr>
                <w:rFonts w:ascii="仿宋" w:hAnsi="仿宋" w:eastAsia="仿宋"/>
                <w:sz w:val="32"/>
                <w:szCs w:val="32"/>
              </w:rPr>
              <w:t>“</w:t>
            </w:r>
            <w:r>
              <w:rPr>
                <w:rFonts w:hint="eastAsia" w:ascii="仿宋" w:hAnsi="仿宋" w:eastAsia="仿宋"/>
                <w:sz w:val="32"/>
                <w:szCs w:val="32"/>
              </w:rPr>
              <w:t>水不过天，电不过夜</w:t>
            </w:r>
            <w:r>
              <w:rPr>
                <w:rFonts w:ascii="仿宋" w:hAnsi="仿宋" w:eastAsia="仿宋"/>
                <w:sz w:val="32"/>
                <w:szCs w:val="32"/>
              </w:rPr>
              <w:t>”</w:t>
            </w:r>
            <w:r>
              <w:rPr>
                <w:rFonts w:hint="eastAsia" w:ascii="仿宋" w:hAnsi="仿宋" w:eastAsia="仿宋"/>
                <w:sz w:val="32"/>
                <w:szCs w:val="32"/>
              </w:rPr>
              <w:t>，不得以任何理由推诿、拖延。</w:t>
            </w:r>
          </w:p>
          <w:p>
            <w:pPr>
              <w:ind w:firstLine="640" w:firstLineChars="200"/>
              <w:contextualSpacing/>
              <w:rPr>
                <w:rFonts w:ascii="仿宋" w:hAnsi="仿宋" w:eastAsia="仿宋"/>
                <w:sz w:val="32"/>
                <w:szCs w:val="32"/>
              </w:rPr>
            </w:pPr>
            <w:r>
              <w:rPr>
                <w:rFonts w:hint="eastAsia" w:ascii="仿宋" w:hAnsi="仿宋" w:eastAsia="仿宋"/>
                <w:sz w:val="32"/>
                <w:szCs w:val="32"/>
              </w:rPr>
              <w:t>（3）服从安排，保质保量完成各项维修及其它临时性工作，不得以任何理由怠工、敷衍。</w:t>
            </w:r>
          </w:p>
          <w:p>
            <w:pPr>
              <w:ind w:firstLine="640" w:firstLineChars="200"/>
              <w:contextualSpacing/>
              <w:rPr>
                <w:rFonts w:ascii="仿宋" w:hAnsi="仿宋" w:eastAsia="仿宋"/>
                <w:sz w:val="32"/>
                <w:szCs w:val="32"/>
              </w:rPr>
            </w:pPr>
            <w:r>
              <w:rPr>
                <w:rFonts w:hint="eastAsia" w:ascii="仿宋" w:hAnsi="仿宋" w:eastAsia="仿宋"/>
                <w:sz w:val="32"/>
                <w:szCs w:val="32"/>
              </w:rPr>
              <w:t>（4）必须定期对用电设施进行巡视。</w:t>
            </w:r>
          </w:p>
          <w:p>
            <w:pPr>
              <w:ind w:firstLine="640" w:firstLineChars="200"/>
              <w:contextualSpacing/>
              <w:rPr>
                <w:rFonts w:ascii="仿宋" w:hAnsi="仿宋" w:eastAsia="仿宋"/>
                <w:sz w:val="32"/>
                <w:szCs w:val="32"/>
              </w:rPr>
            </w:pPr>
            <w:r>
              <w:rPr>
                <w:rFonts w:hint="eastAsia" w:ascii="仿宋" w:hAnsi="仿宋" w:eastAsia="仿宋"/>
                <w:sz w:val="32"/>
                <w:szCs w:val="32"/>
              </w:rPr>
              <w:t>（5）严格管理各类维修材料及维修工具，杜绝假公济私、浪费等现象。</w:t>
            </w:r>
          </w:p>
          <w:p>
            <w:pPr>
              <w:ind w:firstLine="640" w:firstLineChars="200"/>
              <w:contextualSpacing/>
              <w:rPr>
                <w:rFonts w:ascii="仿宋" w:hAnsi="仿宋" w:eastAsia="仿宋"/>
                <w:sz w:val="32"/>
                <w:szCs w:val="32"/>
              </w:rPr>
            </w:pPr>
            <w:r>
              <w:rPr>
                <w:rFonts w:hint="eastAsia" w:ascii="仿宋" w:hAnsi="仿宋" w:eastAsia="仿宋"/>
                <w:sz w:val="32"/>
                <w:szCs w:val="32"/>
              </w:rPr>
              <w:t>（6）自觉接受甲方工作监督，杜绝投诉。</w:t>
            </w:r>
          </w:p>
          <w:p>
            <w:pPr>
              <w:ind w:firstLine="640" w:firstLineChars="200"/>
              <w:contextualSpacing/>
              <w:rPr>
                <w:rFonts w:ascii="仿宋" w:hAnsi="仿宋" w:eastAsia="仿宋"/>
                <w:sz w:val="32"/>
                <w:szCs w:val="32"/>
              </w:rPr>
            </w:pPr>
            <w:r>
              <w:rPr>
                <w:rFonts w:hint="eastAsia" w:ascii="仿宋" w:hAnsi="仿宋" w:eastAsia="仿宋"/>
                <w:sz w:val="32"/>
                <w:szCs w:val="32"/>
              </w:rPr>
              <w:t>（7）服从甲方安排，完成甲方交给的其它工作。</w:t>
            </w:r>
          </w:p>
          <w:p>
            <w:pPr>
              <w:adjustRightInd w:val="0"/>
              <w:snapToGrid w:val="0"/>
              <w:ind w:hanging="1"/>
              <w:jc w:val="center"/>
              <w:rPr>
                <w:rFonts w:ascii="仿宋_GB2312" w:hAnsi="仿宋_GB2312" w:eastAsia="仿宋_GB2312" w:cs="仿宋_GB2312"/>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0"/>
              </w:tabs>
              <w:adjustRightInd w:val="0"/>
              <w:snapToGrid w:val="0"/>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75"/>
              </w:tabs>
              <w:spacing w:line="240" w:lineRule="exact"/>
              <w:ind w:right="-57"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75"/>
              </w:tabs>
              <w:spacing w:line="240" w:lineRule="exact"/>
              <w:ind w:right="-57"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75"/>
              </w:tabs>
              <w:spacing w:line="240" w:lineRule="exact"/>
              <w:ind w:right="-57" w:rightChars="-27"/>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hanging="1"/>
              <w:jc w:val="center"/>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0"/>
              </w:tabs>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szCs w:val="21"/>
              </w:rPr>
              <w:t>采购单位未提供需求而</w:t>
            </w:r>
            <w:r>
              <w:rPr>
                <w:rFonts w:hint="eastAsia" w:ascii="仿宋_GB2312" w:hAnsi="仿宋_GB2312" w:eastAsia="仿宋_GB2312" w:cs="仿宋_GB2312"/>
                <w:szCs w:val="21"/>
                <w:lang w:eastAsia="zh-CN"/>
              </w:rPr>
              <w:t>供应商</w:t>
            </w:r>
            <w:r>
              <w:rPr>
                <w:rFonts w:hint="eastAsia" w:ascii="仿宋_GB2312" w:hAnsi="仿宋_GB2312" w:eastAsia="仿宋_GB2312" w:cs="仿宋_GB2312"/>
                <w:szCs w:val="21"/>
              </w:rPr>
              <w:t>认为需说明及补充的内容在此填列</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75"/>
              </w:tabs>
              <w:spacing w:line="240" w:lineRule="exact"/>
              <w:ind w:right="-57"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75"/>
              </w:tabs>
              <w:spacing w:line="240" w:lineRule="exact"/>
              <w:ind w:right="-57"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75"/>
              </w:tabs>
              <w:spacing w:line="240" w:lineRule="exact"/>
              <w:ind w:right="-57" w:rightChars="-27"/>
              <w:jc w:val="center"/>
              <w:rPr>
                <w:rFonts w:ascii="仿宋_GB2312" w:hAnsi="仿宋_GB2312" w:eastAsia="仿宋_GB2312" w:cs="仿宋_GB2312"/>
                <w:kern w:val="0"/>
                <w:szCs w:val="21"/>
              </w:rPr>
            </w:pPr>
          </w:p>
        </w:tc>
      </w:tr>
    </w:tbl>
    <w:p>
      <w:pPr>
        <w:adjustRightInd w:val="0"/>
        <w:snapToGrid w:val="0"/>
        <w:spacing w:line="360" w:lineRule="auto"/>
        <w:ind w:right="105" w:rightChars="50"/>
        <w:jc w:val="left"/>
        <w:rPr>
          <w:rFonts w:ascii="仿宋_GB2312" w:hAnsi="仿宋_GB2312" w:eastAsia="仿宋_GB2312" w:cs="仿宋_GB2312"/>
          <w:b/>
          <w:szCs w:val="21"/>
        </w:rPr>
      </w:pPr>
      <w:r>
        <w:rPr>
          <w:rFonts w:hint="eastAsia" w:ascii="仿宋_GB2312" w:hAnsi="仿宋_GB2312" w:eastAsia="仿宋_GB2312" w:cs="仿宋_GB2312"/>
          <w:b/>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响应</w:t>
      </w:r>
      <w:r>
        <w:rPr>
          <w:rFonts w:hint="eastAsia" w:ascii="仿宋_GB2312" w:hAnsi="仿宋_GB2312" w:eastAsia="仿宋_GB2312" w:cs="仿宋_GB2312"/>
          <w:szCs w:val="21"/>
        </w:rPr>
        <w:t>文件响应内容”一栏由</w:t>
      </w:r>
      <w:r>
        <w:rPr>
          <w:rFonts w:hint="eastAsia" w:ascii="仿宋_GB2312" w:hAnsi="仿宋_GB2312" w:eastAsia="仿宋_GB2312" w:cs="仿宋_GB2312"/>
          <w:szCs w:val="21"/>
          <w:lang w:eastAsia="zh-CN"/>
        </w:rPr>
        <w:t>供应商</w:t>
      </w:r>
      <w:r>
        <w:rPr>
          <w:rFonts w:hint="eastAsia" w:ascii="仿宋_GB2312" w:hAnsi="仿宋_GB2312" w:eastAsia="仿宋_GB2312" w:cs="仿宋_GB2312"/>
          <w:szCs w:val="21"/>
        </w:rPr>
        <w:t>按照</w:t>
      </w:r>
      <w:r>
        <w:rPr>
          <w:rFonts w:hint="eastAsia" w:ascii="仿宋_GB2312" w:hAnsi="仿宋_GB2312" w:eastAsia="仿宋_GB2312" w:cs="仿宋_GB2312"/>
          <w:szCs w:val="21"/>
          <w:lang w:eastAsia="zh-CN"/>
        </w:rPr>
        <w:t>采购</w:t>
      </w:r>
      <w:r>
        <w:rPr>
          <w:rFonts w:hint="eastAsia" w:ascii="仿宋_GB2312" w:hAnsi="仿宋_GB2312" w:eastAsia="仿宋_GB2312" w:cs="仿宋_GB2312"/>
          <w:szCs w:val="21"/>
        </w:rPr>
        <w:t>文件要求填写并进行逐项响应。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w:t>
      </w:r>
      <w:r>
        <w:rPr>
          <w:rFonts w:hint="eastAsia" w:ascii="仿宋_GB2312" w:hAnsi="仿宋_GB2312" w:eastAsia="仿宋_GB2312" w:cs="仿宋_GB2312"/>
          <w:szCs w:val="21"/>
          <w:lang w:eastAsia="zh-CN"/>
        </w:rPr>
        <w:t>响应</w:t>
      </w:r>
      <w:r>
        <w:rPr>
          <w:rFonts w:hint="eastAsia" w:ascii="仿宋_GB2312" w:hAnsi="仿宋_GB2312" w:eastAsia="仿宋_GB2312" w:cs="仿宋_GB2312"/>
          <w:szCs w:val="21"/>
        </w:rPr>
        <w:t>文件响应内容”与</w:t>
      </w:r>
      <w:r>
        <w:rPr>
          <w:rFonts w:hint="eastAsia" w:ascii="仿宋_GB2312" w:hAnsi="仿宋_GB2312" w:eastAsia="仿宋_GB2312" w:cs="仿宋_GB2312"/>
          <w:szCs w:val="21"/>
          <w:lang w:eastAsia="zh-CN"/>
        </w:rPr>
        <w:t>采购</w:t>
      </w:r>
      <w:r>
        <w:rPr>
          <w:rFonts w:hint="eastAsia" w:ascii="仿宋_GB2312" w:hAnsi="仿宋_GB2312" w:eastAsia="仿宋_GB2312" w:cs="仿宋_GB2312"/>
          <w:szCs w:val="21"/>
        </w:rPr>
        <w:t>文件逐项对照的结果填写。偏离必须用 “正偏离、负偏离或无偏离”三个名称中的一种进行标注。</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3．“偏离说明”一栏由</w:t>
      </w:r>
      <w:r>
        <w:rPr>
          <w:rFonts w:hint="eastAsia" w:ascii="仿宋_GB2312" w:hAnsi="仿宋_GB2312" w:eastAsia="仿宋_GB2312" w:cs="仿宋_GB2312"/>
          <w:szCs w:val="21"/>
          <w:lang w:eastAsia="zh-CN"/>
        </w:rPr>
        <w:t>供应商</w:t>
      </w:r>
      <w:r>
        <w:rPr>
          <w:rFonts w:hint="eastAsia" w:ascii="仿宋_GB2312" w:hAnsi="仿宋_GB2312" w:eastAsia="仿宋_GB2312" w:cs="仿宋_GB2312"/>
          <w:szCs w:val="21"/>
        </w:rPr>
        <w:t>对偏离的情况做详细说明。</w:t>
      </w:r>
    </w:p>
    <w:p>
      <w:pPr>
        <w:adjustRightInd w:val="0"/>
        <w:snapToGrid w:val="0"/>
        <w:spacing w:line="360" w:lineRule="auto"/>
        <w:rPr>
          <w:rFonts w:hint="eastAsia" w:ascii="仿宋_GB2312" w:hAnsi="仿宋_GB2312" w:eastAsia="仿宋_GB2312" w:cs="仿宋_GB2312"/>
          <w:szCs w:val="21"/>
        </w:rPr>
      </w:pPr>
    </w:p>
    <w:p>
      <w:pPr>
        <w:adjustRightInd w:val="0"/>
        <w:snapToGrid w:val="0"/>
        <w:spacing w:line="360" w:lineRule="auto"/>
        <w:rPr>
          <w:rFonts w:hint="eastAsia" w:ascii="仿宋_GB2312" w:hAnsi="仿宋_GB2312" w:eastAsia="仿宋_GB2312" w:cs="仿宋_GB2312"/>
          <w:szCs w:val="21"/>
        </w:rPr>
      </w:pP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lang w:eastAsia="zh-CN"/>
        </w:rPr>
        <w:t>供应商</w:t>
      </w:r>
      <w:r>
        <w:rPr>
          <w:rFonts w:hint="eastAsia" w:ascii="仿宋_GB2312" w:hAnsi="仿宋_GB2312" w:eastAsia="仿宋_GB2312" w:cs="仿宋_GB2312"/>
        </w:rPr>
        <w:t>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其授权委托人(签字或盖章)：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hint="eastAsia" w:ascii="仿宋_GB2312" w:hAnsi="仿宋_GB2312" w:eastAsia="仿宋_GB2312" w:cs="仿宋_GB2312"/>
          <w:szCs w:val="21"/>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u w:val="single"/>
        </w:rPr>
        <w:t xml:space="preserve"> </w:t>
      </w:r>
    </w:p>
    <w:p>
      <w:pPr>
        <w:keepNext/>
        <w:keepLines/>
        <w:pageBreakBefore w:val="0"/>
        <w:widowControl w:val="0"/>
        <w:kinsoku/>
        <w:wordWrap/>
        <w:overflowPunct/>
        <w:topLinePunct w:val="0"/>
        <w:autoSpaceDE/>
        <w:autoSpaceDN/>
        <w:bidi w:val="0"/>
        <w:adjustRightInd w:val="0"/>
        <w:snapToGrid w:val="0"/>
        <w:spacing w:line="360" w:lineRule="auto"/>
        <w:ind w:right="105" w:rightChars="50"/>
        <w:jc w:val="left"/>
        <w:textAlignment w:val="auto"/>
        <w:outlineLvl w:val="1"/>
        <w:rPr>
          <w:rFonts w:hint="eastAsia" w:ascii="仿宋_GB2312" w:hAnsi="仿宋_GB2312" w:eastAsia="仿宋_GB2312" w:cs="仿宋_GB2312"/>
          <w:b/>
          <w:sz w:val="28"/>
          <w:szCs w:val="28"/>
        </w:rPr>
      </w:pPr>
      <w:bookmarkStart w:id="63" w:name="_Toc4485637"/>
      <w:bookmarkStart w:id="64" w:name="_Toc533340161"/>
    </w:p>
    <w:p>
      <w:pPr>
        <w:adjustRightInd w:val="0"/>
        <w:snapToGrid w:val="0"/>
        <w:spacing w:line="360" w:lineRule="auto"/>
        <w:ind w:right="105" w:rightChars="50"/>
        <w:jc w:val="left"/>
        <w:outlineLvl w:val="1"/>
        <w:rPr>
          <w:rFonts w:hint="eastAsia" w:ascii="仿宋_GB2312" w:hAnsi="仿宋_GB2312" w:eastAsia="仿宋_GB2312" w:cs="仿宋_GB2312"/>
          <w:b/>
          <w:sz w:val="28"/>
          <w:szCs w:val="28"/>
        </w:rPr>
        <w:sectPr>
          <w:pgSz w:w="16838" w:h="11906" w:orient="landscape"/>
          <w:pgMar w:top="1803" w:right="1440" w:bottom="1803" w:left="1440" w:header="851" w:footer="992" w:gutter="0"/>
          <w:cols w:space="720" w:num="1"/>
          <w:docGrid w:type="lines" w:linePitch="319" w:charSpace="0"/>
        </w:sectPr>
      </w:pPr>
    </w:p>
    <w:p>
      <w:pPr>
        <w:keepNext/>
        <w:keepLines/>
        <w:pageBreakBefore w:val="0"/>
        <w:widowControl w:val="0"/>
        <w:kinsoku/>
        <w:wordWrap/>
        <w:overflowPunct/>
        <w:topLinePunct w:val="0"/>
        <w:autoSpaceDE/>
        <w:autoSpaceDN/>
        <w:bidi w:val="0"/>
        <w:adjustRightInd w:val="0"/>
        <w:snapToGrid w:val="0"/>
        <w:spacing w:line="240" w:lineRule="auto"/>
        <w:ind w:right="105" w:rightChars="50"/>
        <w:jc w:val="left"/>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格式14</w:t>
      </w:r>
    </w:p>
    <w:p>
      <w:pPr>
        <w:adjustRightInd w:val="0"/>
        <w:snapToGrid w:val="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商务条款偏离表</w:t>
      </w:r>
    </w:p>
    <w:p>
      <w:pPr>
        <w:adjustRightInd w:val="0"/>
        <w:snapToGrid w:val="0"/>
        <w:spacing w:line="360" w:lineRule="auto"/>
        <w:ind w:right="105" w:rightChars="50"/>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包号：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3517"/>
        <w:gridCol w:w="2357"/>
        <w:gridCol w:w="1006"/>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513" w:type="dxa"/>
            <w:noWrap w:val="0"/>
            <w:vAlign w:val="center"/>
          </w:tcPr>
          <w:p>
            <w:pPr>
              <w:adjustRightInd w:val="0"/>
              <w:snapToGrid w:val="0"/>
              <w:ind w:right="-48" w:rightChars="-23"/>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3517" w:type="dxa"/>
            <w:noWrap w:val="0"/>
            <w:vAlign w:val="center"/>
          </w:tcPr>
          <w:p>
            <w:pPr>
              <w:adjustRightInd w:val="0"/>
              <w:snapToGrid w:val="0"/>
              <w:ind w:right="-73" w:rightChars="-35"/>
              <w:jc w:val="center"/>
              <w:rPr>
                <w:rFonts w:hint="eastAsia" w:ascii="仿宋_GB2312" w:hAnsi="仿宋_GB2312" w:eastAsia="仿宋_GB2312" w:cs="仿宋_GB2312"/>
                <w:szCs w:val="21"/>
              </w:rPr>
            </w:pPr>
            <w:r>
              <w:rPr>
                <w:rFonts w:hint="eastAsia" w:ascii="仿宋_GB2312" w:hAnsi="仿宋_GB2312" w:eastAsia="仿宋_GB2312" w:cs="仿宋_GB2312"/>
                <w:szCs w:val="21"/>
              </w:rPr>
              <w:t>采购文件的商务条款</w:t>
            </w:r>
          </w:p>
          <w:p>
            <w:pPr>
              <w:adjustRightInd w:val="0"/>
              <w:snapToGrid w:val="0"/>
              <w:ind w:right="-73" w:rightChars="-35"/>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sz w:val="18"/>
                <w:szCs w:val="18"/>
              </w:rPr>
              <w:t>实质性要求及重要指标用★标注，★标注项不得负偏离，如果负偏离，则响应文件无效。</w:t>
            </w:r>
            <w:r>
              <w:rPr>
                <w:rFonts w:hint="eastAsia" w:ascii="仿宋_GB2312" w:hAnsi="仿宋_GB2312" w:eastAsia="仿宋_GB2312" w:cs="仿宋_GB2312"/>
                <w:szCs w:val="21"/>
              </w:rPr>
              <w:t>）</w:t>
            </w:r>
          </w:p>
        </w:tc>
        <w:tc>
          <w:tcPr>
            <w:tcW w:w="2357" w:type="dxa"/>
            <w:noWrap w:val="0"/>
            <w:vAlign w:val="center"/>
          </w:tcPr>
          <w:p>
            <w:pPr>
              <w:adjustRightInd w:val="0"/>
              <w:snapToGrid w:val="0"/>
              <w:ind w:right="-107" w:rightChars="-51"/>
              <w:jc w:val="center"/>
              <w:rPr>
                <w:rFonts w:hint="eastAsia" w:ascii="仿宋_GB2312" w:hAnsi="仿宋_GB2312" w:eastAsia="仿宋_GB2312" w:cs="仿宋_GB2312"/>
                <w:szCs w:val="21"/>
              </w:rPr>
            </w:pPr>
            <w:r>
              <w:rPr>
                <w:rFonts w:hint="eastAsia" w:ascii="仿宋_GB2312" w:hAnsi="仿宋_GB2312" w:eastAsia="仿宋_GB2312" w:cs="仿宋_GB2312"/>
                <w:szCs w:val="21"/>
              </w:rPr>
              <w:t>响应文件响应内容</w:t>
            </w:r>
          </w:p>
        </w:tc>
        <w:tc>
          <w:tcPr>
            <w:tcW w:w="1006" w:type="dxa"/>
            <w:noWrap w:val="0"/>
            <w:vAlign w:val="center"/>
          </w:tcPr>
          <w:p>
            <w:pPr>
              <w:adjustRightInd w:val="0"/>
              <w:snapToGrid w:val="0"/>
              <w:ind w:right="-107" w:rightChars="-51"/>
              <w:jc w:val="center"/>
              <w:rPr>
                <w:rFonts w:hint="eastAsia" w:ascii="仿宋_GB2312" w:hAnsi="仿宋_GB2312" w:eastAsia="仿宋_GB2312" w:cs="仿宋_GB2312"/>
                <w:szCs w:val="21"/>
              </w:rPr>
            </w:pPr>
            <w:r>
              <w:rPr>
                <w:rFonts w:hint="eastAsia" w:ascii="仿宋_GB2312" w:hAnsi="仿宋_GB2312" w:eastAsia="仿宋_GB2312" w:cs="仿宋_GB2312"/>
                <w:szCs w:val="21"/>
              </w:rPr>
              <w:t>偏离程度</w:t>
            </w:r>
          </w:p>
        </w:tc>
        <w:tc>
          <w:tcPr>
            <w:tcW w:w="1100" w:type="dxa"/>
            <w:noWrap w:val="0"/>
            <w:vAlign w:val="center"/>
          </w:tcPr>
          <w:p>
            <w:pPr>
              <w:adjustRightInd w:val="0"/>
              <w:snapToGrid w:val="0"/>
              <w:ind w:right="-107" w:rightChars="-51"/>
              <w:jc w:val="center"/>
              <w:rPr>
                <w:rFonts w:hint="eastAsia" w:ascii="仿宋_GB2312" w:hAnsi="仿宋_GB2312" w:eastAsia="仿宋_GB2312" w:cs="仿宋_GB2312"/>
                <w:szCs w:val="21"/>
              </w:rPr>
            </w:pPr>
            <w:r>
              <w:rPr>
                <w:rFonts w:hint="eastAsia" w:ascii="仿宋_GB2312" w:hAnsi="仿宋_GB2312" w:eastAsia="仿宋_GB2312" w:cs="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13"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c>
          <w:tcPr>
            <w:tcW w:w="3517" w:type="dxa"/>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rPr>
              <w:t>履约期限：2022年7月1日至2023年6月30日止</w:t>
            </w:r>
          </w:p>
        </w:tc>
        <w:tc>
          <w:tcPr>
            <w:tcW w:w="2357"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c>
          <w:tcPr>
            <w:tcW w:w="1006"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c>
          <w:tcPr>
            <w:tcW w:w="1100"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13"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c>
          <w:tcPr>
            <w:tcW w:w="3517" w:type="dxa"/>
            <w:noWrap w:val="0"/>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rPr>
              <w:t>履约地点：营口市站前区市府路北21号、营口市辽河大街东98甲</w:t>
            </w:r>
          </w:p>
        </w:tc>
        <w:tc>
          <w:tcPr>
            <w:tcW w:w="2357"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c>
          <w:tcPr>
            <w:tcW w:w="1006"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c>
          <w:tcPr>
            <w:tcW w:w="1100"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13"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c>
          <w:tcPr>
            <w:tcW w:w="3517" w:type="dxa"/>
            <w:noWrap w:val="0"/>
            <w:vAlign w:val="center"/>
          </w:tcPr>
          <w:p>
            <w:pPr>
              <w:adjustRightInd w:val="0"/>
              <w:snapToGrid w:val="0"/>
              <w:rPr>
                <w:rFonts w:hint="default" w:ascii="仿宋_GB2312" w:hAnsi="仿宋_GB2312" w:eastAsia="仿宋_GB2312" w:cs="仿宋_GB2312"/>
                <w:szCs w:val="21"/>
                <w:lang w:val="en-US" w:eastAsia="zh-CN"/>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highlight w:val="none"/>
              </w:rPr>
              <w:t>付款方式及条件：</w:t>
            </w:r>
            <w:r>
              <w:rPr>
                <w:rFonts w:hint="eastAsia" w:ascii="仿宋_GB2312" w:hAnsi="仿宋_GB2312" w:eastAsia="仿宋_GB2312" w:cs="仿宋_GB2312"/>
                <w:szCs w:val="21"/>
                <w:highlight w:val="none"/>
                <w:lang w:eastAsia="zh-CN"/>
              </w:rPr>
              <w:t>月结，每月</w:t>
            </w:r>
            <w:r>
              <w:rPr>
                <w:rFonts w:hint="eastAsia" w:ascii="仿宋_GB2312" w:hAnsi="仿宋_GB2312" w:eastAsia="仿宋_GB2312" w:cs="仿宋_GB2312"/>
                <w:szCs w:val="21"/>
                <w:highlight w:val="none"/>
                <w:lang w:val="en-US" w:eastAsia="zh-CN"/>
              </w:rPr>
              <w:t xml:space="preserve">20日结账。 </w:t>
            </w:r>
          </w:p>
        </w:tc>
        <w:tc>
          <w:tcPr>
            <w:tcW w:w="2357"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c>
          <w:tcPr>
            <w:tcW w:w="1006"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c>
          <w:tcPr>
            <w:tcW w:w="1100"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13"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c>
          <w:tcPr>
            <w:tcW w:w="3517" w:type="dxa"/>
            <w:noWrap w:val="0"/>
            <w:vAlign w:val="center"/>
          </w:tcPr>
          <w:p>
            <w:pPr>
              <w:adjustRightInd w:val="0"/>
              <w:snapToGrid w:val="0"/>
              <w:ind w:hanging="1"/>
              <w:rPr>
                <w:rFonts w:hint="eastAsia" w:ascii="仿宋_GB2312" w:hAnsi="仿宋_GB2312" w:eastAsia="仿宋_GB2312" w:cs="仿宋_GB2312"/>
                <w:szCs w:val="21"/>
              </w:rPr>
            </w:pPr>
            <w:r>
              <w:rPr>
                <w:rFonts w:hint="eastAsia" w:ascii="仿宋_GB2312" w:hAnsi="仿宋_GB2312" w:eastAsia="仿宋_GB2312" w:cs="仿宋_GB2312"/>
                <w:szCs w:val="21"/>
              </w:rPr>
              <w:t>其它</w:t>
            </w:r>
          </w:p>
        </w:tc>
        <w:tc>
          <w:tcPr>
            <w:tcW w:w="2357" w:type="dxa"/>
            <w:noWrap w:val="0"/>
            <w:vAlign w:val="center"/>
          </w:tcPr>
          <w:p>
            <w:pPr>
              <w:adjustRightInd w:val="0"/>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采购单位未提供需求而供应商认为需说明及补充的内容在此填列</w:t>
            </w:r>
          </w:p>
        </w:tc>
        <w:tc>
          <w:tcPr>
            <w:tcW w:w="1006"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c>
          <w:tcPr>
            <w:tcW w:w="1100" w:type="dxa"/>
            <w:noWrap w:val="0"/>
            <w:vAlign w:val="center"/>
          </w:tcPr>
          <w:p>
            <w:pPr>
              <w:adjustRightInd w:val="0"/>
              <w:snapToGrid w:val="0"/>
              <w:ind w:right="105" w:rightChars="50"/>
              <w:jc w:val="center"/>
              <w:rPr>
                <w:rFonts w:hint="eastAsia" w:ascii="仿宋_GB2312" w:hAnsi="仿宋_GB2312" w:eastAsia="仿宋_GB2312" w:cs="仿宋_GB2312"/>
                <w:szCs w:val="21"/>
              </w:rPr>
            </w:pPr>
          </w:p>
        </w:tc>
      </w:tr>
    </w:tbl>
    <w:p>
      <w:pPr>
        <w:adjustRightInd w:val="0"/>
        <w:snapToGrid w:val="0"/>
        <w:spacing w:line="360" w:lineRule="auto"/>
        <w:ind w:right="105" w:rightChars="50"/>
        <w:jc w:val="left"/>
        <w:rPr>
          <w:rFonts w:hint="eastAsia" w:ascii="仿宋_GB2312" w:hAnsi="仿宋_GB2312" w:eastAsia="仿宋_GB2312" w:cs="仿宋_GB2312"/>
          <w:szCs w:val="21"/>
        </w:rPr>
      </w:pPr>
      <w:r>
        <w:rPr>
          <w:rFonts w:hint="eastAsia" w:ascii="仿宋_GB2312" w:hAnsi="仿宋_GB2312" w:eastAsia="仿宋_GB2312" w:cs="仿宋_GB2312"/>
          <w:b/>
          <w:szCs w:val="21"/>
        </w:rPr>
        <w:t>填表说明：</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1．“响应文件响应内容”一栏由供应商填写。</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2．“偏离程度”一栏根据“响应文件响应内容”与采购文件逐项对照的结果填写。偏离必须用 “正偏离、负偏离或无偏离”三个名称中的一种进行标注。</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3．“偏离说明”一栏由供应商对偏离的情况做详细说明。</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480" w:lineRule="auto"/>
        <w:ind w:right="105" w:rightChars="50"/>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供应商名称(加盖单位公章):</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法定代表人（或非法人组织负责人）或其授权委托人</w:t>
      </w:r>
      <w:r>
        <w:rPr>
          <w:rFonts w:hint="eastAsia" w:ascii="仿宋_GB2312" w:hAnsi="仿宋_GB2312" w:eastAsia="仿宋_GB2312" w:cs="仿宋_GB2312"/>
        </w:rPr>
        <w:t>(签字或盖章)</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w:t>
      </w:r>
    </w:p>
    <w:p>
      <w:pPr>
        <w:keepNext/>
        <w:keepLines/>
        <w:pageBreakBefore w:val="0"/>
        <w:widowControl w:val="0"/>
        <w:kinsoku/>
        <w:wordWrap/>
        <w:overflowPunct/>
        <w:topLinePunct w:val="0"/>
        <w:autoSpaceDE/>
        <w:autoSpaceDN/>
        <w:bidi w:val="0"/>
        <w:adjustRightInd w:val="0"/>
        <w:snapToGrid w:val="0"/>
        <w:spacing w:line="480" w:lineRule="auto"/>
        <w:ind w:right="105" w:rightChars="50"/>
        <w:jc w:val="left"/>
        <w:textAlignment w:val="auto"/>
        <w:rPr>
          <w:rFonts w:hint="eastAsia" w:ascii="仿宋_GB2312" w:hAnsi="仿宋_GB2312" w:eastAsia="仿宋_GB2312" w:cs="仿宋_GB2312"/>
          <w:szCs w:val="21"/>
          <w:u w:val="single"/>
        </w:rPr>
      </w:pPr>
    </w:p>
    <w:p>
      <w:pPr>
        <w:adjustRightInd w:val="0"/>
        <w:snapToGrid w:val="0"/>
        <w:spacing w:line="360" w:lineRule="auto"/>
        <w:ind w:right="105" w:rightChars="50"/>
        <w:jc w:val="left"/>
        <w:outlineLvl w:val="1"/>
        <w:rPr>
          <w:rFonts w:hint="eastAsia" w:ascii="仿宋_GB2312" w:hAnsi="仿宋_GB2312" w:eastAsia="仿宋_GB2312" w:cs="仿宋_GB2312"/>
          <w:b/>
          <w:sz w:val="28"/>
          <w:szCs w:val="28"/>
        </w:rPr>
        <w:sectPr>
          <w:pgSz w:w="11906" w:h="16838"/>
          <w:pgMar w:top="1440" w:right="1803" w:bottom="1440" w:left="1803" w:header="851" w:footer="992" w:gutter="0"/>
          <w:cols w:space="720" w:num="1"/>
          <w:docGrid w:type="lines" w:linePitch="319" w:charSpace="0"/>
        </w:sectPr>
      </w:pPr>
    </w:p>
    <w:bookmarkEnd w:id="63"/>
    <w:bookmarkEnd w:id="64"/>
    <w:p>
      <w:pPr>
        <w:keepNext/>
        <w:keepLines/>
        <w:pageBreakBefore w:val="0"/>
        <w:widowControl w:val="0"/>
        <w:kinsoku/>
        <w:wordWrap w:val="0"/>
        <w:overflowPunct/>
        <w:topLinePunct w:val="0"/>
        <w:autoSpaceDE/>
        <w:autoSpaceDN/>
        <w:bidi w:val="0"/>
        <w:adjustRightInd w:val="0"/>
        <w:snapToGrid w:val="0"/>
        <w:spacing w:line="240" w:lineRule="auto"/>
        <w:ind w:right="105" w:rightChars="50"/>
        <w:textAlignment w:val="auto"/>
        <w:outlineLvl w:val="1"/>
        <w:rPr>
          <w:rFonts w:hint="eastAsia" w:ascii="仿宋_GB2312" w:hAnsi="仿宋_GB2312" w:eastAsia="仿宋_GB2312" w:cs="仿宋_GB2312"/>
          <w:b/>
          <w:bCs/>
          <w:sz w:val="28"/>
          <w:szCs w:val="28"/>
        </w:rPr>
      </w:pPr>
      <w:bookmarkStart w:id="65" w:name="_Toc4485638"/>
      <w:bookmarkStart w:id="66" w:name="_Toc533340162"/>
      <w:r>
        <w:rPr>
          <w:rFonts w:hint="eastAsia" w:ascii="仿宋_GB2312" w:hAnsi="仿宋_GB2312" w:eastAsia="仿宋_GB2312" w:cs="仿宋_GB2312"/>
          <w:b/>
          <w:bCs/>
          <w:sz w:val="28"/>
          <w:szCs w:val="28"/>
        </w:rPr>
        <w:t>格式1</w:t>
      </w:r>
      <w:bookmarkEnd w:id="65"/>
      <w:bookmarkEnd w:id="66"/>
      <w:r>
        <w:rPr>
          <w:rFonts w:hint="eastAsia" w:ascii="仿宋_GB2312" w:hAnsi="仿宋_GB2312" w:eastAsia="仿宋_GB2312" w:cs="仿宋_GB2312"/>
          <w:b/>
          <w:bCs/>
          <w:sz w:val="28"/>
          <w:szCs w:val="28"/>
        </w:rPr>
        <w:t>5</w:t>
      </w:r>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供应商关联单位的说明</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说明：供应商应当如实披露与本单位存在下列关联关系的单位名称：</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（1）与供应商单位法定代表人（或非法人组织负责人）为同一人的其他单位；</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（2）与供应商存在直接控股、管理关系的其他单位。</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9" w:firstLineChars="227"/>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注：</w:t>
      </w:r>
      <w:r>
        <w:rPr>
          <w:rFonts w:hint="eastAsia" w:ascii="仿宋_GB2312" w:hAnsi="仿宋_GB2312" w:eastAsia="仿宋_GB2312" w:cs="仿宋_GB2312"/>
          <w:b/>
          <w:bCs/>
          <w:szCs w:val="21"/>
          <w:lang w:val="en-US" w:eastAsia="zh-CN"/>
        </w:rPr>
        <w:t>1.此说明必须提供，未提供视为无效投标；</w:t>
      </w:r>
    </w:p>
    <w:p>
      <w:pPr>
        <w:adjustRightInd w:val="0"/>
        <w:snapToGrid w:val="0"/>
        <w:spacing w:line="360" w:lineRule="auto"/>
        <w:ind w:right="105" w:rightChars="50" w:firstLine="898" w:firstLineChars="426"/>
        <w:jc w:val="left"/>
        <w:rPr>
          <w:rFonts w:hint="eastAsia" w:ascii="仿宋_GB2312" w:hAnsi="仿宋_GB2312" w:eastAsia="仿宋_GB2312" w:cs="仿宋_GB2312"/>
          <w:b/>
          <w:bCs/>
          <w:szCs w:val="21"/>
          <w:lang w:eastAsia="zh-CN"/>
        </w:rPr>
      </w:pPr>
      <w:r>
        <w:rPr>
          <w:rFonts w:hint="eastAsia" w:ascii="仿宋_GB2312" w:hAnsi="仿宋_GB2312" w:eastAsia="仿宋_GB2312" w:cs="仿宋_GB2312"/>
          <w:b/>
          <w:bCs/>
          <w:szCs w:val="21"/>
          <w:lang w:val="en-US" w:eastAsia="zh-CN"/>
        </w:rPr>
        <w:t>2.</w:t>
      </w:r>
      <w:r>
        <w:rPr>
          <w:rFonts w:hint="eastAsia" w:ascii="仿宋_GB2312" w:hAnsi="仿宋_GB2312" w:eastAsia="仿宋_GB2312" w:cs="仿宋_GB2312"/>
          <w:b/>
          <w:bCs/>
          <w:szCs w:val="21"/>
        </w:rPr>
        <w:t>若无此情形，写“无”即可</w:t>
      </w:r>
      <w:r>
        <w:rPr>
          <w:rFonts w:hint="eastAsia" w:ascii="仿宋_GB2312" w:hAnsi="仿宋_GB2312" w:eastAsia="仿宋_GB2312" w:cs="仿宋_GB2312"/>
          <w:b/>
          <w:bCs/>
          <w:szCs w:val="21"/>
          <w:lang w:eastAsia="zh-CN"/>
        </w:rPr>
        <w:t>。</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480" w:lineRule="auto"/>
        <w:ind w:right="105" w:rightChars="50"/>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供应商名称(加盖单位公章):</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法定代表人（或非法人组织负责人）或其授权委托人</w:t>
      </w:r>
      <w:r>
        <w:rPr>
          <w:rFonts w:hint="eastAsia" w:ascii="仿宋_GB2312" w:hAnsi="仿宋_GB2312" w:eastAsia="仿宋_GB2312" w:cs="仿宋_GB2312"/>
        </w:rPr>
        <w:t>(签字或盖章)</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hint="eastAsia" w:ascii="仿宋_GB2312" w:hAnsi="仿宋_GB2312" w:eastAsia="仿宋_GB2312" w:cs="仿宋_GB2312"/>
          <w:szCs w:val="21"/>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w:t>
      </w:r>
    </w:p>
    <w:p>
      <w:pPr>
        <w:keepNext/>
        <w:keepLines/>
        <w:pageBreakBefore w:val="0"/>
        <w:widowControl w:val="0"/>
        <w:kinsoku/>
        <w:wordWrap/>
        <w:overflowPunct/>
        <w:topLinePunct w:val="0"/>
        <w:autoSpaceDE/>
        <w:autoSpaceDN/>
        <w:bidi w:val="0"/>
        <w:adjustRightInd/>
        <w:snapToGrid/>
        <w:spacing w:line="360" w:lineRule="auto"/>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szCs w:val="21"/>
          <w:u w:val="single"/>
        </w:rPr>
        <w:br w:type="page"/>
      </w:r>
      <w:bookmarkStart w:id="67" w:name="_Toc4485640"/>
      <w:bookmarkStart w:id="68" w:name="_Toc533340164"/>
      <w:r>
        <w:rPr>
          <w:rFonts w:hint="eastAsia" w:ascii="仿宋_GB2312" w:hAnsi="仿宋_GB2312" w:eastAsia="仿宋_GB2312" w:cs="仿宋_GB2312"/>
          <w:b/>
          <w:bCs/>
          <w:sz w:val="28"/>
          <w:szCs w:val="28"/>
        </w:rPr>
        <w:t>格式1</w:t>
      </w:r>
      <w:bookmarkEnd w:id="67"/>
      <w:bookmarkEnd w:id="68"/>
      <w:r>
        <w:rPr>
          <w:rFonts w:hint="eastAsia" w:ascii="仿宋_GB2312" w:hAnsi="仿宋_GB2312" w:eastAsia="仿宋_GB2312" w:cs="仿宋_GB2312"/>
          <w:b/>
          <w:bCs/>
          <w:sz w:val="28"/>
          <w:szCs w:val="28"/>
        </w:rPr>
        <w:t>6</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color w:val="auto"/>
          <w:sz w:val="32"/>
          <w:szCs w:val="32"/>
        </w:rPr>
      </w:pPr>
      <w:bookmarkStart w:id="69" w:name="_Toc19164_WPSOffice_Level2"/>
      <w:bookmarkStart w:id="70" w:name="_Toc4541_WPSOffice_Level2"/>
      <w:r>
        <w:rPr>
          <w:rFonts w:hint="eastAsia" w:ascii="仿宋_GB2312" w:hAnsi="仿宋_GB2312" w:eastAsia="仿宋_GB2312" w:cs="仿宋_GB2312"/>
          <w:b/>
          <w:bCs/>
          <w:color w:val="auto"/>
          <w:sz w:val="32"/>
          <w:szCs w:val="32"/>
        </w:rPr>
        <w:t>中小企业声明函</w:t>
      </w:r>
      <w:bookmarkEnd w:id="69"/>
      <w:bookmarkEnd w:id="7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本公司（联合体）郑重声明，根据《政府采购促进中小企业发展管理办法》（财库﹝2020﹞46 号）的规定，本公司</w:t>
      </w:r>
      <w:r>
        <w:rPr>
          <w:rFonts w:hint="eastAsia" w:ascii="仿宋_GB2312" w:hAnsi="仿宋_GB2312" w:eastAsia="仿宋_GB2312" w:cs="仿宋_GB2312"/>
          <w:color w:val="auto"/>
          <w:sz w:val="21"/>
          <w:szCs w:val="21"/>
          <w:u w:val="none"/>
          <w:lang w:val="en-US" w:eastAsia="zh-CN"/>
        </w:rPr>
        <w:t>（联合体）</w:t>
      </w:r>
      <w:r>
        <w:rPr>
          <w:rFonts w:hint="eastAsia" w:ascii="仿宋_GB2312" w:hAnsi="仿宋_GB2312" w:eastAsia="仿宋_GB2312" w:cs="仿宋_GB2312"/>
          <w:color w:val="auto"/>
          <w:sz w:val="21"/>
          <w:szCs w:val="21"/>
          <w:lang w:val="en-US" w:eastAsia="zh-CN"/>
        </w:rPr>
        <w:t>参加</w:t>
      </w:r>
      <w:r>
        <w:rPr>
          <w:rFonts w:hint="eastAsia" w:ascii="仿宋_GB2312" w:hAnsi="仿宋_GB2312" w:eastAsia="仿宋_GB2312" w:cs="仿宋_GB2312"/>
          <w:color w:val="auto"/>
          <w:sz w:val="21"/>
          <w:szCs w:val="21"/>
          <w:u w:val="single"/>
          <w:lang w:val="en-US" w:eastAsia="zh-CN"/>
        </w:rPr>
        <w:t>（单位名称）</w:t>
      </w:r>
      <w:r>
        <w:rPr>
          <w:rFonts w:hint="eastAsia" w:ascii="仿宋_GB2312" w:hAnsi="仿宋_GB2312" w:eastAsia="仿宋_GB2312" w:cs="仿宋_GB2312"/>
          <w:color w:val="auto"/>
          <w:sz w:val="21"/>
          <w:szCs w:val="21"/>
          <w:lang w:val="en-US" w:eastAsia="zh-CN"/>
        </w:rPr>
        <w:t>的</w:t>
      </w:r>
      <w:r>
        <w:rPr>
          <w:rFonts w:hint="eastAsia" w:ascii="仿宋_GB2312" w:hAnsi="仿宋_GB2312" w:eastAsia="仿宋_GB2312" w:cs="仿宋_GB2312"/>
          <w:color w:val="auto"/>
          <w:sz w:val="21"/>
          <w:szCs w:val="21"/>
          <w:u w:val="single"/>
          <w:lang w:val="en-US" w:eastAsia="zh-CN"/>
        </w:rPr>
        <w:t>（项目名称）</w:t>
      </w:r>
      <w:r>
        <w:rPr>
          <w:rFonts w:hint="eastAsia" w:ascii="仿宋_GB2312" w:hAnsi="仿宋_GB2312" w:eastAsia="仿宋_GB2312" w:cs="仿宋_GB2312"/>
          <w:color w:val="auto"/>
          <w:sz w:val="21"/>
          <w:szCs w:val="21"/>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  1.</w:t>
      </w:r>
      <w:r>
        <w:rPr>
          <w:rFonts w:hint="eastAsia" w:ascii="仿宋_GB2312" w:hAnsi="仿宋_GB2312" w:eastAsia="仿宋_GB2312" w:cs="仿宋_GB2312"/>
          <w:color w:val="auto"/>
          <w:sz w:val="21"/>
          <w:szCs w:val="21"/>
          <w:u w:val="single"/>
          <w:lang w:val="en-US" w:eastAsia="zh-CN"/>
        </w:rPr>
        <w:t>（标的名称）</w:t>
      </w:r>
      <w:r>
        <w:rPr>
          <w:rFonts w:hint="eastAsia" w:ascii="仿宋_GB2312" w:hAnsi="仿宋_GB2312" w:eastAsia="仿宋_GB2312" w:cs="仿宋_GB2312"/>
          <w:color w:val="auto"/>
          <w:sz w:val="21"/>
          <w:szCs w:val="21"/>
          <w:lang w:val="en-US" w:eastAsia="zh-CN"/>
        </w:rPr>
        <w:t>，属于</w:t>
      </w:r>
      <w:r>
        <w:rPr>
          <w:rFonts w:hint="eastAsia" w:ascii="仿宋_GB2312" w:hAnsi="仿宋_GB2312" w:eastAsia="仿宋_GB2312" w:cs="仿宋_GB2312"/>
          <w:color w:val="auto"/>
          <w:sz w:val="21"/>
          <w:szCs w:val="21"/>
          <w:u w:val="single"/>
          <w:lang w:val="en-US" w:eastAsia="zh-CN"/>
        </w:rPr>
        <w:t>（采购文件中明确的所属行业）</w:t>
      </w:r>
      <w:r>
        <w:rPr>
          <w:rFonts w:hint="eastAsia" w:ascii="仿宋_GB2312" w:hAnsi="仿宋_GB2312" w:eastAsia="仿宋_GB2312" w:cs="仿宋_GB2312"/>
          <w:color w:val="auto"/>
          <w:sz w:val="21"/>
          <w:szCs w:val="21"/>
          <w:lang w:val="en-US" w:eastAsia="zh-CN"/>
        </w:rPr>
        <w:t>；承建（承接）企业为</w:t>
      </w:r>
      <w:r>
        <w:rPr>
          <w:rFonts w:hint="eastAsia" w:ascii="仿宋_GB2312" w:hAnsi="仿宋_GB2312" w:eastAsia="仿宋_GB2312" w:cs="仿宋_GB2312"/>
          <w:color w:val="auto"/>
          <w:sz w:val="21"/>
          <w:szCs w:val="21"/>
          <w:u w:val="single"/>
          <w:lang w:val="en-US" w:eastAsia="zh-CN"/>
        </w:rPr>
        <w:t>（企业名称）</w:t>
      </w:r>
      <w:r>
        <w:rPr>
          <w:rFonts w:hint="eastAsia" w:ascii="仿宋_GB2312" w:hAnsi="仿宋_GB2312" w:eastAsia="仿宋_GB2312" w:cs="仿宋_GB2312"/>
          <w:color w:val="auto"/>
          <w:sz w:val="21"/>
          <w:szCs w:val="21"/>
          <w:lang w:val="en-US" w:eastAsia="zh-CN"/>
        </w:rPr>
        <w:t>，从业人员</w:t>
      </w:r>
      <w:r>
        <w:rPr>
          <w:rFonts w:hint="eastAsia" w:ascii="仿宋_GB2312" w:hAnsi="仿宋_GB2312" w:eastAsia="仿宋_GB2312" w:cs="仿宋_GB2312"/>
          <w:color w:val="auto"/>
          <w:sz w:val="21"/>
          <w:szCs w:val="21"/>
          <w:u w:val="single"/>
          <w:lang w:val="en-US" w:eastAsia="zh-CN"/>
        </w:rPr>
        <w:t>     </w:t>
      </w:r>
      <w:r>
        <w:rPr>
          <w:rFonts w:hint="eastAsia" w:ascii="仿宋_GB2312" w:hAnsi="仿宋_GB2312" w:eastAsia="仿宋_GB2312" w:cs="仿宋_GB2312"/>
          <w:color w:val="auto"/>
          <w:sz w:val="21"/>
          <w:szCs w:val="21"/>
          <w:lang w:val="en-US" w:eastAsia="zh-CN"/>
        </w:rPr>
        <w:t> 人，营业收入为</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lang w:val="en-US" w:eastAsia="zh-CN"/>
        </w:rPr>
        <w:t>万元，资产总额为</w:t>
      </w:r>
      <w:r>
        <w:rPr>
          <w:rFonts w:hint="eastAsia" w:ascii="仿宋_GB2312" w:hAnsi="仿宋_GB2312" w:eastAsia="仿宋_GB2312" w:cs="仿宋_GB2312"/>
          <w:color w:val="auto"/>
          <w:sz w:val="21"/>
          <w:szCs w:val="21"/>
          <w:u w:val="single"/>
          <w:lang w:val="en-US" w:eastAsia="zh-CN"/>
        </w:rPr>
        <w:t>       </w:t>
      </w:r>
      <w:r>
        <w:rPr>
          <w:rFonts w:hint="eastAsia" w:ascii="仿宋_GB2312" w:hAnsi="仿宋_GB2312" w:eastAsia="仿宋_GB2312" w:cs="仿宋_GB2312"/>
          <w:color w:val="auto"/>
          <w:sz w:val="21"/>
          <w:szCs w:val="21"/>
          <w:lang w:val="en-US" w:eastAsia="zh-CN"/>
        </w:rPr>
        <w:t>万元，属于</w:t>
      </w:r>
      <w:r>
        <w:rPr>
          <w:rFonts w:hint="eastAsia" w:ascii="仿宋_GB2312" w:hAnsi="仿宋_GB2312" w:eastAsia="仿宋_GB2312" w:cs="仿宋_GB2312"/>
          <w:color w:val="auto"/>
          <w:sz w:val="21"/>
          <w:szCs w:val="21"/>
          <w:u w:val="single"/>
          <w:lang w:val="en-US" w:eastAsia="zh-CN"/>
        </w:rPr>
        <w:t>（中型企业、小型企业、微型企业）</w:t>
      </w:r>
      <w:r>
        <w:rPr>
          <w:rFonts w:hint="eastAsia" w:ascii="仿宋_GB2312" w:hAnsi="仿宋_GB2312" w:eastAsia="仿宋_GB2312" w:cs="仿宋_GB2312"/>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  2.</w:t>
      </w:r>
      <w:r>
        <w:rPr>
          <w:rFonts w:hint="eastAsia" w:ascii="仿宋_GB2312" w:hAnsi="仿宋_GB2312" w:eastAsia="仿宋_GB2312" w:cs="仿宋_GB2312"/>
          <w:color w:val="auto"/>
          <w:sz w:val="21"/>
          <w:szCs w:val="21"/>
          <w:u w:val="single"/>
          <w:lang w:val="en-US" w:eastAsia="zh-CN"/>
        </w:rPr>
        <w:t>（标的名称）</w:t>
      </w:r>
      <w:r>
        <w:rPr>
          <w:rFonts w:hint="eastAsia" w:ascii="仿宋_GB2312" w:hAnsi="仿宋_GB2312" w:eastAsia="仿宋_GB2312" w:cs="仿宋_GB2312"/>
          <w:color w:val="auto"/>
          <w:sz w:val="21"/>
          <w:szCs w:val="21"/>
          <w:lang w:val="en-US" w:eastAsia="zh-CN"/>
        </w:rPr>
        <w:t>，属于</w:t>
      </w:r>
      <w:r>
        <w:rPr>
          <w:rFonts w:hint="eastAsia" w:ascii="仿宋_GB2312" w:hAnsi="仿宋_GB2312" w:eastAsia="仿宋_GB2312" w:cs="仿宋_GB2312"/>
          <w:color w:val="auto"/>
          <w:sz w:val="21"/>
          <w:szCs w:val="21"/>
          <w:u w:val="single"/>
          <w:lang w:val="en-US" w:eastAsia="zh-CN"/>
        </w:rPr>
        <w:t>（采购文件中明确的所属行业）</w:t>
      </w:r>
      <w:r>
        <w:rPr>
          <w:rFonts w:hint="eastAsia" w:ascii="仿宋_GB2312" w:hAnsi="仿宋_GB2312" w:eastAsia="仿宋_GB2312" w:cs="仿宋_GB2312"/>
          <w:color w:val="auto"/>
          <w:sz w:val="21"/>
          <w:szCs w:val="21"/>
          <w:lang w:val="en-US" w:eastAsia="zh-CN"/>
        </w:rPr>
        <w:t>；承建（承接）企业为</w:t>
      </w:r>
      <w:r>
        <w:rPr>
          <w:rFonts w:hint="eastAsia" w:ascii="仿宋_GB2312" w:hAnsi="仿宋_GB2312" w:eastAsia="仿宋_GB2312" w:cs="仿宋_GB2312"/>
          <w:color w:val="auto"/>
          <w:sz w:val="21"/>
          <w:szCs w:val="21"/>
          <w:u w:val="single"/>
          <w:lang w:val="en-US" w:eastAsia="zh-CN"/>
        </w:rPr>
        <w:t>（企业名称）</w:t>
      </w:r>
      <w:r>
        <w:rPr>
          <w:rFonts w:hint="eastAsia" w:ascii="仿宋_GB2312" w:hAnsi="仿宋_GB2312" w:eastAsia="仿宋_GB2312" w:cs="仿宋_GB2312"/>
          <w:color w:val="auto"/>
          <w:sz w:val="21"/>
          <w:szCs w:val="21"/>
          <w:lang w:val="en-US" w:eastAsia="zh-CN"/>
        </w:rPr>
        <w:t>，从业人员</w:t>
      </w:r>
      <w:r>
        <w:rPr>
          <w:rFonts w:hint="eastAsia" w:ascii="仿宋_GB2312" w:hAnsi="仿宋_GB2312" w:eastAsia="仿宋_GB2312" w:cs="仿宋_GB2312"/>
          <w:color w:val="auto"/>
          <w:sz w:val="21"/>
          <w:szCs w:val="21"/>
          <w:u w:val="single"/>
          <w:lang w:val="en-US" w:eastAsia="zh-CN"/>
        </w:rPr>
        <w:t>      </w:t>
      </w:r>
      <w:r>
        <w:rPr>
          <w:rFonts w:hint="eastAsia" w:ascii="仿宋_GB2312" w:hAnsi="仿宋_GB2312" w:eastAsia="仿宋_GB2312" w:cs="仿宋_GB2312"/>
          <w:color w:val="auto"/>
          <w:sz w:val="21"/>
          <w:szCs w:val="21"/>
          <w:lang w:val="en-US" w:eastAsia="zh-CN"/>
        </w:rPr>
        <w:t>人，营业收入为</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lang w:val="en-US" w:eastAsia="zh-CN"/>
        </w:rPr>
        <w:t>万元，资产总额为</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lang w:val="en-US" w:eastAsia="zh-CN"/>
        </w:rPr>
        <w:t>万元，属于</w:t>
      </w:r>
      <w:r>
        <w:rPr>
          <w:rFonts w:hint="eastAsia" w:ascii="仿宋_GB2312" w:hAnsi="仿宋_GB2312" w:eastAsia="仿宋_GB2312" w:cs="仿宋_GB2312"/>
          <w:color w:val="auto"/>
          <w:sz w:val="21"/>
          <w:szCs w:val="21"/>
          <w:u w:val="single"/>
          <w:lang w:val="en-US" w:eastAsia="zh-CN"/>
        </w:rPr>
        <w:t>（中型企业、小型企业、微型企业）</w:t>
      </w:r>
      <w:r>
        <w:rPr>
          <w:rFonts w:hint="eastAsia" w:ascii="仿宋_GB2312" w:hAnsi="仿宋_GB2312" w:eastAsia="仿宋_GB2312" w:cs="仿宋_GB2312"/>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本企业对上述声明内容的真实性负责。如有虚假，将依 法承担相应责任。 </w:t>
      </w:r>
    </w:p>
    <w:p>
      <w:pPr>
        <w:spacing w:line="360" w:lineRule="auto"/>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企业名称（盖章）：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日 期：</w:t>
      </w:r>
      <w:r>
        <w:rPr>
          <w:rFonts w:hint="eastAsia" w:ascii="仿宋_GB2312" w:hAnsi="仿宋_GB2312" w:eastAsia="仿宋_GB2312" w:cs="仿宋_GB2312"/>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val="0"/>
          <w:bCs w:val="0"/>
          <w:color w:val="auto"/>
          <w:sz w:val="21"/>
          <w:szCs w:val="21"/>
          <w:lang w:val="en-US" w:eastAsia="zh-CN"/>
        </w:rPr>
        <w:t>注：1</w:t>
      </w:r>
      <w:r>
        <w:rPr>
          <w:rFonts w:hint="eastAsia" w:ascii="仿宋_GB2312" w:hAnsi="仿宋_GB2312" w:eastAsia="仿宋_GB2312" w:cs="仿宋_GB2312"/>
          <w:color w:val="auto"/>
          <w:sz w:val="21"/>
          <w:szCs w:val="21"/>
        </w:rPr>
        <w:t>从业人员、营业收入、资产总额填报上一年度数据，无上一年度数据的新成立企业可不填报。</w:t>
      </w:r>
      <w:bookmarkStart w:id="71" w:name="_Toc4485642"/>
      <w:bookmarkStart w:id="72" w:name="_Toc533340166"/>
    </w:p>
    <w:p>
      <w:pPr>
        <w:keepNext/>
        <w:keepLines/>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Cs w:val="28"/>
          <w:lang w:eastAsia="zh-CN"/>
        </w:rPr>
      </w:pPr>
      <w:r>
        <w:rPr>
          <w:rFonts w:hint="eastAsia"/>
          <w:color w:val="auto"/>
        </w:rPr>
        <w:br w:type="page"/>
      </w:r>
      <w:r>
        <w:rPr>
          <w:rFonts w:hint="eastAsia" w:ascii="仿宋_GB2312" w:hAnsi="仿宋_GB2312" w:eastAsia="仿宋_GB2312" w:cs="仿宋_GB2312"/>
          <w:b/>
          <w:bCs/>
          <w:sz w:val="28"/>
          <w:szCs w:val="28"/>
        </w:rPr>
        <w:t>格式1</w:t>
      </w:r>
      <w:bookmarkEnd w:id="71"/>
      <w:bookmarkEnd w:id="72"/>
      <w:r>
        <w:rPr>
          <w:rFonts w:hint="eastAsia" w:ascii="仿宋_GB2312" w:hAnsi="仿宋_GB2312" w:eastAsia="仿宋_GB2312" w:cs="仿宋_GB2312"/>
          <w:b/>
          <w:bCs/>
          <w:sz w:val="28"/>
          <w:szCs w:val="28"/>
          <w:lang w:val="en-US" w:eastAsia="zh-CN"/>
        </w:rPr>
        <w:t>7</w:t>
      </w:r>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残疾人福利性单位声明函</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本单位对上述声明的真实性负责。如有虚假，将依法承担相应责任。</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注：供应商为非残疾人福利性单位的，无需填写此声明函。</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480" w:lineRule="auto"/>
        <w:ind w:right="105" w:rightChars="50"/>
        <w:jc w:val="left"/>
        <w:rPr>
          <w:rFonts w:hint="eastAsia" w:ascii="仿宋_GB2312" w:hAnsi="仿宋_GB2312" w:eastAsia="仿宋_GB2312" w:cs="仿宋_GB2312"/>
          <w:szCs w:val="21"/>
        </w:rPr>
      </w:pPr>
      <w:r>
        <w:rPr>
          <w:rFonts w:hint="eastAsia" w:ascii="仿宋_GB2312" w:hAnsi="仿宋_GB2312" w:eastAsia="仿宋_GB2312" w:cs="仿宋_GB2312"/>
          <w:szCs w:val="21"/>
        </w:rPr>
        <w:t>供应商名称（加盖单位公章）：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spacing w:line="480" w:lineRule="auto"/>
        <w:ind w:right="105" w:rightChars="50"/>
        <w:jc w:val="left"/>
        <w:rPr>
          <w:rFonts w:hint="eastAsia"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pStyle w:val="3"/>
        <w:adjustRightInd w:val="0"/>
        <w:snapToGrid w:val="0"/>
        <w:spacing w:before="0" w:after="0" w:line="240" w:lineRule="auto"/>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rPr>
        <w:br w:type="page"/>
      </w:r>
      <w:r>
        <w:rPr>
          <w:rFonts w:hint="eastAsia" w:ascii="仿宋_GB2312" w:hAnsi="仿宋_GB2312" w:eastAsia="仿宋_GB2312" w:cs="仿宋_GB2312"/>
          <w:sz w:val="28"/>
          <w:szCs w:val="28"/>
        </w:rPr>
        <w:t>格式1</w:t>
      </w:r>
      <w:r>
        <w:rPr>
          <w:rFonts w:hint="eastAsia" w:ascii="仿宋_GB2312" w:hAnsi="仿宋_GB2312" w:eastAsia="仿宋_GB2312" w:cs="仿宋_GB2312"/>
          <w:sz w:val="28"/>
          <w:szCs w:val="28"/>
          <w:lang w:val="en-US" w:eastAsia="zh-CN"/>
        </w:rPr>
        <w:t>8</w:t>
      </w:r>
    </w:p>
    <w:p>
      <w:pPr>
        <w:spacing w:before="319" w:beforeLines="100" w:after="319" w:afterLines="100"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聘用建档立卡贫困人员物业公司声明函</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本单位郑重声明，根据财政部 国务院扶贫办《关于运用政府采购政策支持脱贫攻坚的通知》（财库〔2019〕27 号）的规定，本单位为符合条件的单位，且本单位参加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项目采购活动，由本单位提供物业服务，其中聘用建档立卡贫困人员达到公司员工（含服务外包用工）</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本单位对上述声明的真实性负责。如有虚假，将依法承担相应责任。</w:t>
      </w:r>
    </w:p>
    <w:p>
      <w:pPr>
        <w:adjustRightInd w:val="0"/>
        <w:snapToGrid w:val="0"/>
        <w:spacing w:line="360" w:lineRule="auto"/>
        <w:ind w:right="105" w:rightChars="50" w:firstLine="476" w:firstLineChars="227"/>
        <w:jc w:val="left"/>
        <w:rPr>
          <w:rFonts w:hint="eastAsia" w:ascii="仿宋_GB2312" w:hAnsi="仿宋_GB2312" w:eastAsia="仿宋_GB2312" w:cs="仿宋_GB2312"/>
          <w:b/>
          <w:bCs/>
          <w:sz w:val="32"/>
          <w:szCs w:val="32"/>
        </w:rPr>
      </w:pPr>
      <w:r>
        <w:rPr>
          <w:rFonts w:hint="eastAsia" w:ascii="仿宋_GB2312" w:hAnsi="仿宋_GB2312" w:eastAsia="仿宋_GB2312" w:cs="仿宋_GB2312"/>
          <w:szCs w:val="21"/>
        </w:rPr>
        <w:t>附：物业公司注册所在县扶贫部门出具的聘用建档立卡贫困人员具体数量的证明</w:t>
      </w: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p>
    <w:p>
      <w:pPr>
        <w:adjustRightInd w:val="0"/>
        <w:snapToGrid w:val="0"/>
        <w:spacing w:line="360" w:lineRule="auto"/>
        <w:ind w:right="105" w:rightChars="50" w:firstLine="476"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注：供应商为非聘用建档立卡贫困人员物业公司的，无需填写此声明函。</w:t>
      </w: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360" w:lineRule="auto"/>
        <w:ind w:right="105" w:rightChars="50"/>
        <w:jc w:val="left"/>
        <w:rPr>
          <w:rFonts w:hint="eastAsia" w:ascii="仿宋_GB2312" w:hAnsi="仿宋_GB2312" w:eastAsia="仿宋_GB2312" w:cs="仿宋_GB2312"/>
          <w:szCs w:val="21"/>
        </w:rPr>
      </w:pPr>
    </w:p>
    <w:p>
      <w:pPr>
        <w:adjustRightInd w:val="0"/>
        <w:snapToGrid w:val="0"/>
        <w:spacing w:line="480" w:lineRule="auto"/>
        <w:ind w:right="105" w:rightChars="50"/>
        <w:jc w:val="left"/>
        <w:rPr>
          <w:rFonts w:hint="eastAsia" w:ascii="仿宋_GB2312" w:hAnsi="仿宋_GB2312" w:eastAsia="仿宋_GB2312" w:cs="仿宋_GB2312"/>
          <w:szCs w:val="21"/>
        </w:rPr>
      </w:pPr>
      <w:r>
        <w:rPr>
          <w:rFonts w:hint="eastAsia" w:ascii="仿宋_GB2312" w:hAnsi="仿宋_GB2312" w:eastAsia="仿宋_GB2312" w:cs="仿宋_GB2312"/>
          <w:szCs w:val="21"/>
        </w:rPr>
        <w:t>供应商名称（加盖单位公章）：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spacing w:line="480" w:lineRule="auto"/>
        <w:ind w:right="105" w:rightChars="50"/>
        <w:jc w:val="left"/>
        <w:rPr>
          <w:rFonts w:hint="eastAsia"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bookmarkEnd w:id="33"/>
      <w:bookmarkEnd w:id="34"/>
    </w:p>
    <w:p>
      <w:pPr>
        <w:pStyle w:val="2"/>
        <w:numPr>
          <w:ilvl w:val="0"/>
          <w:numId w:val="4"/>
        </w:numPr>
        <w:adjustRightInd w:val="0"/>
        <w:snapToGrid w:val="0"/>
        <w:spacing w:before="319" w:beforeLines="100" w:after="319" w:afterLines="100" w:line="360" w:lineRule="auto"/>
        <w:jc w:val="center"/>
        <w:rPr>
          <w:rFonts w:hint="eastAsia" w:ascii="仿宋_GB2312" w:hAnsi="仿宋_GB2312" w:eastAsia="仿宋_GB2312" w:cs="仿宋_GB2312"/>
        </w:rPr>
      </w:pPr>
      <w:bookmarkStart w:id="73" w:name="_Toc4485643"/>
      <w:r>
        <w:rPr>
          <w:rFonts w:hint="eastAsia" w:ascii="仿宋_GB2312" w:hAnsi="仿宋_GB2312" w:eastAsia="仿宋_GB2312" w:cs="仿宋_GB2312"/>
        </w:rPr>
        <w:br w:type="page"/>
      </w:r>
      <w:bookmarkStart w:id="74" w:name="_Toc21962"/>
      <w:r>
        <w:rPr>
          <w:rFonts w:hint="eastAsia" w:ascii="仿宋_GB2312" w:hAnsi="仿宋_GB2312" w:eastAsia="仿宋_GB2312" w:cs="仿宋_GB2312"/>
        </w:rPr>
        <w:t xml:space="preserve"> 服务需求</w:t>
      </w:r>
      <w:bookmarkEnd w:id="73"/>
      <w:bookmarkEnd w:id="74"/>
    </w:p>
    <w:p>
      <w:pPr>
        <w:pStyle w:val="2"/>
        <w:adjustRightInd w:val="0"/>
        <w:snapToGrid w:val="0"/>
        <w:spacing w:before="0" w:after="0" w:line="360" w:lineRule="auto"/>
        <w:jc w:val="center"/>
        <w:rPr>
          <w:rFonts w:ascii="宋体" w:hAnsi="宋体" w:eastAsia="宋体" w:cs="仿宋_GB2312"/>
        </w:rPr>
      </w:pPr>
      <w:r>
        <w:rPr>
          <w:rFonts w:hint="eastAsia" w:ascii="宋体" w:hAnsi="宋体" w:eastAsia="宋体" w:cs="仿宋_GB2312"/>
        </w:rPr>
        <w:t>服务需求</w:t>
      </w:r>
    </w:p>
    <w:p>
      <w:pPr>
        <w:pStyle w:val="7"/>
        <w:ind w:firstLine="633" w:firstLineChars="198"/>
        <w:contextualSpacing/>
        <w:rPr>
          <w:rFonts w:ascii="仿宋" w:hAnsi="仿宋" w:eastAsia="仿宋" w:cs="仿宋_GB2312"/>
          <w:bCs/>
          <w:sz w:val="32"/>
          <w:szCs w:val="32"/>
        </w:rPr>
      </w:pPr>
      <w:r>
        <w:rPr>
          <w:rFonts w:hint="eastAsia" w:ascii="仿宋" w:hAnsi="仿宋" w:eastAsia="仿宋" w:cs="宋体"/>
          <w:sz w:val="32"/>
          <w:szCs w:val="32"/>
        </w:rPr>
        <w:t>一、</w:t>
      </w:r>
      <w:r>
        <w:rPr>
          <w:rFonts w:hint="eastAsia" w:ascii="仿宋" w:hAnsi="仿宋" w:eastAsia="仿宋" w:cs="仿宋_GB2312"/>
          <w:b/>
          <w:sz w:val="32"/>
          <w:szCs w:val="32"/>
        </w:rPr>
        <w:t>项目概述：</w:t>
      </w:r>
    </w:p>
    <w:p>
      <w:pPr>
        <w:pStyle w:val="7"/>
        <w:ind w:firstLine="640" w:firstLineChars="200"/>
        <w:contextualSpacing/>
        <w:rPr>
          <w:rFonts w:ascii="仿宋" w:hAnsi="仿宋" w:eastAsia="仿宋" w:cs="仿宋_GB2312"/>
          <w:bCs/>
          <w:sz w:val="32"/>
          <w:szCs w:val="32"/>
        </w:rPr>
      </w:pPr>
      <w:r>
        <w:rPr>
          <w:rFonts w:hint="eastAsia" w:ascii="仿宋" w:hAnsi="仿宋" w:eastAsia="仿宋" w:cs="仿宋_GB2312"/>
          <w:bCs/>
          <w:sz w:val="32"/>
          <w:szCs w:val="32"/>
        </w:rPr>
        <w:t>营口市城乡建设与公用事业中心两处办公楼分别位于营口市站前区市府路北21号、营口市辽河大街东98甲。针对两处办公楼的日常保洁服务、安保服务、食堂管理、设施设备维护服务对外委托，需提供服务人员18人。</w:t>
      </w:r>
      <w:r>
        <w:rPr>
          <w:rFonts w:hint="eastAsia" w:ascii="仿宋" w:hAnsi="仿宋" w:eastAsia="仿宋" w:cs="仿宋_GB2312"/>
          <w:bCs/>
          <w:sz w:val="32"/>
          <w:szCs w:val="32"/>
          <w:lang w:eastAsia="zh-CN"/>
        </w:rPr>
        <w:t>付款方式：月结，每月20日结账。</w:t>
      </w:r>
      <w:r>
        <w:rPr>
          <w:rFonts w:hint="eastAsia" w:ascii="仿宋" w:hAnsi="仿宋" w:eastAsia="仿宋" w:cs="仿宋_GB2312"/>
          <w:bCs/>
          <w:sz w:val="32"/>
          <w:szCs w:val="32"/>
        </w:rPr>
        <w:t>服务期限自2022年7月1日至2023年6月30日止。</w:t>
      </w:r>
    </w:p>
    <w:p>
      <w:pPr>
        <w:ind w:firstLine="643" w:firstLineChars="200"/>
        <w:contextualSpacing/>
        <w:jc w:val="left"/>
        <w:rPr>
          <w:rFonts w:ascii="仿宋" w:hAnsi="仿宋" w:eastAsia="仿宋" w:cs="仿宋_GB2312"/>
          <w:b/>
          <w:sz w:val="32"/>
          <w:szCs w:val="32"/>
        </w:rPr>
      </w:pPr>
      <w:r>
        <w:rPr>
          <w:rFonts w:hint="eastAsia" w:ascii="仿宋" w:hAnsi="仿宋" w:eastAsia="仿宋" w:cs="仿宋_GB2312"/>
          <w:b/>
          <w:sz w:val="32"/>
          <w:szCs w:val="32"/>
        </w:rPr>
        <w:t>二、服务内容：</w:t>
      </w:r>
    </w:p>
    <w:p>
      <w:pPr>
        <w:pStyle w:val="7"/>
        <w:ind w:firstLine="640" w:firstLineChars="200"/>
        <w:contextualSpacing/>
        <w:rPr>
          <w:rFonts w:ascii="仿宋" w:hAnsi="仿宋" w:eastAsia="仿宋" w:cs="仿宋_GB2312"/>
          <w:bCs/>
          <w:sz w:val="32"/>
          <w:szCs w:val="32"/>
        </w:rPr>
      </w:pPr>
      <w:r>
        <w:rPr>
          <w:rFonts w:hint="eastAsia" w:ascii="仿宋" w:hAnsi="仿宋" w:eastAsia="仿宋" w:cs="仿宋_GB2312"/>
          <w:bCs/>
          <w:sz w:val="32"/>
          <w:szCs w:val="32"/>
        </w:rPr>
        <w:t>（一）保洁：要求保洁人员配置4人，乙方所提供的人员年龄在45周岁以下。</w:t>
      </w:r>
    </w:p>
    <w:p>
      <w:pPr>
        <w:ind w:firstLine="640" w:firstLineChars="200"/>
        <w:contextualSpacing/>
        <w:rPr>
          <w:rFonts w:ascii="仿宋" w:hAnsi="仿宋" w:eastAsia="仿宋" w:cs="Lucida Sans Unicode"/>
          <w:sz w:val="32"/>
          <w:szCs w:val="32"/>
        </w:rPr>
      </w:pPr>
      <w:r>
        <w:rPr>
          <w:rFonts w:hint="eastAsia" w:ascii="仿宋" w:hAnsi="仿宋" w:eastAsia="仿宋" w:cs="Lucida Sans Unicode"/>
          <w:sz w:val="32"/>
          <w:szCs w:val="32"/>
        </w:rPr>
        <w:t>1、保洁范围：</w:t>
      </w:r>
    </w:p>
    <w:p>
      <w:pPr>
        <w:ind w:firstLine="640" w:firstLineChars="200"/>
        <w:contextualSpacing/>
        <w:rPr>
          <w:rFonts w:ascii="仿宋" w:hAnsi="仿宋" w:eastAsia="仿宋"/>
          <w:color w:val="000000"/>
          <w:sz w:val="32"/>
          <w:szCs w:val="32"/>
        </w:rPr>
      </w:pPr>
      <w:r>
        <w:rPr>
          <w:rFonts w:hint="eastAsia" w:ascii="仿宋" w:hAnsi="仿宋" w:eastAsia="仿宋" w:cs="Lucida Sans Unicode"/>
          <w:sz w:val="32"/>
          <w:szCs w:val="32"/>
        </w:rPr>
        <w:t>（1）</w:t>
      </w:r>
      <w:r>
        <w:rPr>
          <w:rFonts w:hint="eastAsia" w:ascii="仿宋" w:hAnsi="仿宋" w:eastAsia="仿宋"/>
          <w:sz w:val="32"/>
          <w:szCs w:val="32"/>
        </w:rPr>
        <w:t>楼内保洁：负责办公楼内公共区域</w:t>
      </w:r>
      <w:r>
        <w:rPr>
          <w:rFonts w:hint="eastAsia" w:ascii="仿宋" w:hAnsi="仿宋" w:eastAsia="仿宋"/>
          <w:color w:val="000000"/>
          <w:sz w:val="32"/>
          <w:szCs w:val="32"/>
        </w:rPr>
        <w:t>地面、各楼层会议室、地下室、楼梯、走廊、卫生间、标牌、灯具、墙面、公共部分的门窗、玻璃、楼顶屋面、裙楼屋面、楼内电梯、周期性保洁、年度保洁等，区域内环境卫生、所有物品及设施的清洁、保洁保养。</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）楼外保洁：楼外广场、台阶清洁、办公楼周边所有物品及设施的清洁、保洁、保养。</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2、保洁人员工作要求</w:t>
      </w:r>
      <w:r>
        <w:rPr>
          <w:rFonts w:hint="eastAsia" w:ascii="仿宋" w:hAnsi="仿宋" w:eastAsia="仿宋" w:cs="Lucida Sans Unicode"/>
          <w:sz w:val="32"/>
          <w:szCs w:val="32"/>
        </w:rPr>
        <w:t>：</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（1）物业服务要对上岗员工进行岗前培训，培训合格后方可上岗，派驻管理人员进行日常工作管理。</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（2）负责巡回打扫和推抹地面，擦抹干净玻璃大门。</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（3）负责楼内设施清洁工作，确保楼内无吸烟环境死角。</w:t>
      </w:r>
    </w:p>
    <w:p>
      <w:pPr>
        <w:ind w:firstLine="640" w:firstLineChars="200"/>
        <w:contextualSpacing/>
        <w:jc w:val="left"/>
        <w:rPr>
          <w:rFonts w:ascii="仿宋" w:hAnsi="仿宋" w:eastAsia="仿宋"/>
          <w:sz w:val="32"/>
          <w:szCs w:val="32"/>
        </w:rPr>
      </w:pPr>
      <w:r>
        <w:rPr>
          <w:rFonts w:hint="eastAsia" w:ascii="仿宋" w:hAnsi="仿宋" w:eastAsia="仿宋"/>
          <w:sz w:val="32"/>
          <w:szCs w:val="32"/>
        </w:rPr>
        <w:t>（4）负责定时擦抹干净墙壁。</w:t>
      </w:r>
    </w:p>
    <w:p>
      <w:pPr>
        <w:ind w:firstLine="640" w:firstLineChars="200"/>
        <w:contextualSpacing/>
        <w:jc w:val="left"/>
        <w:rPr>
          <w:rFonts w:ascii="仿宋" w:hAnsi="仿宋" w:eastAsia="仿宋"/>
          <w:sz w:val="32"/>
          <w:szCs w:val="32"/>
        </w:rPr>
      </w:pPr>
      <w:r>
        <w:rPr>
          <w:rFonts w:hint="eastAsia" w:ascii="仿宋" w:hAnsi="仿宋" w:eastAsia="仿宋"/>
          <w:sz w:val="32"/>
          <w:szCs w:val="32"/>
        </w:rPr>
        <w:t>（5）按工作计划和时间安排完成所属楼层岗位各项清洁保洁工作，负责公共走廊、电梯间、洗手间、楼梯的保洁工作。</w:t>
      </w:r>
    </w:p>
    <w:p>
      <w:pPr>
        <w:ind w:firstLine="640" w:firstLineChars="200"/>
        <w:contextualSpacing/>
        <w:jc w:val="left"/>
        <w:rPr>
          <w:rFonts w:ascii="仿宋" w:hAnsi="仿宋" w:eastAsia="仿宋"/>
          <w:sz w:val="32"/>
          <w:szCs w:val="32"/>
        </w:rPr>
      </w:pPr>
      <w:r>
        <w:rPr>
          <w:rFonts w:hint="eastAsia" w:ascii="仿宋" w:hAnsi="仿宋" w:eastAsia="仿宋"/>
          <w:sz w:val="32"/>
          <w:szCs w:val="32"/>
        </w:rPr>
        <w:t>（6）负责巡回清扫走廊、楼梯间地面，并按要求拖抹走廊、楼梯间地面，清除污渍保持洁净。</w:t>
      </w:r>
    </w:p>
    <w:p>
      <w:pPr>
        <w:ind w:firstLine="640" w:firstLineChars="200"/>
        <w:contextualSpacing/>
        <w:jc w:val="left"/>
        <w:rPr>
          <w:rFonts w:ascii="仿宋" w:hAnsi="仿宋" w:eastAsia="仿宋"/>
          <w:sz w:val="32"/>
          <w:szCs w:val="32"/>
        </w:rPr>
      </w:pPr>
      <w:r>
        <w:rPr>
          <w:rFonts w:hint="eastAsia" w:ascii="仿宋" w:hAnsi="仿宋" w:eastAsia="仿宋"/>
          <w:sz w:val="32"/>
          <w:szCs w:val="32"/>
        </w:rPr>
        <w:t>（7）负责擦抹电梯门、防火门、墙壁、垃圾桶、花盆、消防栓柜，并负责走廊地面拖抹、清扫，并对小块污渍及时进行清洗。</w:t>
      </w:r>
    </w:p>
    <w:p>
      <w:pPr>
        <w:ind w:firstLine="640" w:firstLineChars="200"/>
        <w:contextualSpacing/>
        <w:jc w:val="left"/>
        <w:rPr>
          <w:rFonts w:ascii="仿宋" w:hAnsi="仿宋" w:eastAsia="仿宋"/>
          <w:sz w:val="32"/>
          <w:szCs w:val="32"/>
        </w:rPr>
      </w:pPr>
      <w:r>
        <w:rPr>
          <w:rFonts w:hint="eastAsia" w:ascii="仿宋" w:hAnsi="仿宋" w:eastAsia="仿宋"/>
          <w:sz w:val="32"/>
          <w:szCs w:val="32"/>
        </w:rPr>
        <w:t>（8）负责洗手间地面、洁具、镜面、门窗清洁，及时冲洗污物，不留污渍、异味。</w:t>
      </w:r>
    </w:p>
    <w:p>
      <w:pPr>
        <w:ind w:firstLine="640" w:firstLineChars="200"/>
        <w:contextualSpacing/>
        <w:jc w:val="left"/>
        <w:rPr>
          <w:rFonts w:ascii="仿宋" w:hAnsi="仿宋" w:eastAsia="仿宋"/>
          <w:sz w:val="32"/>
          <w:szCs w:val="32"/>
        </w:rPr>
      </w:pPr>
      <w:r>
        <w:rPr>
          <w:rFonts w:hint="eastAsia" w:ascii="仿宋" w:hAnsi="仿宋" w:eastAsia="仿宋"/>
          <w:sz w:val="32"/>
          <w:szCs w:val="32"/>
        </w:rPr>
        <w:t>（9）将收回的垃圾集中到垃圾筒内，定时将垃圾送到指定地点处理，保持垃圾筒的清洁。</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（10）负责指定公共区域或岗位的保洁工作，根据清洁程序和卫生标准的要求，按质按量按时完成各项日常和定期保洁工作。</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（11）庭院、停车场区域内清洁卫生。</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（12）配合甲方做好冬季除雪，做到雪停即除。</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（13）在各项保洁作业中，工作要认真细致，做到拾遗补缺作用，不留任何卫生死角，确保卫生达标。</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（14）要爱护各种设备、工具、并按操作规程操作，了解和掌握各种清洁剂的用途并合理使用，消除事故隐患，安全作业。</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（15）信息反馈或发现本区域有需要修理和维护的设施及时上报。</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（16）做好清洁工具的清洁、整理及维护保养工作。</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（17）要爱护公共财物，如发现情况异常，应及时通知上报，以便及时解决。</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（18）清洁卫生的基本要求是六定：即定人、定地点、定时间、定任务、定质量、定责任，对上述范围的任何地方都应有专人负责清洁卫生、垃圾清运的工作。</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（19）保洁员须身体健康、品德良好，无违法犯罪记录，自觉维护甲方形象。</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（20）穿着公司统一配发的制服，保持其干净整洁，提前到岗签到，佩戴胸卡上岗。</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3、保洁标准：</w:t>
      </w:r>
    </w:p>
    <w:tbl>
      <w:tblPr>
        <w:tblStyle w:val="16"/>
        <w:tblW w:w="905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993"/>
        <w:gridCol w:w="3543"/>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b/>
                <w:sz w:val="32"/>
                <w:szCs w:val="32"/>
              </w:rPr>
            </w:pPr>
            <w:r>
              <w:rPr>
                <w:rFonts w:hint="eastAsia" w:ascii="仿宋" w:hAnsi="仿宋" w:eastAsia="仿宋"/>
                <w:b/>
                <w:sz w:val="32"/>
                <w:szCs w:val="32"/>
              </w:rPr>
              <w:t>序号</w:t>
            </w:r>
          </w:p>
        </w:tc>
        <w:tc>
          <w:tcPr>
            <w:tcW w:w="993"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b/>
                <w:sz w:val="32"/>
                <w:szCs w:val="32"/>
              </w:rPr>
            </w:pPr>
            <w:r>
              <w:rPr>
                <w:rFonts w:hint="eastAsia" w:ascii="仿宋" w:hAnsi="仿宋" w:eastAsia="仿宋"/>
                <w:b/>
                <w:sz w:val="32"/>
                <w:szCs w:val="32"/>
              </w:rPr>
              <w:t>场地</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ind w:firstLine="643" w:firstLineChars="200"/>
              <w:contextualSpacing/>
              <w:jc w:val="center"/>
              <w:rPr>
                <w:rFonts w:ascii="仿宋" w:hAnsi="仿宋" w:eastAsia="仿宋"/>
                <w:b/>
                <w:sz w:val="32"/>
                <w:szCs w:val="32"/>
              </w:rPr>
            </w:pPr>
            <w:r>
              <w:rPr>
                <w:rFonts w:hint="eastAsia" w:ascii="仿宋" w:hAnsi="仿宋" w:eastAsia="仿宋"/>
                <w:b/>
                <w:sz w:val="32"/>
                <w:szCs w:val="32"/>
              </w:rPr>
              <w:t>服务内容</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b/>
                <w:sz w:val="32"/>
                <w:szCs w:val="32"/>
              </w:rPr>
            </w:pPr>
            <w:r>
              <w:rPr>
                <w:rFonts w:hint="eastAsia" w:ascii="仿宋" w:hAnsi="仿宋" w:eastAsia="仿宋"/>
                <w:b/>
                <w:sz w:val="32"/>
                <w:szCs w:val="32"/>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restart"/>
            <w:tcBorders>
              <w:top w:val="single" w:color="auto" w:sz="4" w:space="0"/>
              <w:left w:val="single" w:color="auto" w:sz="4" w:space="0"/>
              <w:right w:val="single" w:color="auto" w:sz="4" w:space="0"/>
            </w:tcBorders>
            <w:noWrap w:val="0"/>
            <w:vAlign w:val="center"/>
          </w:tcPr>
          <w:p>
            <w:pPr>
              <w:contextualSpacing/>
              <w:jc w:val="center"/>
              <w:rPr>
                <w:rFonts w:ascii="仿宋" w:hAnsi="仿宋" w:eastAsia="仿宋"/>
                <w:sz w:val="32"/>
                <w:szCs w:val="32"/>
              </w:rPr>
            </w:pPr>
            <w:r>
              <w:rPr>
                <w:rFonts w:hint="eastAsia" w:ascii="仿宋" w:hAnsi="仿宋" w:eastAsia="仿宋"/>
                <w:sz w:val="32"/>
                <w:szCs w:val="32"/>
              </w:rPr>
              <w:t>1</w:t>
            </w:r>
          </w:p>
        </w:tc>
        <w:tc>
          <w:tcPr>
            <w:tcW w:w="993"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公共走廊</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地面、墙面、墙角线擦拭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无灰尘、污迹、明亮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楼梯间门、消防栓、房门等擦拭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无灰尘、污迹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垃圾桶擦拭清理等</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杂物、污迹、壁面光洁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灭火器擦拭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明亮、无灰尘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走廊天棚、灯具擦拭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无积尘、灰网、内壁无水珠、杂物、光亮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扶手擦拭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干净、光亮、无手印污渍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restart"/>
            <w:tcBorders>
              <w:top w:val="single" w:color="auto" w:sz="4" w:space="0"/>
              <w:left w:val="single" w:color="auto" w:sz="4" w:space="0"/>
              <w:right w:val="single" w:color="auto" w:sz="4" w:space="0"/>
            </w:tcBorders>
            <w:noWrap w:val="0"/>
            <w:vAlign w:val="center"/>
          </w:tcPr>
          <w:p>
            <w:pPr>
              <w:contextualSpacing/>
              <w:jc w:val="center"/>
              <w:rPr>
                <w:rFonts w:ascii="仿宋" w:hAnsi="仿宋" w:eastAsia="仿宋"/>
                <w:sz w:val="32"/>
                <w:szCs w:val="32"/>
              </w:rPr>
            </w:pPr>
            <w:r>
              <w:rPr>
                <w:rFonts w:hint="eastAsia" w:ascii="仿宋" w:hAnsi="仿宋" w:eastAsia="仿宋"/>
                <w:sz w:val="32"/>
                <w:szCs w:val="32"/>
              </w:rPr>
              <w:t>2</w:t>
            </w:r>
          </w:p>
        </w:tc>
        <w:tc>
          <w:tcPr>
            <w:tcW w:w="99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洗手间</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洗手台、镜面</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无灰尘、水渍、污点、光洁明亮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天棚、灯具、风口</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无灰网、积尘、污迹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门、隔板擦拭</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墙面清洁</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各垃圾桶内外壁</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清洁、无污迹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便器、洗手盆</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内壁无污迹、杂物、光亮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台阶、地面</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清洁、无垃圾、杂物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玻璃</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无明显污渍、水渍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地面</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清洁、无灰尘、脚印、杂物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bottom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便器消毒</w:t>
            </w:r>
          </w:p>
        </w:tc>
        <w:tc>
          <w:tcPr>
            <w:tcW w:w="36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sz w:val="32"/>
                <w:szCs w:val="32"/>
              </w:rPr>
            </w:pPr>
            <w:r>
              <w:rPr>
                <w:rFonts w:hint="eastAsia" w:ascii="仿宋" w:hAnsi="仿宋" w:eastAsia="仿宋"/>
                <w:sz w:val="32"/>
                <w:szCs w:val="32"/>
              </w:rPr>
              <w:t>消除异味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restart"/>
            <w:tcBorders>
              <w:top w:val="single" w:color="auto" w:sz="4" w:space="0"/>
              <w:left w:val="single" w:color="auto" w:sz="4" w:space="0"/>
              <w:right w:val="single" w:color="auto" w:sz="4" w:space="0"/>
            </w:tcBorders>
            <w:noWrap w:val="0"/>
            <w:vAlign w:val="center"/>
          </w:tcPr>
          <w:p>
            <w:pPr>
              <w:contextualSpacing/>
              <w:jc w:val="center"/>
              <w:rPr>
                <w:rFonts w:ascii="仿宋" w:hAnsi="仿宋" w:eastAsia="仿宋"/>
                <w:sz w:val="32"/>
                <w:szCs w:val="32"/>
              </w:rPr>
            </w:pPr>
            <w:r>
              <w:rPr>
                <w:rFonts w:hint="eastAsia" w:ascii="仿宋" w:hAnsi="仿宋" w:eastAsia="仿宋"/>
                <w:sz w:val="32"/>
                <w:szCs w:val="32"/>
              </w:rPr>
              <w:t>3</w:t>
            </w:r>
          </w:p>
        </w:tc>
        <w:tc>
          <w:tcPr>
            <w:tcW w:w="99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楼梯间</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地面、墙角线擦拭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无灰尘、污迹、明亮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楼梯扶手擦拭</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光亮、无手印污渍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墙面</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无浮尘、蛛网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开关等附属设施</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表面无浮尘、无污渍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bottom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防火门及附件</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表面无浮尘、无污渍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831" w:type="dxa"/>
            <w:tcBorders>
              <w:top w:val="single" w:color="auto" w:sz="4" w:space="0"/>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r>
              <w:rPr>
                <w:rFonts w:hint="eastAsia" w:ascii="仿宋" w:hAnsi="仿宋" w:eastAsia="仿宋"/>
                <w:sz w:val="32"/>
                <w:szCs w:val="32"/>
              </w:rPr>
              <w:t>4</w:t>
            </w:r>
          </w:p>
        </w:tc>
        <w:tc>
          <w:tcPr>
            <w:tcW w:w="993" w:type="dxa"/>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垃圾收集</w:t>
            </w:r>
          </w:p>
        </w:tc>
        <w:tc>
          <w:tcPr>
            <w:tcW w:w="3543" w:type="dxa"/>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生活垃圾</w:t>
            </w:r>
          </w:p>
        </w:tc>
        <w:tc>
          <w:tcPr>
            <w:tcW w:w="3686" w:type="dxa"/>
            <w:tcBorders>
              <w:top w:val="single" w:color="auto" w:sz="4" w:space="0"/>
              <w:left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日产日清，保证垃圾桶呈半空以下状态，方便办公室使用，运送垃圾避让人流高峰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1" w:type="dxa"/>
            <w:vMerge w:val="restart"/>
            <w:tcBorders>
              <w:top w:val="single" w:color="auto" w:sz="4" w:space="0"/>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r>
              <w:rPr>
                <w:rFonts w:hint="eastAsia" w:ascii="仿宋" w:hAnsi="仿宋" w:eastAsia="仿宋"/>
                <w:sz w:val="32"/>
                <w:szCs w:val="32"/>
              </w:rPr>
              <w:t>5</w:t>
            </w:r>
          </w:p>
        </w:tc>
        <w:tc>
          <w:tcPr>
            <w:tcW w:w="993"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大堂</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地面</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保持地面干净、光亮、无污迹、无烟头、无明显灰尘、雨天保持地面干爽、防滑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玻璃及玻璃门</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保持清洁、明亮、无尘、无污印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bottom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指示牌、告示牌及其他设施</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保持干净、明亮、无尘、无污迹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restart"/>
            <w:tcBorders>
              <w:top w:val="single" w:color="auto" w:sz="4" w:space="0"/>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r>
              <w:rPr>
                <w:rFonts w:hint="eastAsia" w:ascii="仿宋" w:hAnsi="仿宋" w:eastAsia="仿宋"/>
                <w:sz w:val="32"/>
                <w:szCs w:val="32"/>
              </w:rPr>
              <w:t>6</w:t>
            </w:r>
          </w:p>
        </w:tc>
        <w:tc>
          <w:tcPr>
            <w:tcW w:w="993"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楼外</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道路</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无积水、无泥沙、无杂物飘浮物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停车场</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无果皮、无积水、无飘浮物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center"/>
          </w:tcPr>
          <w:p>
            <w:pPr>
              <w:widowControl/>
              <w:contextualSpacing/>
              <w:jc w:val="center"/>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绿地</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无枯草烂叶、无杂物，无垃圾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1" w:type="dxa"/>
            <w:vMerge w:val="continue"/>
            <w:tcBorders>
              <w:left w:val="single" w:color="auto" w:sz="4" w:space="0"/>
              <w:right w:val="single" w:color="auto" w:sz="4" w:space="0"/>
            </w:tcBorders>
            <w:noWrap w:val="0"/>
            <w:vAlign w:val="top"/>
          </w:tcPr>
          <w:p>
            <w:pPr>
              <w:widowControl/>
              <w:contextualSpacing/>
              <w:jc w:val="left"/>
              <w:rPr>
                <w:rFonts w:ascii="仿宋" w:hAnsi="仿宋" w:eastAsia="仿宋"/>
                <w:sz w:val="32"/>
                <w:szCs w:val="32"/>
              </w:rPr>
            </w:pPr>
          </w:p>
        </w:tc>
        <w:tc>
          <w:tcPr>
            <w:tcW w:w="993" w:type="dxa"/>
            <w:vMerge w:val="continue"/>
            <w:tcBorders>
              <w:left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雨水井、排水沟</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sz w:val="32"/>
                <w:szCs w:val="32"/>
              </w:rPr>
            </w:pPr>
            <w:r>
              <w:rPr>
                <w:rFonts w:hint="eastAsia" w:ascii="仿宋" w:hAnsi="仿宋" w:eastAsia="仿宋"/>
                <w:sz w:val="32"/>
                <w:szCs w:val="32"/>
              </w:rPr>
              <w:t>定期清掏，无垃圾污垢堵塞外溢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restart"/>
            <w:tcBorders>
              <w:top w:val="single" w:color="auto" w:sz="4" w:space="0"/>
              <w:left w:val="single" w:color="auto" w:sz="4" w:space="0"/>
              <w:right w:val="single" w:color="auto" w:sz="4" w:space="0"/>
            </w:tcBorders>
            <w:noWrap w:val="0"/>
            <w:vAlign w:val="center"/>
          </w:tcPr>
          <w:p>
            <w:pPr>
              <w:contextualSpacing/>
              <w:jc w:val="center"/>
              <w:rPr>
                <w:rFonts w:ascii="仿宋" w:hAnsi="仿宋" w:eastAsia="仿宋"/>
                <w:sz w:val="32"/>
                <w:szCs w:val="32"/>
              </w:rPr>
            </w:pPr>
            <w:r>
              <w:rPr>
                <w:rFonts w:hint="eastAsia" w:ascii="仿宋" w:hAnsi="仿宋" w:eastAsia="仿宋"/>
                <w:sz w:val="32"/>
                <w:szCs w:val="32"/>
              </w:rPr>
              <w:t>7</w:t>
            </w:r>
          </w:p>
        </w:tc>
        <w:tc>
          <w:tcPr>
            <w:tcW w:w="993"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公共区域</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玻璃</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每年两次清擦根据实际需要另行安排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1" w:type="dxa"/>
            <w:vMerge w:val="continue"/>
            <w:tcBorders>
              <w:left w:val="single" w:color="auto" w:sz="4" w:space="0"/>
              <w:bottom w:val="single" w:color="auto" w:sz="4" w:space="0"/>
              <w:right w:val="single" w:color="auto" w:sz="4" w:space="0"/>
            </w:tcBorders>
            <w:noWrap w:val="0"/>
            <w:vAlign w:val="center"/>
          </w:tcPr>
          <w:p>
            <w:pPr>
              <w:contextualSpacing/>
              <w:jc w:val="center"/>
              <w:rPr>
                <w:rFonts w:ascii="仿宋" w:hAnsi="仿宋" w:eastAsia="仿宋"/>
                <w:sz w:val="32"/>
                <w:szCs w:val="32"/>
              </w:rPr>
            </w:pPr>
          </w:p>
        </w:tc>
        <w:tc>
          <w:tcPr>
            <w:tcW w:w="993"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32"/>
                <w:szCs w:val="32"/>
              </w:rPr>
            </w:pPr>
            <w:r>
              <w:rPr>
                <w:rFonts w:hint="eastAsia" w:ascii="仿宋" w:hAnsi="仿宋" w:eastAsia="仿宋"/>
                <w:sz w:val="32"/>
                <w:szCs w:val="32"/>
              </w:rPr>
              <w:t>地面瓷砖及理石</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sz w:val="32"/>
                <w:szCs w:val="32"/>
              </w:rPr>
            </w:pPr>
            <w:r>
              <w:rPr>
                <w:rFonts w:hint="eastAsia" w:ascii="仿宋" w:hAnsi="仿宋" w:eastAsia="仿宋"/>
                <w:sz w:val="32"/>
                <w:szCs w:val="32"/>
              </w:rPr>
              <w:t>每季度进行一次清洗及保养</w:t>
            </w:r>
          </w:p>
        </w:tc>
      </w:tr>
    </w:tbl>
    <w:p>
      <w:pPr>
        <w:ind w:firstLine="480" w:firstLineChars="150"/>
        <w:contextualSpacing/>
        <w:jc w:val="left"/>
        <w:rPr>
          <w:rFonts w:ascii="仿宋" w:hAnsi="仿宋" w:eastAsia="仿宋"/>
          <w:sz w:val="32"/>
          <w:szCs w:val="32"/>
        </w:rPr>
      </w:pPr>
      <w:r>
        <w:rPr>
          <w:rFonts w:hint="eastAsia" w:ascii="仿宋" w:hAnsi="仿宋" w:eastAsia="仿宋"/>
          <w:sz w:val="32"/>
          <w:szCs w:val="32"/>
        </w:rPr>
        <w:t>重点部位要突出，要特殊对待，并要灵活机动。设备、工具、物料的配备及日常所需的清洁工具、清洁剂等，由乙方自备。</w:t>
      </w:r>
    </w:p>
    <w:p>
      <w:pPr>
        <w:ind w:firstLine="480" w:firstLineChars="150"/>
        <w:contextualSpacing/>
        <w:jc w:val="left"/>
        <w:rPr>
          <w:rFonts w:ascii="仿宋" w:hAnsi="仿宋" w:eastAsia="仿宋"/>
          <w:sz w:val="32"/>
          <w:szCs w:val="32"/>
        </w:rPr>
      </w:pPr>
      <w:r>
        <w:rPr>
          <w:rFonts w:hint="eastAsia" w:ascii="仿宋" w:hAnsi="仿宋" w:eastAsia="仿宋"/>
          <w:sz w:val="32"/>
          <w:szCs w:val="32"/>
        </w:rPr>
        <w:t>4、工作时间：    7：30---17：00</w:t>
      </w:r>
    </w:p>
    <w:p>
      <w:pPr>
        <w:ind w:firstLine="480" w:firstLineChars="150"/>
        <w:contextualSpacing/>
        <w:jc w:val="left"/>
        <w:rPr>
          <w:rFonts w:ascii="仿宋" w:hAnsi="仿宋" w:eastAsia="仿宋"/>
          <w:sz w:val="32"/>
          <w:szCs w:val="32"/>
        </w:rPr>
      </w:pPr>
      <w:r>
        <w:rPr>
          <w:rFonts w:hint="eastAsia" w:ascii="仿宋" w:hAnsi="仿宋" w:eastAsia="仿宋"/>
          <w:sz w:val="32"/>
          <w:szCs w:val="32"/>
        </w:rPr>
        <w:t>5、规章制度：</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（1）保洁服务员每天必须按保洁标准规定打扫。</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（2）禁止在单位洗涤工作服以外的个人衣物。</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（3）保洁人员在按规定完成保洁工作外，要坚持巡查，及时发现问题及时清扫。</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（4）卫生间垃圾筒要及时清理。</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（5）保洁区域内的消防设施要保持无灰尘，办公指示牌摆放规范、干净无尘。</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（6）在责任区内发现的各类问题要在最快的时间内解决如自己不能解决的要及时向保洁主管报告，或与甲方报告。</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（7）统一着装，保持良好的工作形象，上班时间内着装与个人卫生要保持干净、整洁、整齐。禁止在楼内嬉笑打闹和大声喧哗。工作时间内禁止在一起拉家常、闲谈、聚堆做与工作无关的事。</w:t>
      </w:r>
    </w:p>
    <w:p>
      <w:pPr>
        <w:ind w:firstLine="480" w:firstLineChars="150"/>
        <w:contextualSpacing/>
        <w:rPr>
          <w:rFonts w:ascii="仿宋" w:hAnsi="仿宋" w:eastAsia="仿宋"/>
          <w:color w:val="000000"/>
          <w:sz w:val="32"/>
          <w:szCs w:val="32"/>
        </w:rPr>
      </w:pPr>
      <w:r>
        <w:rPr>
          <w:rFonts w:hint="eastAsia" w:ascii="仿宋" w:hAnsi="仿宋" w:eastAsia="仿宋"/>
          <w:color w:val="000000"/>
          <w:sz w:val="32"/>
          <w:szCs w:val="32"/>
        </w:rPr>
        <w:t>（8）早上班后、晚下班前要对负责区域内进行检查，防止财物丢失和人为破坏；关闭电源和水源避免出现事故灾害。</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6、处罚办法：</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甲方在按保洁标准抽查中，如发现以下问题：</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（一）</w:t>
      </w:r>
      <w:r>
        <w:rPr>
          <w:rFonts w:hint="eastAsia" w:ascii="仿宋" w:hAnsi="仿宋" w:eastAsia="仿宋"/>
          <w:color w:val="000000"/>
          <w:sz w:val="32"/>
          <w:szCs w:val="32"/>
        </w:rPr>
        <w:t>如有违反规章制度的要求的，第一次由甲方以书面形式通知乙方，乙方需在书面规定的时间内及时处理，如没有按规定时间处理一次扣款200元，同一问题同一位置发现二次的扣款1000元，发现第三次，乙方应向甲方提交书面形式的检讨书。此岗位员工调离原岗位。</w:t>
      </w:r>
    </w:p>
    <w:p>
      <w:pPr>
        <w:ind w:firstLine="480" w:firstLineChars="150"/>
        <w:contextualSpacing/>
        <w:jc w:val="left"/>
        <w:rPr>
          <w:rFonts w:ascii="仿宋" w:hAnsi="仿宋" w:eastAsia="仿宋"/>
          <w:color w:val="000000"/>
          <w:sz w:val="32"/>
          <w:szCs w:val="32"/>
        </w:rPr>
      </w:pPr>
      <w:r>
        <w:rPr>
          <w:rFonts w:hint="eastAsia" w:ascii="仿宋" w:hAnsi="仿宋" w:eastAsia="仿宋"/>
          <w:sz w:val="32"/>
          <w:szCs w:val="32"/>
        </w:rPr>
        <w:t>（二）保安服务：</w:t>
      </w:r>
      <w:r>
        <w:rPr>
          <w:rFonts w:hint="eastAsia" w:ascii="仿宋" w:hAnsi="仿宋" w:eastAsia="仿宋"/>
          <w:color w:val="000000"/>
          <w:sz w:val="32"/>
          <w:szCs w:val="32"/>
        </w:rPr>
        <w:t>设置4人，乙方所提供的保安人员平均年龄在48周岁以下，必须24小时值守。</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保安工作范围：对所管辖区域的安全与消防安全管理，完成所承担的管理任务。其中包括：范围内所管辖的公共场所区域的安全管理（楼内巡视；维持公共秩序；外来人员接待和查验登记），院内交通秩序的管理。</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2、保安人员工作要求：</w:t>
      </w:r>
    </w:p>
    <w:p>
      <w:pPr>
        <w:ind w:firstLine="480" w:firstLineChars="150"/>
        <w:contextualSpacing/>
        <w:jc w:val="left"/>
        <w:rPr>
          <w:rFonts w:ascii="仿宋" w:hAnsi="仿宋" w:eastAsia="仿宋"/>
          <w:sz w:val="32"/>
          <w:szCs w:val="32"/>
        </w:rPr>
      </w:pPr>
      <w:r>
        <w:rPr>
          <w:rFonts w:hint="eastAsia" w:ascii="仿宋" w:hAnsi="仿宋" w:eastAsia="仿宋"/>
          <w:sz w:val="32"/>
          <w:szCs w:val="32"/>
        </w:rPr>
        <w:t>（1）保安人员须身体健康、品德良好，无违法犯罪记录，自觉维护甲方形象。</w:t>
      </w:r>
    </w:p>
    <w:p>
      <w:pPr>
        <w:ind w:firstLine="480" w:firstLineChars="150"/>
        <w:contextualSpacing/>
        <w:jc w:val="left"/>
        <w:rPr>
          <w:rFonts w:ascii="仿宋" w:hAnsi="仿宋" w:eastAsia="仿宋"/>
          <w:sz w:val="32"/>
          <w:szCs w:val="32"/>
        </w:rPr>
      </w:pPr>
      <w:r>
        <w:rPr>
          <w:rFonts w:hint="eastAsia" w:ascii="仿宋" w:hAnsi="仿宋" w:eastAsia="仿宋"/>
          <w:sz w:val="32"/>
          <w:szCs w:val="32"/>
        </w:rPr>
        <w:t>（2）公司要对上岗员工进行岗前培训，培训合格后方可上岗，派驻人员进行日常工作管理。</w:t>
      </w:r>
    </w:p>
    <w:p>
      <w:pPr>
        <w:ind w:firstLine="480" w:firstLineChars="150"/>
        <w:contextualSpacing/>
        <w:jc w:val="left"/>
        <w:rPr>
          <w:rFonts w:ascii="仿宋" w:hAnsi="仿宋" w:eastAsia="仿宋"/>
          <w:sz w:val="32"/>
          <w:szCs w:val="32"/>
        </w:rPr>
      </w:pPr>
      <w:r>
        <w:rPr>
          <w:rFonts w:hint="eastAsia" w:ascii="仿宋" w:hAnsi="仿宋" w:eastAsia="仿宋"/>
          <w:sz w:val="32"/>
          <w:szCs w:val="32"/>
        </w:rPr>
        <w:t>（3）穿着公司统一配发的制服，保持其干净整洁，提前到岗签到，佩戴胸卡上岗。</w:t>
      </w:r>
    </w:p>
    <w:p>
      <w:pPr>
        <w:ind w:firstLine="480" w:firstLineChars="150"/>
        <w:contextualSpacing/>
        <w:jc w:val="left"/>
        <w:rPr>
          <w:rFonts w:ascii="仿宋" w:hAnsi="仿宋" w:eastAsia="仿宋"/>
          <w:sz w:val="32"/>
          <w:szCs w:val="32"/>
        </w:rPr>
      </w:pPr>
      <w:r>
        <w:rPr>
          <w:rFonts w:hint="eastAsia" w:ascii="仿宋" w:hAnsi="仿宋" w:eastAsia="仿宋"/>
          <w:sz w:val="32"/>
          <w:szCs w:val="32"/>
        </w:rPr>
        <w:t>（4）对来访人，要进行有礼貌的询问，填写登记单，与被访者进行联系，联系好后来访人方可允许上楼；对询问情况的外来人员要做好登记及按规定答复等工作。</w:t>
      </w:r>
    </w:p>
    <w:p>
      <w:pPr>
        <w:ind w:firstLine="480" w:firstLineChars="150"/>
        <w:contextualSpacing/>
        <w:jc w:val="left"/>
        <w:rPr>
          <w:rFonts w:ascii="仿宋" w:hAnsi="仿宋" w:eastAsia="仿宋"/>
          <w:color w:val="000000"/>
          <w:sz w:val="32"/>
          <w:szCs w:val="32"/>
        </w:rPr>
      </w:pPr>
      <w:r>
        <w:rPr>
          <w:rFonts w:hint="eastAsia" w:ascii="仿宋" w:hAnsi="仿宋" w:eastAsia="仿宋" w:cs="宋体"/>
          <w:color w:val="000000"/>
          <w:sz w:val="32"/>
          <w:szCs w:val="32"/>
        </w:rPr>
        <w:t>（5）</w:t>
      </w:r>
      <w:r>
        <w:rPr>
          <w:rFonts w:hint="eastAsia" w:ascii="仿宋" w:hAnsi="仿宋" w:eastAsia="仿宋"/>
          <w:sz w:val="32"/>
          <w:szCs w:val="32"/>
        </w:rPr>
        <w:t>负责维护办公区域内治安秩序</w:t>
      </w:r>
      <w:r>
        <w:rPr>
          <w:rFonts w:hint="eastAsia" w:ascii="仿宋" w:hAnsi="仿宋" w:eastAsia="仿宋"/>
          <w:color w:val="000000"/>
          <w:sz w:val="32"/>
          <w:szCs w:val="32"/>
        </w:rPr>
        <w:t>，预防和发现安全隐患，履行保安人员工作职责。</w:t>
      </w:r>
    </w:p>
    <w:p>
      <w:pPr>
        <w:ind w:firstLine="480" w:firstLineChars="150"/>
        <w:contextualSpacing/>
        <w:jc w:val="left"/>
        <w:rPr>
          <w:rFonts w:ascii="仿宋" w:hAnsi="仿宋" w:eastAsia="仿宋"/>
          <w:color w:val="000000"/>
          <w:sz w:val="32"/>
          <w:szCs w:val="32"/>
        </w:rPr>
      </w:pPr>
      <w:r>
        <w:rPr>
          <w:rFonts w:hint="eastAsia" w:ascii="仿宋" w:hAnsi="仿宋" w:eastAsia="仿宋" w:cs="宋体"/>
          <w:color w:val="000000"/>
          <w:sz w:val="32"/>
          <w:szCs w:val="32"/>
        </w:rPr>
        <w:t>（6）</w:t>
      </w:r>
      <w:r>
        <w:rPr>
          <w:rFonts w:hint="eastAsia" w:ascii="仿宋" w:hAnsi="仿宋" w:eastAsia="仿宋"/>
          <w:sz w:val="32"/>
          <w:szCs w:val="32"/>
        </w:rPr>
        <w:t>处理当班突发事件</w:t>
      </w:r>
      <w:r>
        <w:rPr>
          <w:rFonts w:hint="eastAsia" w:ascii="仿宋" w:hAnsi="仿宋" w:eastAsia="仿宋"/>
          <w:color w:val="000000"/>
          <w:sz w:val="32"/>
          <w:szCs w:val="32"/>
        </w:rPr>
        <w:t>，如火灾、偷盗等险情并立即控制，迅速报警，同时报告主管部门。</w:t>
      </w:r>
    </w:p>
    <w:p>
      <w:pPr>
        <w:ind w:firstLine="480" w:firstLineChars="150"/>
        <w:contextualSpacing/>
        <w:jc w:val="left"/>
        <w:rPr>
          <w:rFonts w:ascii="仿宋" w:hAnsi="仿宋" w:eastAsia="仿宋"/>
          <w:sz w:val="32"/>
          <w:szCs w:val="32"/>
        </w:rPr>
      </w:pPr>
      <w:r>
        <w:rPr>
          <w:rFonts w:hint="eastAsia" w:ascii="仿宋" w:hAnsi="仿宋" w:eastAsia="仿宋"/>
          <w:color w:val="000000"/>
          <w:sz w:val="32"/>
          <w:szCs w:val="32"/>
        </w:rPr>
        <w:t>（7）建立</w:t>
      </w:r>
      <w:r>
        <w:rPr>
          <w:rFonts w:hint="eastAsia" w:ascii="仿宋" w:hAnsi="仿宋" w:eastAsia="仿宋"/>
          <w:sz w:val="32"/>
          <w:szCs w:val="32"/>
        </w:rPr>
        <w:t>正常的巡视制度并明确重点保卫目标，做到点、面结合。</w:t>
      </w:r>
    </w:p>
    <w:p>
      <w:pPr>
        <w:ind w:firstLine="480" w:firstLineChars="150"/>
        <w:contextualSpacing/>
        <w:jc w:val="left"/>
        <w:rPr>
          <w:rFonts w:ascii="仿宋" w:hAnsi="仿宋" w:eastAsia="仿宋"/>
          <w:color w:val="000000"/>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保安人员落实</w:t>
      </w:r>
      <w:r>
        <w:rPr>
          <w:rFonts w:ascii="仿宋" w:hAnsi="仿宋" w:eastAsia="仿宋"/>
          <w:sz w:val="32"/>
          <w:szCs w:val="32"/>
        </w:rPr>
        <w:t>24</w:t>
      </w:r>
      <w:r>
        <w:rPr>
          <w:rFonts w:hint="eastAsia" w:ascii="仿宋" w:hAnsi="仿宋" w:eastAsia="仿宋"/>
          <w:sz w:val="32"/>
          <w:szCs w:val="32"/>
        </w:rPr>
        <w:t>小时值班制度，公司对工作情况进行监督和检查。负责不定时地查岗及查夜，不定时巡视办公楼内的消防安全工</w:t>
      </w:r>
      <w:r>
        <w:rPr>
          <w:rFonts w:hint="eastAsia" w:ascii="仿宋" w:hAnsi="仿宋" w:eastAsia="仿宋"/>
          <w:color w:val="000000"/>
          <w:sz w:val="32"/>
          <w:szCs w:val="32"/>
        </w:rPr>
        <w:t>作，夜间保安在工作人员下班后进行巡岗。检查办公室的门窗是否关好，有无安全隐患，对监控室不能控制的照明，需要关闭的进行关闭，并做好巡检记录。</w:t>
      </w:r>
    </w:p>
    <w:p>
      <w:pPr>
        <w:ind w:firstLine="480" w:firstLineChars="150"/>
        <w:contextualSpacing/>
        <w:jc w:val="left"/>
        <w:rPr>
          <w:rFonts w:ascii="仿宋" w:hAnsi="仿宋" w:eastAsia="仿宋"/>
          <w:sz w:val="32"/>
          <w:szCs w:val="32"/>
        </w:rPr>
      </w:pPr>
      <w:r>
        <w:rPr>
          <w:rFonts w:hint="eastAsia" w:ascii="仿宋" w:hAnsi="仿宋" w:eastAsia="仿宋"/>
          <w:color w:val="000000"/>
          <w:sz w:val="32"/>
          <w:szCs w:val="32"/>
        </w:rPr>
        <w:t>（9</w:t>
      </w:r>
      <w:r>
        <w:rPr>
          <w:rFonts w:ascii="仿宋" w:hAnsi="仿宋" w:eastAsia="仿宋"/>
          <w:color w:val="000000"/>
          <w:sz w:val="32"/>
          <w:szCs w:val="32"/>
        </w:rPr>
        <w:t>）</w:t>
      </w:r>
      <w:r>
        <w:rPr>
          <w:rFonts w:hint="eastAsia" w:ascii="仿宋" w:hAnsi="仿宋" w:eastAsia="仿宋"/>
          <w:color w:val="000000"/>
          <w:sz w:val="32"/>
          <w:szCs w:val="32"/>
        </w:rPr>
        <w:t>协助消</w:t>
      </w:r>
      <w:r>
        <w:rPr>
          <w:rFonts w:hint="eastAsia" w:ascii="仿宋" w:hAnsi="仿宋" w:eastAsia="仿宋"/>
          <w:sz w:val="32"/>
          <w:szCs w:val="32"/>
        </w:rPr>
        <w:t>防员完善办公区域内消防安全防范措施，检查消防安全设施、设备、器材的使用情况，保证其能在工作中达到预定的使用效果。</w:t>
      </w:r>
    </w:p>
    <w:p>
      <w:pPr>
        <w:ind w:firstLine="480" w:firstLineChars="150"/>
        <w:contextualSpacing/>
        <w:jc w:val="left"/>
        <w:rPr>
          <w:rFonts w:ascii="仿宋" w:hAnsi="仿宋" w:eastAsia="仿宋"/>
          <w:color w:val="000000"/>
          <w:sz w:val="32"/>
          <w:szCs w:val="32"/>
        </w:rPr>
      </w:pPr>
      <w:r>
        <w:rPr>
          <w:rFonts w:hint="eastAsia" w:ascii="仿宋" w:hAnsi="仿宋" w:eastAsia="仿宋"/>
          <w:sz w:val="32"/>
          <w:szCs w:val="32"/>
        </w:rPr>
        <w:t>（10</w:t>
      </w:r>
      <w:r>
        <w:rPr>
          <w:rFonts w:ascii="仿宋" w:hAnsi="仿宋" w:eastAsia="仿宋"/>
          <w:sz w:val="32"/>
          <w:szCs w:val="32"/>
        </w:rPr>
        <w:t>）</w:t>
      </w:r>
      <w:r>
        <w:rPr>
          <w:rFonts w:hint="eastAsia" w:ascii="仿宋" w:hAnsi="仿宋" w:eastAsia="仿宋"/>
          <w:sz w:val="32"/>
          <w:szCs w:val="32"/>
        </w:rPr>
        <w:t>检查办公楼区内有无妨害公共安全和社会治安秩序的行为，有无违反规</w:t>
      </w:r>
      <w:r>
        <w:rPr>
          <w:rFonts w:hint="eastAsia" w:ascii="仿宋" w:hAnsi="仿宋" w:eastAsia="仿宋"/>
          <w:color w:val="000000"/>
          <w:sz w:val="32"/>
          <w:szCs w:val="32"/>
        </w:rPr>
        <w:t>章制度的行为，并及时进行纠正，妥善处置。确保停放在管辖区域车辆安全及交通秩序井然有序。</w:t>
      </w:r>
    </w:p>
    <w:p>
      <w:pPr>
        <w:ind w:firstLine="480" w:firstLineChars="150"/>
        <w:contextualSpacing/>
        <w:jc w:val="left"/>
        <w:rPr>
          <w:rFonts w:ascii="仿宋" w:hAnsi="仿宋" w:eastAsia="仿宋"/>
          <w:sz w:val="32"/>
          <w:szCs w:val="32"/>
        </w:rPr>
      </w:pPr>
      <w:r>
        <w:rPr>
          <w:rFonts w:hint="eastAsia" w:ascii="仿宋" w:hAnsi="仿宋" w:eastAsia="仿宋"/>
          <w:color w:val="000000"/>
          <w:sz w:val="32"/>
          <w:szCs w:val="32"/>
        </w:rPr>
        <w:t>(11)</w:t>
      </w:r>
      <w:r>
        <w:rPr>
          <w:rFonts w:hint="eastAsia" w:ascii="仿宋" w:hAnsi="仿宋" w:eastAsia="仿宋"/>
          <w:sz w:val="32"/>
          <w:szCs w:val="32"/>
        </w:rPr>
        <w:t>记录好当值期间发生的一切有影响的事情</w:t>
      </w:r>
      <w:r>
        <w:rPr>
          <w:rFonts w:hint="eastAsia" w:ascii="仿宋" w:hAnsi="仿宋" w:eastAsia="仿宋"/>
          <w:color w:val="000000"/>
          <w:sz w:val="32"/>
          <w:szCs w:val="32"/>
        </w:rPr>
        <w:t>，对突发重大事件要填写突发</w:t>
      </w:r>
      <w:r>
        <w:rPr>
          <w:rFonts w:hint="eastAsia" w:ascii="仿宋" w:hAnsi="仿宋" w:eastAsia="仿宋"/>
          <w:sz w:val="32"/>
          <w:szCs w:val="32"/>
        </w:rPr>
        <w:t>事件报告。</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3、保安人员工作纪律（标准）</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（1）遵守国家的法律法规、以及办公楼和物业服务内部各项规章制度。</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（2）坚守岗位，忠于职守，严格执行岗位责任制。</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（3）坚决做到“五不准”，即不准喝酒，不准聊天，不准容留外来人员，不准擅离职守，不准迟到早退。</w:t>
      </w:r>
    </w:p>
    <w:p>
      <w:pPr>
        <w:ind w:firstLine="640" w:firstLineChars="200"/>
        <w:contextualSpacing/>
        <w:jc w:val="left"/>
        <w:rPr>
          <w:rFonts w:ascii="仿宋" w:hAnsi="仿宋" w:eastAsia="仿宋"/>
          <w:sz w:val="32"/>
          <w:szCs w:val="32"/>
        </w:rPr>
      </w:pPr>
      <w:r>
        <w:rPr>
          <w:rFonts w:hint="eastAsia" w:ascii="仿宋" w:hAnsi="仿宋" w:eastAsia="仿宋"/>
          <w:sz w:val="32"/>
          <w:szCs w:val="32"/>
        </w:rPr>
        <w:t>（4）服从管理，听从安排，廉洁奉公，敢于发现和制止各类违规事件。</w:t>
      </w:r>
    </w:p>
    <w:p>
      <w:pPr>
        <w:ind w:firstLine="640" w:firstLineChars="200"/>
        <w:contextualSpacing/>
        <w:jc w:val="left"/>
        <w:rPr>
          <w:rFonts w:ascii="仿宋" w:hAnsi="仿宋" w:eastAsia="仿宋"/>
          <w:sz w:val="32"/>
          <w:szCs w:val="32"/>
        </w:rPr>
      </w:pPr>
      <w:r>
        <w:rPr>
          <w:rFonts w:hint="eastAsia" w:ascii="仿宋" w:hAnsi="仿宋" w:eastAsia="仿宋"/>
          <w:sz w:val="32"/>
          <w:szCs w:val="32"/>
        </w:rPr>
        <w:t>（5）爱护各种器具装备，不能丢失、损坏、转借或随意携带外出。</w:t>
      </w:r>
    </w:p>
    <w:p>
      <w:pPr>
        <w:ind w:firstLine="640" w:firstLineChars="200"/>
        <w:contextualSpacing/>
        <w:jc w:val="left"/>
        <w:rPr>
          <w:rFonts w:ascii="仿宋" w:hAnsi="仿宋" w:eastAsia="仿宋"/>
          <w:sz w:val="32"/>
          <w:szCs w:val="32"/>
        </w:rPr>
      </w:pPr>
      <w:r>
        <w:rPr>
          <w:rFonts w:hint="eastAsia" w:ascii="仿宋" w:hAnsi="仿宋" w:eastAsia="仿宋"/>
          <w:sz w:val="32"/>
          <w:szCs w:val="32"/>
        </w:rPr>
        <w:t>（6）严格执行请、销假制度。保安人员请假，物业服务必须安排其他人员接替工作，保证有熟悉业务的人员带班。</w:t>
      </w:r>
    </w:p>
    <w:p>
      <w:pPr>
        <w:ind w:firstLine="640" w:firstLineChars="200"/>
        <w:contextualSpacing/>
        <w:jc w:val="left"/>
        <w:rPr>
          <w:rFonts w:ascii="仿宋" w:hAnsi="仿宋" w:eastAsia="仿宋"/>
          <w:sz w:val="32"/>
          <w:szCs w:val="32"/>
        </w:rPr>
      </w:pPr>
      <w:r>
        <w:rPr>
          <w:rFonts w:hint="eastAsia" w:ascii="仿宋" w:hAnsi="仿宋" w:eastAsia="仿宋"/>
          <w:sz w:val="32"/>
          <w:szCs w:val="32"/>
        </w:rPr>
        <w:t>4、保安人员交接班制度</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（1）接班保安人员要按规定提前10分钟上岗接班，在登记薄上记录接班时间。</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（2）交接班时，交班的保安人员要把值班中继续注意或处理的问题向接班保安交代、移交清楚。</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接班保安人员验收时发现问题，应由交班保安人员承担责任。验收完毕，交班保安人员离开岗位后所发生的问题由当班保安人员承担责任。所有事情交代清楚后，交班保安人员在离开工作岗位前在登记薄上记录下班时间并且签名。</w:t>
      </w:r>
    </w:p>
    <w:p>
      <w:pPr>
        <w:ind w:firstLine="640" w:firstLineChars="200"/>
        <w:contextualSpacing/>
        <w:jc w:val="left"/>
        <w:rPr>
          <w:rFonts w:ascii="仿宋" w:hAnsi="仿宋" w:eastAsia="仿宋"/>
          <w:sz w:val="32"/>
          <w:szCs w:val="32"/>
        </w:rPr>
      </w:pPr>
      <w:r>
        <w:rPr>
          <w:rFonts w:hint="eastAsia" w:ascii="仿宋" w:hAnsi="仿宋" w:eastAsia="仿宋"/>
          <w:sz w:val="32"/>
          <w:szCs w:val="32"/>
        </w:rPr>
        <w:t>（4）接班人未到，交班人员不得下班。如果接班人员未到，交班人员下班，这期间发生的问题两人共同负责；即使没有发生问题也要分别扣发两人的工资并通报批评。</w:t>
      </w:r>
    </w:p>
    <w:p>
      <w:pPr>
        <w:ind w:firstLine="640" w:firstLineChars="200"/>
        <w:contextualSpacing/>
        <w:jc w:val="left"/>
        <w:rPr>
          <w:rFonts w:ascii="仿宋" w:hAnsi="仿宋" w:eastAsia="仿宋"/>
          <w:sz w:val="32"/>
          <w:szCs w:val="32"/>
        </w:rPr>
      </w:pPr>
      <w:r>
        <w:rPr>
          <w:rFonts w:hint="eastAsia" w:ascii="仿宋" w:hAnsi="仿宋" w:eastAsia="仿宋"/>
          <w:sz w:val="32"/>
          <w:szCs w:val="32"/>
        </w:rPr>
        <w:t>5、日常巡查制度</w:t>
      </w:r>
    </w:p>
    <w:p>
      <w:pPr>
        <w:ind w:firstLine="640" w:firstLineChars="200"/>
        <w:contextualSpacing/>
        <w:jc w:val="left"/>
        <w:rPr>
          <w:rFonts w:ascii="仿宋" w:hAnsi="仿宋" w:eastAsia="仿宋"/>
          <w:sz w:val="32"/>
          <w:szCs w:val="32"/>
        </w:rPr>
      </w:pPr>
      <w:r>
        <w:rPr>
          <w:rFonts w:hint="eastAsia" w:ascii="仿宋" w:hAnsi="仿宋" w:eastAsia="仿宋"/>
          <w:sz w:val="32"/>
          <w:szCs w:val="32"/>
        </w:rPr>
        <w:t>（1）消防器材定期检查确认。</w:t>
      </w:r>
    </w:p>
    <w:p>
      <w:pPr>
        <w:ind w:firstLine="640" w:firstLineChars="200"/>
        <w:contextualSpacing/>
        <w:jc w:val="left"/>
        <w:rPr>
          <w:rFonts w:ascii="仿宋" w:hAnsi="仿宋" w:eastAsia="仿宋"/>
          <w:sz w:val="32"/>
          <w:szCs w:val="32"/>
        </w:rPr>
      </w:pPr>
      <w:r>
        <w:rPr>
          <w:rFonts w:hint="eastAsia" w:ascii="仿宋" w:hAnsi="仿宋" w:eastAsia="仿宋"/>
          <w:sz w:val="32"/>
          <w:szCs w:val="32"/>
        </w:rPr>
        <w:t>（2）要时常对管理区域内所有门窗进行检查，确保安全，每日下班后实行全面巡检，对未关闭的门窗予以关闭。</w:t>
      </w:r>
    </w:p>
    <w:p>
      <w:pPr>
        <w:ind w:firstLine="640" w:firstLineChars="200"/>
        <w:contextualSpacing/>
        <w:jc w:val="left"/>
        <w:rPr>
          <w:rFonts w:ascii="仿宋" w:hAnsi="仿宋" w:eastAsia="仿宋"/>
          <w:sz w:val="32"/>
          <w:szCs w:val="32"/>
        </w:rPr>
      </w:pPr>
      <w:r>
        <w:rPr>
          <w:rFonts w:hint="eastAsia" w:ascii="仿宋" w:hAnsi="仿宋" w:eastAsia="仿宋"/>
          <w:sz w:val="32"/>
          <w:szCs w:val="32"/>
        </w:rPr>
        <w:t>（3）对管理区域外围、楼宇顶端经常检查确认，有无异常现象。</w:t>
      </w:r>
    </w:p>
    <w:p>
      <w:pPr>
        <w:ind w:firstLine="640" w:firstLineChars="200"/>
        <w:contextualSpacing/>
        <w:jc w:val="left"/>
        <w:rPr>
          <w:rFonts w:ascii="仿宋" w:hAnsi="仿宋" w:eastAsia="仿宋"/>
          <w:sz w:val="32"/>
          <w:szCs w:val="32"/>
        </w:rPr>
      </w:pPr>
      <w:r>
        <w:rPr>
          <w:rFonts w:hint="eastAsia" w:ascii="仿宋" w:hAnsi="仿宋" w:eastAsia="仿宋"/>
          <w:sz w:val="32"/>
          <w:szCs w:val="32"/>
        </w:rPr>
        <w:t>（4）对管理区域内配电室、泵房、监控室等要害部位进场检查确认。</w:t>
      </w:r>
    </w:p>
    <w:p>
      <w:pPr>
        <w:ind w:firstLine="640" w:firstLineChars="200"/>
        <w:contextualSpacing/>
        <w:jc w:val="left"/>
        <w:rPr>
          <w:rFonts w:ascii="仿宋" w:hAnsi="仿宋" w:eastAsia="仿宋"/>
          <w:sz w:val="32"/>
          <w:szCs w:val="32"/>
        </w:rPr>
      </w:pPr>
      <w:r>
        <w:rPr>
          <w:rFonts w:hint="eastAsia" w:ascii="仿宋" w:hAnsi="仿宋" w:eastAsia="仿宋"/>
          <w:sz w:val="32"/>
          <w:szCs w:val="32"/>
        </w:rPr>
        <w:t>（5）按照要求对公共区域及设备进行巡回检查，发现隐患及时处理并报告。</w:t>
      </w:r>
    </w:p>
    <w:p>
      <w:pPr>
        <w:ind w:firstLine="640" w:firstLineChars="200"/>
        <w:contextualSpacing/>
        <w:jc w:val="left"/>
        <w:rPr>
          <w:rFonts w:ascii="仿宋" w:hAnsi="仿宋" w:eastAsia="仿宋"/>
          <w:sz w:val="32"/>
          <w:szCs w:val="32"/>
        </w:rPr>
      </w:pPr>
      <w:r>
        <w:rPr>
          <w:rFonts w:hint="eastAsia" w:ascii="仿宋" w:hAnsi="仿宋" w:eastAsia="仿宋"/>
          <w:sz w:val="32"/>
          <w:szCs w:val="32"/>
        </w:rPr>
        <w:t>（6）在巡查过程中，如发现个别部位有特殊情况，如漏水、渗水或冒烟等，应立即向甲方部门领导报告，安排人员参与抢修，以免遭受更大损失。</w:t>
      </w:r>
    </w:p>
    <w:p>
      <w:pPr>
        <w:ind w:firstLine="640" w:firstLineChars="200"/>
        <w:contextualSpacing/>
        <w:jc w:val="left"/>
        <w:rPr>
          <w:rFonts w:ascii="仿宋" w:hAnsi="仿宋" w:eastAsia="仿宋"/>
          <w:sz w:val="32"/>
          <w:szCs w:val="32"/>
        </w:rPr>
      </w:pPr>
      <w:r>
        <w:rPr>
          <w:rFonts w:hint="eastAsia" w:ascii="仿宋" w:hAnsi="仿宋" w:eastAsia="仿宋"/>
          <w:sz w:val="32"/>
          <w:szCs w:val="32"/>
        </w:rPr>
        <w:t>（7）对巡查中或在工作中发现的问题需及时作出处理，对处理不了的问题要及时上报。</w:t>
      </w:r>
    </w:p>
    <w:p>
      <w:pPr>
        <w:ind w:firstLine="640" w:firstLineChars="200"/>
        <w:contextualSpacing/>
        <w:jc w:val="left"/>
        <w:rPr>
          <w:rFonts w:ascii="仿宋" w:hAnsi="仿宋" w:eastAsia="仿宋"/>
          <w:sz w:val="32"/>
          <w:szCs w:val="32"/>
        </w:rPr>
      </w:pPr>
      <w:r>
        <w:rPr>
          <w:rFonts w:hint="eastAsia" w:ascii="仿宋" w:hAnsi="仿宋" w:eastAsia="仿宋"/>
          <w:sz w:val="32"/>
          <w:szCs w:val="32"/>
        </w:rPr>
        <w:t>（8）当班人员要注意对巡查结果进行跟踪处理，了解处理情况并记录结果，对两次记录以上但仍未解决之情况应上报主管领导。</w:t>
      </w:r>
    </w:p>
    <w:p>
      <w:pPr>
        <w:ind w:firstLine="640" w:firstLineChars="200"/>
        <w:contextualSpacing/>
        <w:jc w:val="left"/>
        <w:rPr>
          <w:rFonts w:ascii="仿宋" w:hAnsi="仿宋" w:eastAsia="仿宋" w:cs="Lucida Sans Unicode"/>
          <w:sz w:val="32"/>
          <w:szCs w:val="32"/>
        </w:rPr>
      </w:pPr>
      <w:r>
        <w:rPr>
          <w:rFonts w:hint="eastAsia" w:ascii="仿宋" w:hAnsi="仿宋" w:eastAsia="仿宋" w:cs="Lucida Sans Unicode"/>
          <w:sz w:val="32"/>
          <w:szCs w:val="32"/>
        </w:rPr>
        <w:t>6.保安工作考核：如发现违反制度的问题，扣款将从甲方付给乙方的服务费中扣除，具体规定如下：</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（1）</w:t>
      </w:r>
      <w:r>
        <w:rPr>
          <w:rFonts w:hint="eastAsia" w:ascii="仿宋" w:hAnsi="仿宋" w:eastAsia="仿宋"/>
          <w:color w:val="000000"/>
          <w:sz w:val="32"/>
          <w:szCs w:val="32"/>
        </w:rPr>
        <w:t>保安警容、着装、接待不规范，不符合要求，每查处一次扣</w:t>
      </w:r>
      <w:r>
        <w:rPr>
          <w:rFonts w:ascii="仿宋" w:hAnsi="仿宋" w:eastAsia="仿宋"/>
          <w:color w:val="000000"/>
          <w:sz w:val="32"/>
          <w:szCs w:val="32"/>
        </w:rPr>
        <w:t>50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（2）</w:t>
      </w:r>
      <w:r>
        <w:rPr>
          <w:rFonts w:hint="eastAsia" w:ascii="仿宋" w:hAnsi="仿宋" w:eastAsia="仿宋"/>
          <w:color w:val="000000"/>
          <w:sz w:val="32"/>
          <w:szCs w:val="32"/>
        </w:rPr>
        <w:t>不能礼貌用语，文明工作，每查处一次扣</w:t>
      </w:r>
      <w:r>
        <w:rPr>
          <w:rFonts w:ascii="仿宋" w:hAnsi="仿宋" w:eastAsia="仿宋"/>
          <w:color w:val="000000"/>
          <w:sz w:val="32"/>
          <w:szCs w:val="32"/>
        </w:rPr>
        <w:t>50</w:t>
      </w:r>
      <w:r>
        <w:rPr>
          <w:rFonts w:hint="eastAsia" w:ascii="仿宋" w:hAnsi="仿宋" w:eastAsia="仿宋"/>
          <w:color w:val="000000"/>
          <w:sz w:val="32"/>
          <w:szCs w:val="32"/>
        </w:rPr>
        <w:t>元。</w:t>
      </w:r>
      <w:r>
        <w:rPr>
          <w:rFonts w:hint="eastAsia" w:ascii="宋体" w:hAnsi="宋体" w:cs="宋体"/>
          <w:color w:val="000000"/>
          <w:sz w:val="32"/>
          <w:szCs w:val="32"/>
        </w:rPr>
        <w:t> </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（3）</w:t>
      </w:r>
      <w:r>
        <w:rPr>
          <w:rFonts w:hint="eastAsia" w:ascii="仿宋" w:hAnsi="仿宋" w:eastAsia="仿宋"/>
          <w:color w:val="000000"/>
          <w:sz w:val="32"/>
          <w:szCs w:val="32"/>
        </w:rPr>
        <w:t>未经登记放入外来人员，进入办公楼，或异常现象未向上级报告，每查处一次扣</w:t>
      </w:r>
      <w:r>
        <w:rPr>
          <w:rFonts w:ascii="仿宋" w:hAnsi="仿宋" w:eastAsia="仿宋"/>
          <w:color w:val="000000"/>
          <w:sz w:val="32"/>
          <w:szCs w:val="32"/>
        </w:rPr>
        <w:t>500</w:t>
      </w:r>
      <w:r>
        <w:rPr>
          <w:rFonts w:hint="eastAsia" w:ascii="仿宋" w:hAnsi="仿宋" w:eastAsia="仿宋"/>
          <w:color w:val="000000"/>
          <w:sz w:val="32"/>
          <w:szCs w:val="32"/>
        </w:rPr>
        <w:t>元。</w:t>
      </w:r>
      <w:r>
        <w:rPr>
          <w:rFonts w:hint="eastAsia" w:ascii="宋体" w:hAnsi="宋体" w:cs="宋体"/>
          <w:color w:val="000000"/>
          <w:sz w:val="32"/>
          <w:szCs w:val="32"/>
        </w:rPr>
        <w:t> </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（4）</w:t>
      </w:r>
      <w:r>
        <w:rPr>
          <w:rFonts w:hint="eastAsia" w:ascii="仿宋" w:hAnsi="仿宋" w:eastAsia="仿宋"/>
          <w:color w:val="000000"/>
          <w:sz w:val="32"/>
          <w:szCs w:val="32"/>
        </w:rPr>
        <w:t>物资出入办公楼大门，没有有效出门证放行，每查处一次扣</w:t>
      </w:r>
      <w:r>
        <w:rPr>
          <w:rFonts w:ascii="仿宋" w:hAnsi="仿宋" w:eastAsia="仿宋"/>
          <w:color w:val="000000"/>
          <w:sz w:val="32"/>
          <w:szCs w:val="32"/>
        </w:rPr>
        <w:t>500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（5）</w:t>
      </w:r>
      <w:r>
        <w:rPr>
          <w:rFonts w:hint="eastAsia" w:ascii="仿宋" w:hAnsi="仿宋" w:eastAsia="仿宋"/>
          <w:color w:val="000000"/>
          <w:sz w:val="32"/>
          <w:szCs w:val="32"/>
        </w:rPr>
        <w:t>交接班制度、警卫室管理办法未执行到位，每查处一次扣</w:t>
      </w:r>
      <w:r>
        <w:rPr>
          <w:rFonts w:ascii="仿宋" w:hAnsi="仿宋" w:eastAsia="仿宋"/>
          <w:color w:val="000000"/>
          <w:sz w:val="32"/>
          <w:szCs w:val="32"/>
        </w:rPr>
        <w:t>100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（6）</w:t>
      </w:r>
      <w:r>
        <w:rPr>
          <w:rFonts w:hint="eastAsia" w:ascii="仿宋" w:hAnsi="仿宋" w:eastAsia="仿宋"/>
          <w:color w:val="000000"/>
          <w:sz w:val="32"/>
          <w:szCs w:val="32"/>
        </w:rPr>
        <w:t>迟到、早退、脱岗、睡岗（白天），每查处一次扣</w:t>
      </w:r>
      <w:r>
        <w:rPr>
          <w:rFonts w:ascii="仿宋" w:hAnsi="仿宋" w:eastAsia="仿宋"/>
          <w:color w:val="000000"/>
          <w:sz w:val="32"/>
          <w:szCs w:val="32"/>
        </w:rPr>
        <w:t>100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（7）</w:t>
      </w:r>
      <w:r>
        <w:rPr>
          <w:rFonts w:hint="eastAsia" w:ascii="仿宋" w:hAnsi="仿宋" w:eastAsia="仿宋"/>
          <w:color w:val="000000"/>
          <w:sz w:val="32"/>
          <w:szCs w:val="32"/>
        </w:rPr>
        <w:t>酒后上岗或者在岗喝酒每查处一次扣</w:t>
      </w:r>
      <w:r>
        <w:rPr>
          <w:rFonts w:ascii="仿宋" w:hAnsi="仿宋" w:eastAsia="仿宋"/>
          <w:color w:val="000000"/>
          <w:sz w:val="32"/>
          <w:szCs w:val="32"/>
        </w:rPr>
        <w:t>1000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sz w:val="32"/>
          <w:szCs w:val="32"/>
        </w:rPr>
        <w:t>（8）</w:t>
      </w:r>
      <w:r>
        <w:rPr>
          <w:rFonts w:hint="eastAsia" w:ascii="仿宋" w:hAnsi="仿宋" w:eastAsia="仿宋"/>
          <w:color w:val="000000"/>
          <w:sz w:val="32"/>
          <w:szCs w:val="32"/>
        </w:rPr>
        <w:t>不按规定停放车辆，每查处一次扣</w:t>
      </w:r>
      <w:r>
        <w:rPr>
          <w:rFonts w:ascii="仿宋" w:hAnsi="仿宋" w:eastAsia="仿宋"/>
          <w:color w:val="000000"/>
          <w:sz w:val="32"/>
          <w:szCs w:val="32"/>
        </w:rPr>
        <w:t>100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（9）疏于职守，被楼内其他部门投诉的，每次扣</w:t>
      </w:r>
      <w:r>
        <w:rPr>
          <w:rFonts w:ascii="仿宋" w:hAnsi="仿宋" w:eastAsia="仿宋"/>
          <w:color w:val="000000"/>
          <w:sz w:val="32"/>
          <w:szCs w:val="32"/>
        </w:rPr>
        <w:t>300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（10）推销、上访和其他闲散人员混入楼内每次扣</w:t>
      </w:r>
      <w:r>
        <w:rPr>
          <w:rFonts w:ascii="仿宋" w:hAnsi="仿宋" w:eastAsia="仿宋"/>
          <w:color w:val="000000"/>
          <w:sz w:val="32"/>
          <w:szCs w:val="32"/>
        </w:rPr>
        <w:t>500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（11）其他临时任务配合不及时，态度不认真，或相互推诿的，每次扣</w:t>
      </w:r>
      <w:r>
        <w:rPr>
          <w:rFonts w:ascii="仿宋" w:hAnsi="仿宋" w:eastAsia="仿宋"/>
          <w:color w:val="000000"/>
          <w:sz w:val="32"/>
          <w:szCs w:val="32"/>
        </w:rPr>
        <w:t>300</w:t>
      </w:r>
      <w:r>
        <w:rPr>
          <w:rFonts w:hint="eastAsia" w:ascii="仿宋" w:hAnsi="仿宋" w:eastAsia="仿宋"/>
          <w:color w:val="000000"/>
          <w:sz w:val="32"/>
          <w:szCs w:val="32"/>
        </w:rPr>
        <w:t>元。</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（12）夜间未进行巡查，每查处一次扣</w:t>
      </w:r>
      <w:r>
        <w:rPr>
          <w:rFonts w:ascii="仿宋" w:hAnsi="仿宋" w:eastAsia="仿宋"/>
          <w:color w:val="000000"/>
          <w:sz w:val="32"/>
          <w:szCs w:val="32"/>
        </w:rPr>
        <w:t>200</w:t>
      </w:r>
      <w:r>
        <w:rPr>
          <w:rFonts w:hint="eastAsia" w:ascii="仿宋" w:hAnsi="仿宋" w:eastAsia="仿宋"/>
          <w:color w:val="000000"/>
          <w:sz w:val="32"/>
          <w:szCs w:val="32"/>
        </w:rPr>
        <w:t>元。</w:t>
      </w:r>
    </w:p>
    <w:p>
      <w:pPr>
        <w:ind w:firstLine="640" w:firstLineChars="200"/>
        <w:contextualSpacing/>
        <w:jc w:val="left"/>
        <w:rPr>
          <w:rFonts w:ascii="仿宋" w:hAnsi="仿宋" w:eastAsia="仿宋" w:cs="Lucida Sans Unicode"/>
          <w:sz w:val="32"/>
          <w:szCs w:val="32"/>
        </w:rPr>
      </w:pPr>
      <w:r>
        <w:rPr>
          <w:rFonts w:hint="eastAsia" w:ascii="仿宋" w:hAnsi="仿宋" w:eastAsia="仿宋" w:cs="Lucida Sans Unicode"/>
          <w:sz w:val="32"/>
          <w:szCs w:val="32"/>
        </w:rPr>
        <w:t>（三）食堂管理：</w:t>
      </w:r>
    </w:p>
    <w:p>
      <w:pPr>
        <w:ind w:firstLine="640" w:firstLineChars="200"/>
        <w:contextualSpacing/>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、餐饮服务范围：负责工作人员日常供餐、临时任务供餐等服务。</w:t>
      </w:r>
    </w:p>
    <w:p>
      <w:pPr>
        <w:ind w:firstLine="640" w:firstLineChars="200"/>
        <w:contextualSpacing/>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、服务要求：保证早餐人、午餐人就餐需求。</w:t>
      </w:r>
    </w:p>
    <w:p>
      <w:pPr>
        <w:ind w:firstLine="640" w:firstLineChars="200"/>
        <w:contextualSpacing/>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、人员配置及岗位：其中厨师2人，帮厨4人，面点师2人（乙方提供的服务人员须有健康证，相关岗位须有相关职业资格证书。）</w:t>
      </w:r>
    </w:p>
    <w:p>
      <w:pPr>
        <w:ind w:firstLine="640" w:firstLineChars="200"/>
        <w:contextualSpacing/>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、餐厅服务标准：</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00"/>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序号</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服务内容</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ascii="仿宋" w:hAnsi="仿宋" w:eastAsia="仿宋"/>
                <w:color w:val="000000"/>
                <w:sz w:val="32"/>
                <w:szCs w:val="32"/>
              </w:rPr>
              <w:t>1</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服务人员上岗要求</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仪容仪表符合工作要求，上班着工装，佩戴工号牌，短发不过耳，长发用头花盘好，不允许留长指甲、染指甲。</w:t>
            </w:r>
          </w:p>
          <w:p>
            <w:pPr>
              <w:contextualSpacing/>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文明礼貌服务，语调温和亲切，微笑迎客、敬语待客、谦逊谢客。</w:t>
            </w:r>
          </w:p>
          <w:p>
            <w:pPr>
              <w:contextualSpacing/>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严格遵守劳动纪律，不脱岗、串岗。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ascii="仿宋" w:hAnsi="仿宋" w:eastAsia="仿宋"/>
                <w:color w:val="000000"/>
                <w:sz w:val="32"/>
                <w:szCs w:val="32"/>
              </w:rPr>
              <w:t>2</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餐前准备</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室内通风良好、温度适宜、光线充足、桌椅摆放整齐、卫生整洁。</w:t>
            </w:r>
          </w:p>
          <w:p>
            <w:pPr>
              <w:contextualSpacing/>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餐厅桌椅摆放整齐，桌面物品摆放有序，传菜间备品准备好。</w:t>
            </w:r>
          </w:p>
          <w:p>
            <w:pPr>
              <w:contextualSpacing/>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)墙面、地面整洁干净，无污渍、水渍。</w:t>
            </w:r>
          </w:p>
          <w:p>
            <w:pPr>
              <w:contextualSpacing/>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餐具摆放整洁有序。</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5</w:t>
            </w:r>
            <w:r>
              <w:rPr>
                <w:rFonts w:ascii="仿宋" w:hAnsi="仿宋" w:eastAsia="仿宋"/>
                <w:color w:val="000000"/>
                <w:sz w:val="32"/>
                <w:szCs w:val="32"/>
              </w:rPr>
              <w:t>)</w:t>
            </w:r>
            <w:r>
              <w:rPr>
                <w:rFonts w:hint="eastAsia" w:ascii="仿宋" w:hAnsi="仿宋" w:eastAsia="仿宋"/>
                <w:color w:val="000000"/>
                <w:sz w:val="32"/>
                <w:szCs w:val="32"/>
              </w:rPr>
              <w:t>室内温度适宜、光线充足，空气清新。</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6</w:t>
            </w:r>
            <w:r>
              <w:rPr>
                <w:rFonts w:ascii="仿宋" w:hAnsi="仿宋" w:eastAsia="仿宋"/>
                <w:color w:val="000000"/>
                <w:sz w:val="32"/>
                <w:szCs w:val="32"/>
              </w:rPr>
              <w:t>)</w:t>
            </w:r>
            <w:r>
              <w:rPr>
                <w:rFonts w:hint="eastAsia" w:ascii="仿宋" w:hAnsi="仿宋" w:eastAsia="仿宋"/>
                <w:color w:val="000000"/>
                <w:sz w:val="32"/>
                <w:szCs w:val="32"/>
              </w:rPr>
              <w:t>餐盘、筷子、碗、餐巾纸等配备齐全，摆放有序，卫生达标。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ascii="仿宋" w:hAnsi="仿宋" w:eastAsia="仿宋"/>
                <w:color w:val="000000"/>
                <w:sz w:val="32"/>
                <w:szCs w:val="32"/>
              </w:rPr>
              <w:t>3</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用餐服务</w:t>
            </w:r>
          </w:p>
        </w:tc>
        <w:tc>
          <w:tcPr>
            <w:tcW w:w="61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要注意器皿边缘及餐桌台面的卫生。</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z w:val="32"/>
                <w:szCs w:val="32"/>
              </w:rPr>
              <w:t>及时观察菜品是否需添加，与厨房做好沟通。</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3</w:t>
            </w:r>
            <w:r>
              <w:rPr>
                <w:rFonts w:ascii="仿宋" w:hAnsi="仿宋" w:eastAsia="仿宋"/>
                <w:color w:val="000000"/>
                <w:sz w:val="32"/>
                <w:szCs w:val="32"/>
              </w:rPr>
              <w:t>)</w:t>
            </w:r>
            <w:r>
              <w:rPr>
                <w:rFonts w:hint="eastAsia" w:ascii="仿宋" w:hAnsi="仿宋" w:eastAsia="仿宋"/>
                <w:color w:val="000000"/>
                <w:sz w:val="32"/>
                <w:szCs w:val="32"/>
              </w:rPr>
              <w:t>就餐人员用完餐后，提醒就餐人员把餐盘放到送餐处。</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倒餐时使用礼貌用语，提醒就餐人员自觉排队，倒餐处保持干净整洁。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4</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餐后</w:t>
            </w:r>
          </w:p>
          <w:p>
            <w:pPr>
              <w:contextualSpacing/>
              <w:jc w:val="center"/>
              <w:rPr>
                <w:rFonts w:ascii="仿宋" w:hAnsi="仿宋" w:eastAsia="仿宋"/>
                <w:color w:val="000000"/>
                <w:sz w:val="32"/>
                <w:szCs w:val="32"/>
              </w:rPr>
            </w:pPr>
            <w:r>
              <w:rPr>
                <w:rFonts w:hint="eastAsia" w:ascii="仿宋" w:hAnsi="仿宋" w:eastAsia="仿宋"/>
                <w:color w:val="000000"/>
                <w:sz w:val="32"/>
                <w:szCs w:val="32"/>
              </w:rPr>
              <w:t>收尾工作</w:t>
            </w:r>
          </w:p>
        </w:tc>
        <w:tc>
          <w:tcPr>
            <w:tcW w:w="6186" w:type="dxa"/>
            <w:tcBorders>
              <w:top w:val="single" w:color="auto" w:sz="4" w:space="0"/>
              <w:left w:val="single" w:color="auto" w:sz="4" w:space="0"/>
              <w:bottom w:val="single" w:color="auto" w:sz="4" w:space="0"/>
              <w:right w:val="single" w:color="auto" w:sz="4" w:space="0"/>
            </w:tcBorders>
            <w:noWrap w:val="0"/>
            <w:vAlign w:val="top"/>
          </w:tcPr>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撤餐具，清理台面。</w:t>
            </w:r>
          </w:p>
          <w:p>
            <w:pPr>
              <w:contextualSpacing/>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z w:val="32"/>
                <w:szCs w:val="32"/>
              </w:rPr>
              <w:t>清洁餐厅整体卫生，关闭电源门窗等。</w:t>
            </w:r>
          </w:p>
        </w:tc>
      </w:tr>
    </w:tbl>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5、餐厅的清洁标准：</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00"/>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序号</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项目</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1</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餐桌餐椅</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①保持餐桌桌面光洁，无油腻、杂物；</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②餐椅无灰尘、无油污；</w:t>
            </w:r>
          </w:p>
          <w:p>
            <w:pPr>
              <w:contextualSpacing/>
              <w:jc w:val="left"/>
              <w:rPr>
                <w:rFonts w:ascii="仿宋" w:hAnsi="仿宋" w:eastAsia="仿宋"/>
                <w:color w:val="000000"/>
                <w:sz w:val="32"/>
                <w:szCs w:val="32"/>
              </w:rPr>
            </w:pPr>
            <w:r>
              <w:rPr>
                <w:rFonts w:hint="eastAsia" w:ascii="仿宋" w:hAnsi="仿宋" w:eastAsia="仿宋"/>
                <w:color w:val="000000"/>
                <w:sz w:val="32"/>
                <w:szCs w:val="32"/>
              </w:rPr>
              <w:t>③就餐时随时收拾桌上的碗盘，清理餐桌的剩饭、杂物等。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2</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地面、水池</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①地面整洁干净，无污渍；</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②餐桌餐椅底等死角无灰尘、无遗弃食物等；</w:t>
            </w:r>
          </w:p>
          <w:p>
            <w:pPr>
              <w:contextualSpacing/>
              <w:jc w:val="left"/>
              <w:rPr>
                <w:rFonts w:ascii="仿宋" w:hAnsi="仿宋" w:eastAsia="仿宋"/>
                <w:color w:val="000000"/>
                <w:sz w:val="32"/>
                <w:szCs w:val="32"/>
              </w:rPr>
            </w:pPr>
            <w:r>
              <w:rPr>
                <w:rFonts w:hint="eastAsia" w:ascii="仿宋" w:hAnsi="仿宋" w:eastAsia="仿宋"/>
                <w:color w:val="000000"/>
                <w:sz w:val="32"/>
                <w:szCs w:val="32"/>
              </w:rPr>
              <w:t>③水池无剩饭剩菜等异物。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3</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墙面、门窗</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①墙面无污垢，无灰网；</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②门窗保洁明亮、无尘、无污印。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4</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残食区</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①残食日产日清；</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②残食桶须每日清洁，保持干净。</w:t>
            </w:r>
          </w:p>
        </w:tc>
      </w:tr>
    </w:tbl>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6、餐厅的食品安全要求：</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00"/>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序号</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项目</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1</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原材料</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①严把采购第一关，必须从正规渠道购买食物，确保食品无污染、无毒、无变质；</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②杜绝“三无”产品；</w:t>
            </w:r>
          </w:p>
          <w:p>
            <w:pPr>
              <w:contextualSpacing/>
              <w:jc w:val="left"/>
              <w:rPr>
                <w:rFonts w:ascii="仿宋" w:hAnsi="仿宋" w:eastAsia="仿宋"/>
                <w:color w:val="000000"/>
                <w:sz w:val="32"/>
                <w:szCs w:val="32"/>
              </w:rPr>
            </w:pPr>
            <w:r>
              <w:rPr>
                <w:rFonts w:hint="eastAsia" w:ascii="仿宋" w:hAnsi="仿宋" w:eastAsia="仿宋"/>
                <w:color w:val="000000"/>
                <w:sz w:val="32"/>
                <w:szCs w:val="32"/>
              </w:rPr>
              <w:t>③隔夜剩饭菜应及时处理，原则上不予保留。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2</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食品质量</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①米饭：米质量好，色泽纯正，不糊，不夹生，软硬适当；</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②菜肴：色味鲜美，原料新鲜，无杂物；</w:t>
            </w:r>
          </w:p>
          <w:p>
            <w:pPr>
              <w:contextualSpacing/>
              <w:jc w:val="left"/>
              <w:rPr>
                <w:rFonts w:ascii="仿宋" w:hAnsi="仿宋" w:eastAsia="仿宋"/>
                <w:color w:val="000000"/>
                <w:sz w:val="32"/>
                <w:szCs w:val="32"/>
              </w:rPr>
            </w:pPr>
            <w:r>
              <w:rPr>
                <w:rFonts w:hint="eastAsia" w:ascii="仿宋" w:hAnsi="仿宋" w:eastAsia="仿宋"/>
                <w:color w:val="000000"/>
                <w:sz w:val="32"/>
                <w:szCs w:val="32"/>
              </w:rPr>
              <w:t>③面制品：软硬适当，色泽纯正，均匀足量。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3</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仿宋" w:hAnsi="仿宋" w:eastAsia="仿宋"/>
                <w:color w:val="000000"/>
                <w:sz w:val="32"/>
                <w:szCs w:val="32"/>
              </w:rPr>
            </w:pPr>
            <w:r>
              <w:rPr>
                <w:rFonts w:hint="eastAsia" w:ascii="仿宋" w:hAnsi="仿宋" w:eastAsia="仿宋"/>
                <w:color w:val="000000"/>
                <w:sz w:val="32"/>
                <w:szCs w:val="32"/>
              </w:rPr>
              <w:t>操作、存储</w:t>
            </w:r>
          </w:p>
        </w:tc>
        <w:tc>
          <w:tcPr>
            <w:tcW w:w="6186" w:type="dxa"/>
            <w:tcBorders>
              <w:top w:val="single" w:color="auto" w:sz="4" w:space="0"/>
              <w:left w:val="single" w:color="auto" w:sz="4" w:space="0"/>
              <w:bottom w:val="single" w:color="auto" w:sz="4" w:space="0"/>
              <w:right w:val="single" w:color="auto" w:sz="4" w:space="0"/>
            </w:tcBorders>
            <w:noWrap w:val="0"/>
            <w:vAlign w:val="center"/>
          </w:tcPr>
          <w:p>
            <w:pPr>
              <w:contextualSpacing/>
              <w:jc w:val="left"/>
              <w:rPr>
                <w:rFonts w:ascii="仿宋" w:hAnsi="仿宋" w:eastAsia="仿宋"/>
                <w:color w:val="000000"/>
                <w:sz w:val="32"/>
                <w:szCs w:val="32"/>
              </w:rPr>
            </w:pPr>
            <w:r>
              <w:rPr>
                <w:rFonts w:hint="eastAsia" w:ascii="仿宋" w:hAnsi="仿宋" w:eastAsia="仿宋"/>
                <w:color w:val="000000"/>
                <w:sz w:val="32"/>
                <w:szCs w:val="32"/>
              </w:rPr>
              <w:t>①生与熟、成品与半成品、食物与杂物、食品与天然物隔离好，防止生熟交叉感染；</w:t>
            </w:r>
          </w:p>
          <w:p>
            <w:pPr>
              <w:contextualSpacing/>
              <w:jc w:val="left"/>
              <w:rPr>
                <w:rFonts w:ascii="仿宋" w:hAnsi="仿宋" w:eastAsia="仿宋"/>
                <w:color w:val="000000"/>
                <w:sz w:val="32"/>
                <w:szCs w:val="32"/>
              </w:rPr>
            </w:pPr>
            <w:r>
              <w:rPr>
                <w:rFonts w:hint="eastAsia" w:ascii="仿宋" w:hAnsi="仿宋" w:eastAsia="仿宋"/>
                <w:color w:val="000000"/>
                <w:sz w:val="32"/>
                <w:szCs w:val="32"/>
              </w:rPr>
              <w:t>②操作时按照原料、半成品的顺序进行流程布局；</w:t>
            </w:r>
          </w:p>
          <w:p>
            <w:pPr>
              <w:contextualSpacing/>
              <w:jc w:val="left"/>
              <w:rPr>
                <w:rFonts w:ascii="仿宋" w:hAnsi="仿宋" w:eastAsia="仿宋"/>
                <w:color w:val="000000"/>
                <w:sz w:val="32"/>
                <w:szCs w:val="32"/>
              </w:rPr>
            </w:pPr>
            <w:r>
              <w:rPr>
                <w:rFonts w:hint="eastAsia" w:ascii="仿宋" w:hAnsi="仿宋" w:eastAsia="仿宋"/>
                <w:color w:val="000000"/>
                <w:sz w:val="32"/>
                <w:szCs w:val="32"/>
              </w:rPr>
              <w:t>③餐厅内严禁放置有毒物品。</w:t>
            </w:r>
          </w:p>
        </w:tc>
      </w:tr>
    </w:tbl>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(四)设备设施维护养护范围：</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1、设备设施维护养护服务内容：①供电系统的日常维修及养护；②其他维修。</w:t>
      </w:r>
    </w:p>
    <w:p>
      <w:pPr>
        <w:ind w:firstLine="640" w:firstLineChars="200"/>
        <w:contextualSpacing/>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、人员配置及岗位：电工1人，水暖工1人，乙方所提供的维护人员必须持证上岗。</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3、设备设施的维护养护标准</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（1）设备间卫生清洁，物品摆放整齐。</w:t>
      </w:r>
    </w:p>
    <w:p>
      <w:pPr>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（2）配电室</w:t>
      </w:r>
      <w:r>
        <w:rPr>
          <w:rFonts w:ascii="仿宋" w:hAnsi="仿宋" w:eastAsia="仿宋"/>
          <w:color w:val="000000"/>
          <w:sz w:val="32"/>
          <w:szCs w:val="32"/>
        </w:rPr>
        <w:t>24</w:t>
      </w:r>
      <w:r>
        <w:rPr>
          <w:rFonts w:hint="eastAsia" w:ascii="仿宋" w:hAnsi="仿宋" w:eastAsia="仿宋"/>
          <w:color w:val="000000"/>
          <w:sz w:val="32"/>
          <w:szCs w:val="32"/>
        </w:rPr>
        <w:t>小时专人值守。每天对供电设施设备进行巡检。</w:t>
      </w:r>
    </w:p>
    <w:p>
      <w:pPr>
        <w:ind w:firstLine="640" w:firstLineChars="200"/>
        <w:contextualSpacing/>
        <w:rPr>
          <w:rFonts w:ascii="仿宋" w:hAnsi="仿宋" w:eastAsia="仿宋"/>
          <w:sz w:val="32"/>
          <w:szCs w:val="32"/>
        </w:rPr>
      </w:pPr>
      <w:r>
        <w:rPr>
          <w:rFonts w:hint="eastAsia" w:ascii="仿宋" w:hAnsi="仿宋" w:eastAsia="仿宋"/>
          <w:sz w:val="32"/>
          <w:szCs w:val="32"/>
        </w:rPr>
        <w:t>4、维修工作的考核标准：</w:t>
      </w:r>
    </w:p>
    <w:p>
      <w:pPr>
        <w:ind w:firstLine="640" w:firstLineChars="200"/>
        <w:contextualSpacing/>
        <w:rPr>
          <w:rFonts w:ascii="仿宋" w:hAnsi="仿宋" w:eastAsia="仿宋"/>
          <w:sz w:val="32"/>
          <w:szCs w:val="32"/>
        </w:rPr>
      </w:pPr>
      <w:r>
        <w:rPr>
          <w:rFonts w:hint="eastAsia" w:ascii="仿宋" w:hAnsi="仿宋" w:eastAsia="仿宋"/>
          <w:sz w:val="32"/>
          <w:szCs w:val="32"/>
        </w:rPr>
        <w:t>（1）按时上下班。上班时间统一着工装、佩戴胸卡，精神饱满，举止得体。</w:t>
      </w:r>
    </w:p>
    <w:p>
      <w:pPr>
        <w:ind w:firstLine="640" w:firstLineChars="200"/>
        <w:contextualSpacing/>
        <w:rPr>
          <w:rFonts w:ascii="仿宋" w:hAnsi="仿宋" w:eastAsia="仿宋"/>
          <w:sz w:val="32"/>
          <w:szCs w:val="32"/>
        </w:rPr>
      </w:pPr>
      <w:r>
        <w:rPr>
          <w:rFonts w:hint="eastAsia" w:ascii="仿宋" w:hAnsi="仿宋" w:eastAsia="仿宋"/>
          <w:sz w:val="32"/>
          <w:szCs w:val="32"/>
        </w:rPr>
        <w:t>（2）每天接到办公楼、楼的报修单或报修电话后，根据工作情况及时安排维修，做到</w:t>
      </w:r>
      <w:r>
        <w:rPr>
          <w:rFonts w:ascii="仿宋" w:hAnsi="仿宋" w:eastAsia="仿宋"/>
          <w:sz w:val="32"/>
          <w:szCs w:val="32"/>
        </w:rPr>
        <w:t>“</w:t>
      </w:r>
      <w:r>
        <w:rPr>
          <w:rFonts w:hint="eastAsia" w:ascii="仿宋" w:hAnsi="仿宋" w:eastAsia="仿宋"/>
          <w:sz w:val="32"/>
          <w:szCs w:val="32"/>
        </w:rPr>
        <w:t>水不过天，电不过夜</w:t>
      </w:r>
      <w:r>
        <w:rPr>
          <w:rFonts w:ascii="仿宋" w:hAnsi="仿宋" w:eastAsia="仿宋"/>
          <w:sz w:val="32"/>
          <w:szCs w:val="32"/>
        </w:rPr>
        <w:t>”</w:t>
      </w:r>
      <w:r>
        <w:rPr>
          <w:rFonts w:hint="eastAsia" w:ascii="仿宋" w:hAnsi="仿宋" w:eastAsia="仿宋"/>
          <w:sz w:val="32"/>
          <w:szCs w:val="32"/>
        </w:rPr>
        <w:t>，不得以任何理由推诿、拖延。</w:t>
      </w:r>
    </w:p>
    <w:p>
      <w:pPr>
        <w:ind w:firstLine="640" w:firstLineChars="200"/>
        <w:contextualSpacing/>
        <w:rPr>
          <w:rFonts w:ascii="仿宋" w:hAnsi="仿宋" w:eastAsia="仿宋"/>
          <w:sz w:val="32"/>
          <w:szCs w:val="32"/>
        </w:rPr>
      </w:pPr>
      <w:r>
        <w:rPr>
          <w:rFonts w:hint="eastAsia" w:ascii="仿宋" w:hAnsi="仿宋" w:eastAsia="仿宋"/>
          <w:sz w:val="32"/>
          <w:szCs w:val="32"/>
        </w:rPr>
        <w:t>（3）服从安排，保质保量完成各项维修及其它临时性工作，不得以任何理由怠工、敷衍。</w:t>
      </w:r>
    </w:p>
    <w:p>
      <w:pPr>
        <w:ind w:firstLine="640" w:firstLineChars="200"/>
        <w:contextualSpacing/>
        <w:rPr>
          <w:rFonts w:ascii="仿宋" w:hAnsi="仿宋" w:eastAsia="仿宋"/>
          <w:sz w:val="32"/>
          <w:szCs w:val="32"/>
        </w:rPr>
      </w:pPr>
      <w:r>
        <w:rPr>
          <w:rFonts w:hint="eastAsia" w:ascii="仿宋" w:hAnsi="仿宋" w:eastAsia="仿宋"/>
          <w:sz w:val="32"/>
          <w:szCs w:val="32"/>
        </w:rPr>
        <w:t>（4）必须定期对用电设施进行巡视。</w:t>
      </w:r>
    </w:p>
    <w:p>
      <w:pPr>
        <w:ind w:firstLine="640" w:firstLineChars="200"/>
        <w:contextualSpacing/>
        <w:rPr>
          <w:rFonts w:ascii="仿宋" w:hAnsi="仿宋" w:eastAsia="仿宋"/>
          <w:sz w:val="32"/>
          <w:szCs w:val="32"/>
        </w:rPr>
      </w:pPr>
      <w:r>
        <w:rPr>
          <w:rFonts w:hint="eastAsia" w:ascii="仿宋" w:hAnsi="仿宋" w:eastAsia="仿宋"/>
          <w:sz w:val="32"/>
          <w:szCs w:val="32"/>
        </w:rPr>
        <w:t>（5）严格管理各类维修材料及维修工具，杜绝假公济私、浪费等现象。</w:t>
      </w:r>
    </w:p>
    <w:p>
      <w:pPr>
        <w:ind w:firstLine="640" w:firstLineChars="200"/>
        <w:contextualSpacing/>
        <w:rPr>
          <w:rFonts w:ascii="仿宋" w:hAnsi="仿宋" w:eastAsia="仿宋"/>
          <w:sz w:val="32"/>
          <w:szCs w:val="32"/>
        </w:rPr>
      </w:pPr>
      <w:r>
        <w:rPr>
          <w:rFonts w:hint="eastAsia" w:ascii="仿宋" w:hAnsi="仿宋" w:eastAsia="仿宋"/>
          <w:sz w:val="32"/>
          <w:szCs w:val="32"/>
        </w:rPr>
        <w:t>（6）自觉接受甲方工作监督，杜绝投诉。</w:t>
      </w:r>
    </w:p>
    <w:p>
      <w:pPr>
        <w:ind w:firstLine="640" w:firstLineChars="200"/>
        <w:contextualSpacing/>
        <w:rPr>
          <w:rFonts w:ascii="仿宋" w:hAnsi="仿宋" w:eastAsia="仿宋"/>
          <w:sz w:val="32"/>
          <w:szCs w:val="32"/>
        </w:rPr>
      </w:pPr>
      <w:r>
        <w:rPr>
          <w:rFonts w:hint="eastAsia" w:ascii="仿宋" w:hAnsi="仿宋" w:eastAsia="仿宋"/>
          <w:sz w:val="32"/>
          <w:szCs w:val="32"/>
        </w:rPr>
        <w:t>（7）服从甲方安排，完成甲方交给的其它工作。</w:t>
      </w:r>
    </w:p>
    <w:p>
      <w:pPr>
        <w:rPr>
          <w:rFonts w:hint="eastAsia"/>
        </w:rPr>
      </w:pPr>
    </w:p>
    <w:p>
      <w:pPr>
        <w:numPr>
          <w:ilvl w:val="0"/>
          <w:numId w:val="0"/>
        </w:numPr>
        <w:rPr>
          <w:rFonts w:hint="eastAsia"/>
        </w:rPr>
      </w:pPr>
    </w:p>
    <w:p>
      <w:pPr>
        <w:pStyle w:val="2"/>
        <w:keepNext/>
        <w:keepLines/>
        <w:pageBreakBefore w:val="0"/>
        <w:widowControl w:val="0"/>
        <w:kinsoku/>
        <w:wordWrap/>
        <w:overflowPunct/>
        <w:topLinePunct w:val="0"/>
        <w:autoSpaceDE/>
        <w:autoSpaceDN/>
        <w:bidi w:val="0"/>
        <w:adjustRightInd/>
        <w:snapToGrid/>
        <w:spacing w:before="20" w:after="2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bookmarkStart w:id="75" w:name="_Toc4485644"/>
      <w:bookmarkStart w:id="76" w:name="_Toc30686"/>
    </w:p>
    <w:p>
      <w:pPr>
        <w:pStyle w:val="2"/>
        <w:keepNext/>
        <w:keepLines/>
        <w:pageBreakBefore w:val="0"/>
        <w:widowControl w:val="0"/>
        <w:kinsoku/>
        <w:wordWrap/>
        <w:overflowPunct/>
        <w:topLinePunct w:val="0"/>
        <w:autoSpaceDE/>
        <w:autoSpaceDN/>
        <w:bidi w:val="0"/>
        <w:adjustRightInd/>
        <w:snapToGrid/>
        <w:spacing w:before="20" w:after="20"/>
        <w:jc w:val="center"/>
        <w:textAlignment w:val="auto"/>
        <w:rPr>
          <w:rFonts w:hint="eastAsia" w:ascii="仿宋_GB2312" w:hAnsi="仿宋_GB2312" w:eastAsia="仿宋_GB2312" w:cs="仿宋_GB2312"/>
        </w:rPr>
      </w:pPr>
      <w:r>
        <w:rPr>
          <w:rFonts w:hint="eastAsia" w:ascii="仿宋_GB2312" w:hAnsi="仿宋_GB2312" w:eastAsia="仿宋_GB2312" w:cs="仿宋_GB2312"/>
          <w:szCs w:val="21"/>
        </w:rPr>
        <w:br w:type="page"/>
      </w:r>
      <w:r>
        <w:rPr>
          <w:rFonts w:hint="eastAsia" w:ascii="仿宋_GB2312" w:hAnsi="仿宋_GB2312" w:eastAsia="仿宋_GB2312" w:cs="仿宋_GB2312"/>
        </w:rPr>
        <w:t>第四章 磋商内容、磋商过程中可能实质性变动的内容</w:t>
      </w:r>
      <w:bookmarkEnd w:id="75"/>
      <w:bookmarkEnd w:id="76"/>
    </w:p>
    <w:p>
      <w:pPr>
        <w:widowControl/>
        <w:snapToGrid w:val="0"/>
        <w:spacing w:line="500" w:lineRule="exact"/>
        <w:jc w:val="left"/>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 xml:space="preserve">    磋商小组根据与供应商磋商情况可能实质性变动的内容（不得变动采购文件中的其他内容）： </w:t>
      </w:r>
    </w:p>
    <w:p>
      <w:pPr>
        <w:rPr>
          <w:rFonts w:hint="eastAsia" w:ascii="仿宋_GB2312" w:hAnsi="仿宋_GB2312" w:eastAsia="仿宋_GB2312" w:cs="仿宋_GB2312"/>
          <w:bCs/>
          <w:kern w:val="0"/>
          <w:szCs w:val="21"/>
        </w:rPr>
      </w:pPr>
    </w:p>
    <w:p>
      <w:pP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1、技术要求</w:t>
      </w:r>
    </w:p>
    <w:p>
      <w:pP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w:t>
      </w:r>
    </w:p>
    <w:p>
      <w:pPr>
        <w:numPr>
          <w:ilvl w:val="0"/>
          <w:numId w:val="5"/>
        </w:numP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服务要求</w:t>
      </w:r>
    </w:p>
    <w:p>
      <w:pP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w:t>
      </w:r>
    </w:p>
    <w:p>
      <w:pP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3、合同草案条款</w:t>
      </w:r>
    </w:p>
    <w:p>
      <w:pPr>
        <w:rPr>
          <w:rFonts w:hint="eastAsia" w:ascii="仿宋_GB2312" w:hAnsi="仿宋_GB2312" w:eastAsia="仿宋_GB2312" w:cs="仿宋_GB2312"/>
        </w:rPr>
      </w:pPr>
      <w:r>
        <w:rPr>
          <w:rFonts w:hint="eastAsia" w:ascii="仿宋_GB2312" w:hAnsi="仿宋_GB2312" w:eastAsia="仿宋_GB2312" w:cs="仿宋_GB2312"/>
        </w:rPr>
        <w:t>……</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r>
        <w:rPr>
          <w:rFonts w:hint="eastAsia" w:ascii="仿宋_GB2312" w:hAnsi="仿宋_GB2312" w:eastAsia="仿宋_GB2312" w:cs="仿宋_GB2312"/>
          <w:bCs/>
          <w:kern w:val="0"/>
          <w:szCs w:val="21"/>
        </w:rPr>
        <w:t>注：采购人不同意采购文件在磋商过程中有任何变动的，直接写无，实质性变动的内容，须经采购人代表确认。</w:t>
      </w:r>
    </w:p>
    <w:p>
      <w:pPr>
        <w:pStyle w:val="2"/>
        <w:jc w:val="center"/>
        <w:rPr>
          <w:rFonts w:hint="eastAsia" w:ascii="仿宋_GB2312" w:hAnsi="仿宋_GB2312" w:eastAsia="仿宋_GB2312" w:cs="仿宋_GB2312"/>
        </w:rPr>
      </w:pPr>
      <w:bookmarkStart w:id="77" w:name="_Toc4485645"/>
      <w:bookmarkStart w:id="78" w:name="_Toc29226"/>
      <w:r>
        <w:rPr>
          <w:rFonts w:ascii="仿宋_GB2312" w:hAnsi="仿宋_GB2312" w:eastAsia="仿宋_GB2312" w:cs="仿宋_GB2312"/>
        </w:rPr>
        <w:br w:type="page"/>
      </w:r>
      <w:r>
        <w:rPr>
          <w:rFonts w:hint="eastAsia" w:ascii="仿宋_GB2312" w:hAnsi="仿宋_GB2312" w:eastAsia="仿宋_GB2312" w:cs="仿宋_GB2312"/>
        </w:rPr>
        <w:t>第五章 评审办法</w:t>
      </w:r>
      <w:bookmarkEnd w:id="77"/>
      <w:bookmarkEnd w:id="78"/>
    </w:p>
    <w:p>
      <w:pPr>
        <w:adjustRightInd w:val="0"/>
        <w:snapToGrid w:val="0"/>
        <w:spacing w:line="360" w:lineRule="auto"/>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本项目将按照采购文件第一章供应商须知中“六 磋商及评审”、“七 确定成交”及本章的规定评审。</w:t>
      </w:r>
    </w:p>
    <w:p>
      <w:pPr>
        <w:adjustRightInd w:val="0"/>
        <w:snapToGrid w:val="0"/>
        <w:spacing w:line="360" w:lineRule="auto"/>
        <w:ind w:firstLine="422" w:firstLineChars="200"/>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一、评审方法</w:t>
      </w:r>
    </w:p>
    <w:p>
      <w:pPr>
        <w:adjustRightInd w:val="0"/>
        <w:snapToGrid w:val="0"/>
        <w:spacing w:line="360" w:lineRule="auto"/>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本项目采用</w:t>
      </w:r>
      <w:r>
        <w:rPr>
          <w:rFonts w:hint="eastAsia" w:ascii="仿宋_GB2312" w:hAnsi="仿宋_GB2312" w:eastAsia="仿宋_GB2312" w:cs="仿宋_GB2312"/>
          <w:kern w:val="0"/>
          <w:szCs w:val="21"/>
          <w:u w:val="single"/>
        </w:rPr>
        <w:t xml:space="preserve">     综合评分法     </w:t>
      </w:r>
      <w:r>
        <w:rPr>
          <w:rFonts w:hint="eastAsia" w:ascii="仿宋_GB2312" w:hAnsi="仿宋_GB2312" w:eastAsia="仿宋_GB2312" w:cs="仿宋_GB2312"/>
          <w:kern w:val="0"/>
          <w:szCs w:val="21"/>
        </w:rPr>
        <w:t>进行</w:t>
      </w:r>
      <w:r>
        <w:rPr>
          <w:rFonts w:hint="eastAsia" w:ascii="仿宋_GB2312" w:hAnsi="仿宋_GB2312" w:eastAsia="仿宋_GB2312" w:cs="仿宋_GB2312"/>
          <w:bCs/>
          <w:kern w:val="0"/>
          <w:szCs w:val="21"/>
        </w:rPr>
        <w:t>评审</w:t>
      </w:r>
      <w:r>
        <w:rPr>
          <w:rFonts w:hint="eastAsia" w:ascii="仿宋_GB2312" w:hAnsi="仿宋_GB2312" w:eastAsia="仿宋_GB2312" w:cs="仿宋_GB2312"/>
          <w:kern w:val="0"/>
          <w:szCs w:val="21"/>
        </w:rPr>
        <w:t>。</w:t>
      </w:r>
    </w:p>
    <w:p>
      <w:pPr>
        <w:adjustRightInd w:val="0"/>
        <w:snapToGrid w:val="0"/>
        <w:spacing w:line="360" w:lineRule="auto"/>
        <w:ind w:firstLine="422" w:firstLineChars="200"/>
        <w:textAlignment w:val="baseline"/>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二、评审原则及程序</w:t>
      </w:r>
    </w:p>
    <w:p>
      <w:pPr>
        <w:adjustRightInd w:val="0"/>
        <w:snapToGrid w:val="0"/>
        <w:spacing w:line="360" w:lineRule="auto"/>
        <w:ind w:firstLine="422" w:firstLineChars="200"/>
        <w:textAlignment w:val="baseline"/>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（一）评审原则</w:t>
      </w:r>
    </w:p>
    <w:p>
      <w:pPr>
        <w:adjustRightInd w:val="0"/>
        <w:snapToGrid w:val="0"/>
        <w:spacing w:line="360" w:lineRule="auto"/>
        <w:ind w:firstLine="420" w:firstLineChars="200"/>
        <w:textAlignment w:val="baseline"/>
        <w:rPr>
          <w:rFonts w:hint="eastAsia" w:ascii="仿宋_GB2312" w:hAnsi="仿宋_GB2312" w:eastAsia="仿宋_GB2312" w:cs="仿宋_GB2312"/>
          <w:kern w:val="0"/>
        </w:rPr>
      </w:pPr>
      <w:r>
        <w:rPr>
          <w:rFonts w:hint="eastAsia" w:ascii="仿宋_GB2312" w:hAnsi="仿宋_GB2312" w:eastAsia="仿宋_GB2312" w:cs="仿宋_GB2312"/>
          <w:kern w:val="0"/>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pPr>
        <w:adjustRightInd w:val="0"/>
        <w:snapToGrid w:val="0"/>
        <w:spacing w:line="360" w:lineRule="auto"/>
        <w:ind w:firstLine="422" w:firstLineChars="200"/>
        <w:textAlignment w:val="baseline"/>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（二）评审程序</w:t>
      </w:r>
    </w:p>
    <w:p>
      <w:pPr>
        <w:adjustRightInd w:val="0"/>
        <w:snapToGrid w:val="0"/>
        <w:spacing w:line="360" w:lineRule="auto"/>
        <w:ind w:firstLine="422" w:firstLineChars="200"/>
        <w:textAlignment w:val="baseline"/>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1、资格审查</w:t>
      </w:r>
    </w:p>
    <w:p>
      <w:pPr>
        <w:adjustRightInd w:val="0"/>
        <w:snapToGrid w:val="0"/>
        <w:spacing w:line="360" w:lineRule="auto"/>
        <w:ind w:firstLine="420" w:firstLineChars="200"/>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详见供应商须知22条。资格审查表详见本章附件1。</w:t>
      </w:r>
    </w:p>
    <w:p>
      <w:pPr>
        <w:numPr>
          <w:ilvl w:val="0"/>
          <w:numId w:val="6"/>
        </w:numPr>
        <w:adjustRightInd w:val="0"/>
        <w:snapToGrid w:val="0"/>
        <w:spacing w:line="360" w:lineRule="auto"/>
        <w:ind w:firstLine="422" w:firstLineChars="200"/>
        <w:textAlignment w:val="baseline"/>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符合性审查</w:t>
      </w:r>
    </w:p>
    <w:p>
      <w:pPr>
        <w:adjustRightInd w:val="0"/>
        <w:snapToGrid w:val="0"/>
        <w:spacing w:line="360" w:lineRule="auto"/>
        <w:ind w:firstLine="420" w:firstLineChars="200"/>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2.1详见供应商须知23条。符合性审查表详见本章附件2。</w:t>
      </w:r>
    </w:p>
    <w:p>
      <w:pPr>
        <w:adjustRightInd w:val="0"/>
        <w:snapToGrid w:val="0"/>
        <w:spacing w:line="360" w:lineRule="auto"/>
        <w:ind w:firstLine="422" w:firstLineChars="200"/>
        <w:textAlignment w:val="baseline"/>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3、样品及演示</w:t>
      </w:r>
    </w:p>
    <w:p>
      <w:pPr>
        <w:adjustRightInd w:val="0"/>
        <w:snapToGrid w:val="0"/>
        <w:spacing w:line="360" w:lineRule="auto"/>
        <w:ind w:firstLine="420" w:firstLineChars="200"/>
        <w:textAlignment w:val="baseline"/>
        <w:rPr>
          <w:rFonts w:hint="eastAsia" w:ascii="仿宋_GB2312" w:hAnsi="仿宋_GB2312" w:eastAsia="仿宋_GB2312" w:cs="仿宋_GB2312"/>
          <w:szCs w:val="21"/>
        </w:rPr>
      </w:pPr>
      <w:r>
        <w:rPr>
          <w:rFonts w:hint="eastAsia" w:ascii="仿宋_GB2312" w:hAnsi="仿宋_GB2312" w:eastAsia="仿宋_GB2312" w:cs="仿宋_GB2312"/>
          <w:szCs w:val="21"/>
        </w:rPr>
        <w:t>3.1</w:t>
      </w:r>
      <w:r>
        <w:rPr>
          <w:rFonts w:hint="eastAsia" w:ascii="仿宋_GB2312" w:hAnsi="仿宋_GB2312" w:eastAsia="仿宋_GB2312" w:cs="仿宋_GB2312"/>
          <w:kern w:val="0"/>
          <w:szCs w:val="21"/>
        </w:rPr>
        <w:t>供应商须知表11.3条</w:t>
      </w:r>
      <w:r>
        <w:rPr>
          <w:rFonts w:hint="eastAsia" w:ascii="仿宋_GB2312" w:hAnsi="仿宋_GB2312" w:eastAsia="仿宋_GB2312" w:cs="仿宋_GB2312"/>
          <w:szCs w:val="21"/>
        </w:rPr>
        <w:t>中要求供应商提供样品或演示的，按照供</w:t>
      </w:r>
      <w:r>
        <w:rPr>
          <w:rFonts w:hint="eastAsia" w:ascii="仿宋_GB2312" w:hAnsi="仿宋_GB2312" w:eastAsia="仿宋_GB2312" w:cs="仿宋_GB2312"/>
          <w:kern w:val="0"/>
          <w:szCs w:val="21"/>
        </w:rPr>
        <w:t>应商须知表24.1条</w:t>
      </w:r>
      <w:r>
        <w:rPr>
          <w:rFonts w:hint="eastAsia" w:ascii="仿宋_GB2312" w:hAnsi="仿宋_GB2312" w:eastAsia="仿宋_GB2312" w:cs="仿宋_GB2312"/>
          <w:szCs w:val="21"/>
        </w:rPr>
        <w:t>中确定的评审方法以及评审标准进行评审。(样品或演示属于符合性审查的，按照供应商</w:t>
      </w:r>
      <w:r>
        <w:rPr>
          <w:rFonts w:hint="eastAsia" w:ascii="仿宋_GB2312" w:hAnsi="仿宋_GB2312" w:eastAsia="仿宋_GB2312" w:cs="仿宋_GB2312"/>
          <w:kern w:val="0"/>
          <w:szCs w:val="21"/>
        </w:rPr>
        <w:t>须知23条</w:t>
      </w:r>
      <w:r>
        <w:rPr>
          <w:rFonts w:hint="eastAsia" w:ascii="仿宋_GB2312" w:hAnsi="仿宋_GB2312" w:eastAsia="仿宋_GB2312" w:cs="仿宋_GB2312"/>
          <w:szCs w:val="21"/>
        </w:rPr>
        <w:t>规定执行）</w:t>
      </w:r>
    </w:p>
    <w:p>
      <w:pPr>
        <w:adjustRightInd w:val="0"/>
        <w:snapToGrid w:val="0"/>
        <w:spacing w:line="360" w:lineRule="auto"/>
        <w:ind w:firstLine="422" w:firstLineChars="200"/>
        <w:textAlignment w:val="baseline"/>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4、磋商</w:t>
      </w:r>
    </w:p>
    <w:p>
      <w:pPr>
        <w:adjustRightInd w:val="0"/>
        <w:snapToGrid w:val="0"/>
        <w:spacing w:line="360" w:lineRule="auto"/>
        <w:ind w:firstLine="420" w:firstLineChars="200"/>
        <w:textAlignment w:val="baseline"/>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详见供应商须知26条。</w:t>
      </w:r>
    </w:p>
    <w:p>
      <w:pPr>
        <w:adjustRightInd w:val="0"/>
        <w:snapToGrid w:val="0"/>
        <w:spacing w:line="360" w:lineRule="auto"/>
        <w:ind w:firstLine="422" w:firstLineChars="200"/>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5、最后报价</w:t>
      </w:r>
    </w:p>
    <w:p>
      <w:pPr>
        <w:adjustRightInd w:val="0"/>
        <w:snapToGrid w:val="0"/>
        <w:spacing w:line="360" w:lineRule="auto"/>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详见供应商须知27条。</w:t>
      </w:r>
    </w:p>
    <w:p>
      <w:pPr>
        <w:adjustRightInd w:val="0"/>
        <w:snapToGrid w:val="0"/>
        <w:spacing w:line="360" w:lineRule="auto"/>
        <w:ind w:firstLine="413" w:firstLineChars="196"/>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6、比较及评价</w:t>
      </w:r>
    </w:p>
    <w:p>
      <w:pPr>
        <w:adjustRightInd w:val="0"/>
        <w:snapToGrid w:val="0"/>
        <w:spacing w:line="360" w:lineRule="auto"/>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6.1磋商小组对通过资格审查、符合性审查的响应文件进行比较和评价。</w:t>
      </w:r>
    </w:p>
    <w:p>
      <w:pPr>
        <w:adjustRightInd w:val="0"/>
        <w:snapToGrid w:val="0"/>
        <w:spacing w:line="360" w:lineRule="auto"/>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6.2在磋商期间，对响应文件的澄清按供应商须知25条内容执行。</w:t>
      </w:r>
    </w:p>
    <w:p>
      <w:pPr>
        <w:adjustRightInd w:val="0"/>
        <w:snapToGrid w:val="0"/>
        <w:spacing w:line="360" w:lineRule="auto"/>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6.3磋商小组</w:t>
      </w:r>
      <w:r>
        <w:rPr>
          <w:rFonts w:hint="eastAsia" w:ascii="仿宋_GB2312" w:hAnsi="仿宋_GB2312" w:eastAsia="仿宋_GB2312" w:cs="仿宋_GB2312"/>
          <w:szCs w:val="21"/>
        </w:rPr>
        <w:t>认为供应商的报价明显低于其他通过符合性审查的供应商报价，有可能影响服务质量或者不能诚信履约的，磋商小组应当要求其在评审现场合理的时间（</w:t>
      </w:r>
      <w:r>
        <w:rPr>
          <w:rFonts w:hint="eastAsia" w:ascii="仿宋_GB2312" w:hAnsi="仿宋_GB2312" w:eastAsia="仿宋_GB2312" w:cs="仿宋_GB2312"/>
          <w:kern w:val="0"/>
          <w:szCs w:val="21"/>
        </w:rPr>
        <w:t>接到通知后</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color w:val="FF0000"/>
          <w:kern w:val="0"/>
          <w:szCs w:val="21"/>
          <w:u w:val="single"/>
        </w:rPr>
        <w:t>半</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供应商不能证明其报价合理性的，磋商小组应当将</w:t>
      </w:r>
      <w:r>
        <w:rPr>
          <w:rFonts w:hint="eastAsia" w:ascii="仿宋_GB2312" w:hAnsi="仿宋_GB2312" w:eastAsia="仿宋_GB2312" w:cs="仿宋_GB2312"/>
          <w:szCs w:val="21"/>
        </w:rPr>
        <w:t>其响应作为</w:t>
      </w:r>
      <w:r>
        <w:rPr>
          <w:rFonts w:hint="eastAsia" w:ascii="仿宋_GB2312" w:hAnsi="仿宋_GB2312" w:eastAsia="仿宋_GB2312" w:cs="仿宋_GB2312"/>
          <w:b/>
          <w:bCs/>
          <w:szCs w:val="21"/>
        </w:rPr>
        <w:t>无效响应处理</w:t>
      </w:r>
      <w:r>
        <w:rPr>
          <w:rFonts w:hint="eastAsia" w:ascii="仿宋_GB2312" w:hAnsi="仿宋_GB2312" w:eastAsia="仿宋_GB2312" w:cs="仿宋_GB2312"/>
          <w:szCs w:val="21"/>
        </w:rPr>
        <w:t>。</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供应商的书面说明材料包含服务本身成本、人工费用、运输、税收等，以及最后报价不会影响服务质量或诚信履约能力的说明等。</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供应商的书面说明应当签字确认或者加盖公章，否则无效。书面说明的签字确认，由其法定代表人（非法人单位负责人或自然人本人）或者其授权代表签字确认。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供应商提供书面说明后，磋商小组应当结合采购项目采购需求、专业实际情况、供应商财务状况报告、与其他供应商比较情况等就供应商的书面说明进行审查评价。供应商如有下列情况的，磋商小组应当将其响应文件作为无效处理：</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（1）拒绝或者变相拒绝提供有效书面说明；</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（2）书面说明不能证明其报价合理性的；</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（3）未在规定时间内递交有效书面说明书的。</w:t>
      </w:r>
    </w:p>
    <w:p>
      <w:pPr>
        <w:adjustRightInd w:val="0"/>
        <w:snapToGrid w:val="0"/>
        <w:spacing w:line="360" w:lineRule="auto"/>
        <w:ind w:firstLine="422" w:firstLineChars="200"/>
        <w:rPr>
          <w:rFonts w:hint="eastAsia" w:ascii="仿宋_GB2312" w:hAnsi="仿宋_GB2312" w:eastAsia="仿宋_GB2312" w:cs="仿宋_GB2312"/>
          <w:b/>
          <w:kern w:val="0"/>
          <w:szCs w:val="21"/>
        </w:rPr>
      </w:pPr>
      <w:r>
        <w:rPr>
          <w:rFonts w:hint="eastAsia" w:ascii="仿宋_GB2312" w:hAnsi="仿宋_GB2312" w:eastAsia="仿宋_GB2312" w:cs="仿宋_GB2312"/>
          <w:b/>
          <w:bCs/>
          <w:kern w:val="0"/>
          <w:szCs w:val="21"/>
        </w:rPr>
        <w:t>7、需落实的政府采购政</w:t>
      </w:r>
      <w:r>
        <w:rPr>
          <w:rFonts w:hint="eastAsia" w:ascii="仿宋_GB2312" w:hAnsi="仿宋_GB2312" w:eastAsia="仿宋_GB2312" w:cs="仿宋_GB2312"/>
          <w:b/>
          <w:kern w:val="0"/>
          <w:szCs w:val="21"/>
        </w:rPr>
        <w:t>策性规定：</w:t>
      </w:r>
    </w:p>
    <w:p>
      <w:pPr>
        <w:adjustRightInd w:val="0"/>
        <w:snapToGrid w:val="0"/>
        <w:spacing w:line="360" w:lineRule="auto"/>
        <w:ind w:firstLine="42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7.1对于中小微企业的相关规定</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7.1.1对于非专门面向中小企业的项目，在满足价格扣除条件且在响应文件中按要求提交了《中小企业声明函》</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对最后报价给予价格扣除，用扣除后的价格参与评审。最后报价扣除比例如下：</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（1）非联合体投标</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小型和微型企业相应产品、服务最后报价的</w:t>
      </w:r>
      <w:r>
        <w:rPr>
          <w:rFonts w:hint="eastAsia" w:ascii="仿宋_GB2312" w:hAnsi="仿宋_GB2312" w:eastAsia="仿宋_GB2312" w:cs="仿宋_GB2312"/>
          <w:color w:val="FF0000"/>
          <w:kern w:val="0"/>
          <w:szCs w:val="21"/>
          <w:u w:val="single"/>
        </w:rPr>
        <w:t>10%</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6-10%）</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（2）联合体投标</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最后报价扣除</w:t>
      </w:r>
      <w:r>
        <w:rPr>
          <w:rFonts w:hint="eastAsia" w:ascii="仿宋_GB2312" w:hAnsi="仿宋_GB2312" w:eastAsia="仿宋_GB2312" w:cs="仿宋_GB2312"/>
          <w:color w:val="FF0000"/>
          <w:kern w:val="0"/>
          <w:szCs w:val="21"/>
          <w:u w:val="single"/>
        </w:rPr>
        <w:t>3%</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2-3%）。</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7.1.2监狱企业视同小型、微型企业，在满足价格扣除条件且在响应文件中按要求提交了省级以上监狱管理局、戒毒管理局（含新疆生产建设兵团）出具的属于监狱企业的证明文件的，对其最后报价按本章</w:t>
      </w: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.1.1条款的比例予以扣除，</w:t>
      </w:r>
      <w:r>
        <w:rPr>
          <w:rFonts w:hint="eastAsia" w:ascii="仿宋_GB2312" w:hAnsi="仿宋_GB2312" w:eastAsia="仿宋_GB2312" w:cs="仿宋_GB2312"/>
          <w:kern w:val="0"/>
          <w:szCs w:val="21"/>
        </w:rPr>
        <w:t>用扣除后的价格参与评审</w:t>
      </w:r>
      <w:r>
        <w:rPr>
          <w:rFonts w:hint="eastAsia" w:ascii="仿宋_GB2312" w:hAnsi="仿宋_GB2312" w:eastAsia="仿宋_GB2312" w:cs="仿宋_GB2312"/>
          <w:szCs w:val="21"/>
        </w:rPr>
        <w:t>。</w:t>
      </w:r>
    </w:p>
    <w:p>
      <w:pPr>
        <w:adjustRightInd w:val="0"/>
        <w:snapToGrid w:val="0"/>
        <w:spacing w:line="360" w:lineRule="auto"/>
        <w:ind w:firstLine="422" w:firstLineChars="200"/>
        <w:jc w:val="left"/>
        <w:rPr>
          <w:rFonts w:ascii="仿宋_GB2312" w:hAnsi="仿宋_GB2312" w:eastAsia="仿宋_GB2312" w:cs="仿宋_GB2312"/>
          <w:szCs w:val="21"/>
        </w:rPr>
      </w:pPr>
      <w:r>
        <w:rPr>
          <w:rFonts w:hint="eastAsia" w:ascii="仿宋_GB2312" w:hAnsi="仿宋_GB2312" w:eastAsia="仿宋_GB2312" w:cs="仿宋_GB2312"/>
          <w:b/>
          <w:kern w:val="0"/>
          <w:szCs w:val="21"/>
        </w:rPr>
        <w:t>7.1.3</w:t>
      </w:r>
      <w:r>
        <w:rPr>
          <w:rFonts w:hint="eastAsia" w:ascii="仿宋_GB2312" w:hAnsi="仿宋_GB2312" w:eastAsia="仿宋_GB2312" w:cs="仿宋_GB2312"/>
          <w:szCs w:val="21"/>
        </w:rPr>
        <w:t>残疾人福利性单位视同小型、微型企业，在满足价格扣除条件且在</w:t>
      </w:r>
      <w:r>
        <w:rPr>
          <w:rFonts w:hint="eastAsia" w:ascii="仿宋_GB2312" w:hAnsi="仿宋_GB2312" w:eastAsia="仿宋_GB2312" w:cs="仿宋_GB2312"/>
          <w:kern w:val="0"/>
          <w:szCs w:val="21"/>
        </w:rPr>
        <w:t>响应文件中提供了《残疾人福利性单位声明函》的，</w:t>
      </w:r>
      <w:r>
        <w:rPr>
          <w:rFonts w:hint="eastAsia" w:ascii="仿宋_GB2312" w:hAnsi="仿宋_GB2312" w:eastAsia="仿宋_GB2312" w:cs="仿宋_GB2312"/>
          <w:szCs w:val="21"/>
        </w:rPr>
        <w:t>对其最后报价按本章</w:t>
      </w: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.1.1条款的比例予以扣除</w:t>
      </w:r>
      <w:r>
        <w:rPr>
          <w:rFonts w:hint="eastAsia" w:ascii="仿宋_GB2312" w:hAnsi="仿宋_GB2312" w:eastAsia="仿宋_GB2312" w:cs="仿宋_GB2312"/>
          <w:kern w:val="0"/>
          <w:szCs w:val="21"/>
        </w:rPr>
        <w:t>，用扣除后的价格参与评审。</w:t>
      </w:r>
    </w:p>
    <w:p>
      <w:pPr>
        <w:adjustRightInd w:val="0"/>
        <w:snapToGrid w:val="0"/>
        <w:spacing w:line="360" w:lineRule="auto"/>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7.1.4残疾人福利性单位属于小型、微型企业的，不重复享受政策。</w:t>
      </w:r>
    </w:p>
    <w:p>
      <w:pPr>
        <w:adjustRightInd w:val="0"/>
        <w:snapToGrid w:val="0"/>
        <w:spacing w:line="360" w:lineRule="auto"/>
        <w:ind w:firstLine="422"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rPr>
        <w:t>7.2对于节能产品、环境标志产品的相关规定”</w:t>
      </w:r>
    </w:p>
    <w:p>
      <w:pPr>
        <w:adjustRightInd w:val="0"/>
        <w:snapToGrid w:val="0"/>
        <w:spacing w:line="360" w:lineRule="auto"/>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（1）采购人采购的服务</w:t>
      </w:r>
      <w:r>
        <w:rPr>
          <w:rFonts w:hint="eastAsia" w:ascii="仿宋_GB2312" w:hAnsi="仿宋_GB2312" w:eastAsia="仿宋_GB2312" w:cs="仿宋_GB2312"/>
          <w:szCs w:val="21"/>
        </w:rPr>
        <w:t>有伴随货物的，如伴随的货物</w:t>
      </w:r>
      <w:r>
        <w:rPr>
          <w:rFonts w:hint="eastAsia" w:ascii="仿宋_GB2312" w:hAnsi="仿宋_GB2312" w:eastAsia="仿宋_GB2312" w:cs="仿宋_GB2312"/>
          <w:bCs/>
          <w:szCs w:val="21"/>
        </w:rPr>
        <w:t>属于节能产品或环境标志产品，依据品目清单和认证证书实施政府优先采购。供应商应能够提供国家确定的认证机构出具的、处于有效期之内的节能产品、环境标志产品认证证书，方可对获得证书的产品优先推荐。</w:t>
      </w:r>
    </w:p>
    <w:p>
      <w:pPr>
        <w:adjustRightInd w:val="0"/>
        <w:snapToGrid w:val="0"/>
        <w:spacing w:line="360" w:lineRule="auto"/>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评审时，对清单中产品给予相应的加分。（详见评分细则）</w:t>
      </w:r>
    </w:p>
    <w:p>
      <w:pPr>
        <w:adjustRightInd w:val="0"/>
        <w:snapToGrid w:val="0"/>
        <w:spacing w:line="360" w:lineRule="auto"/>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（2）供应商应同时提供品目清单网络截图，并以明确标注所报产品信息和位置的方式，用以方便评审。</w:t>
      </w:r>
    </w:p>
    <w:p>
      <w:pPr>
        <w:adjustRightInd w:val="0"/>
        <w:snapToGrid w:val="0"/>
        <w:spacing w:line="360" w:lineRule="auto"/>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（3）认证机构和获证产品信息发布媒体：详见中国政府采购网（www.ccgp.gov.cn）建立的与认证结果信息发布平台的链接。</w:t>
      </w:r>
    </w:p>
    <w:p>
      <w:pPr>
        <w:adjustRightInd w:val="0"/>
        <w:snapToGrid w:val="0"/>
        <w:spacing w:line="360" w:lineRule="auto"/>
        <w:ind w:firstLine="422" w:firstLineChars="200"/>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7.3对于聘用建档立卡贫困人员物业公司的相关规定</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在满足价格扣除条件且在响应文件中按要求提交了《聘用建档立卡贫困人员物业公司声明函》的供应商，对最后报价给予价格扣除，用扣除后的价格参与评审。扣除比例为最后</w:t>
      </w:r>
      <w:r>
        <w:rPr>
          <w:rFonts w:hint="eastAsia" w:ascii="仿宋_GB2312" w:hAnsi="仿宋_GB2312" w:eastAsia="仿宋_GB2312" w:cs="仿宋_GB2312"/>
          <w:kern w:val="0"/>
          <w:szCs w:val="21"/>
        </w:rPr>
        <w:t>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 xml:space="preserve"> %。</w:t>
      </w:r>
    </w:p>
    <w:p>
      <w:pPr>
        <w:adjustRightInd w:val="0"/>
        <w:spacing w:line="360" w:lineRule="auto"/>
        <w:ind w:firstLine="422" w:firstLineChars="200"/>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7.4对于列入《辽宁省创新产品和服务目录》内的产品、服务的相关规定</w:t>
      </w:r>
    </w:p>
    <w:p>
      <w:pPr>
        <w:adjustRightIn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对列入《辽宁省创新产品和服务目录》内的响应产品、服务给予其最后报价</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（6-8%）的价格扣除，用扣除后的价格参与评审。</w:t>
      </w:r>
    </w:p>
    <w:p>
      <w:pPr>
        <w:adjustRightInd w:val="0"/>
        <w:snapToGrid w:val="0"/>
        <w:spacing w:line="360" w:lineRule="auto"/>
        <w:ind w:firstLine="422" w:firstLineChars="200"/>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8、响应无效</w:t>
      </w:r>
    </w:p>
    <w:p>
      <w:pPr>
        <w:adjustRightInd w:val="0"/>
        <w:snapToGrid w:val="0"/>
        <w:spacing w:line="360" w:lineRule="auto"/>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详见供应商须知28条。</w:t>
      </w:r>
    </w:p>
    <w:p>
      <w:pPr>
        <w:adjustRightInd w:val="0"/>
        <w:snapToGrid w:val="0"/>
        <w:spacing w:line="360" w:lineRule="auto"/>
        <w:ind w:firstLine="422" w:firstLineChars="200"/>
        <w:rPr>
          <w:rFonts w:hint="eastAsia" w:ascii="仿宋_GB2312" w:hAnsi="仿宋_GB2312" w:eastAsia="仿宋_GB2312" w:cs="仿宋_GB2312"/>
          <w:b/>
          <w:bCs/>
          <w:kern w:val="0"/>
          <w:szCs w:val="21"/>
        </w:rPr>
      </w:pPr>
      <w:r>
        <w:rPr>
          <w:rFonts w:hint="eastAsia" w:ascii="仿宋_GB2312" w:hAnsi="仿宋_GB2312" w:eastAsia="仿宋_GB2312" w:cs="仿宋_GB2312"/>
          <w:b/>
          <w:kern w:val="0"/>
          <w:szCs w:val="21"/>
        </w:rPr>
        <w:t>★9</w:t>
      </w:r>
      <w:r>
        <w:rPr>
          <w:rFonts w:hint="eastAsia" w:ascii="仿宋_GB2312" w:hAnsi="仿宋_GB2312" w:eastAsia="仿宋_GB2312" w:cs="仿宋_GB2312"/>
          <w:b/>
          <w:bCs/>
          <w:kern w:val="0"/>
          <w:szCs w:val="21"/>
        </w:rPr>
        <w:t>、推荐成标候选供应商的原则</w:t>
      </w:r>
    </w:p>
    <w:p>
      <w:pPr>
        <w:adjustRightInd w:val="0"/>
        <w:snapToGrid w:val="0"/>
        <w:spacing w:line="360" w:lineRule="auto"/>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详见第一章供应商须知第31条，具体处理办法如下：</w:t>
      </w:r>
    </w:p>
    <w:p>
      <w:pPr>
        <w:adjustRightInd w:val="0"/>
        <w:snapToGrid w:val="0"/>
        <w:spacing w:line="360" w:lineRule="auto"/>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得分相同的，按扣除后的最后报价由低到高顺序排序；</w:t>
      </w:r>
    </w:p>
    <w:p>
      <w:pPr>
        <w:adjustRightInd w:val="0"/>
        <w:snapToGrid w:val="0"/>
        <w:spacing w:line="360" w:lineRule="auto"/>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按前款不能区分的，按最后报价由低至高顺序排序；</w:t>
      </w:r>
    </w:p>
    <w:p>
      <w:pPr>
        <w:adjustRightInd w:val="0"/>
        <w:snapToGrid w:val="0"/>
        <w:spacing w:line="360" w:lineRule="auto"/>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按前款不能区分的，按技术指标优劣排序；</w:t>
      </w:r>
    </w:p>
    <w:p>
      <w:pPr>
        <w:adjustRightInd w:val="0"/>
        <w:snapToGrid w:val="0"/>
        <w:spacing w:line="360" w:lineRule="auto"/>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其他情况，由磋商小组投票处理。</w:t>
      </w:r>
    </w:p>
    <w:p>
      <w:pPr>
        <w:adjustRightInd w:val="0"/>
        <w:snapToGrid w:val="0"/>
        <w:spacing w:line="360" w:lineRule="auto"/>
        <w:ind w:firstLine="422" w:firstLineChars="200"/>
        <w:rPr>
          <w:rFonts w:hint="eastAsia" w:ascii="仿宋_GB2312" w:hAnsi="仿宋_GB2312" w:eastAsia="仿宋_GB2312" w:cs="仿宋_GB2312"/>
          <w:b/>
          <w:kern w:val="0"/>
          <w:szCs w:val="21"/>
        </w:rPr>
      </w:pPr>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确定成交供应商</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磋商小组根据全体磋商小组成员签字的原始评审记录和评审结果编写评审报告，并向采购人提交书面评审报告。</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采购人按照评审报告确定的成交候选供应商名单按顺序确定成交供应商，或由采购人委托磋商小组按照第一章 供应商须知表33条中规定的方式确定成交供应商。</w:t>
      </w:r>
    </w:p>
    <w:p>
      <w:pPr>
        <w:widowControl/>
        <w:snapToGrid w:val="0"/>
        <w:spacing w:line="360" w:lineRule="auto"/>
        <w:jc w:val="left"/>
        <w:rPr>
          <w:rFonts w:hint="eastAsia" w:ascii="仿宋_GB2312" w:hAnsi="仿宋_GB2312" w:eastAsia="仿宋_GB2312" w:cs="仿宋_GB2312"/>
          <w:kern w:val="0"/>
          <w:sz w:val="24"/>
        </w:rPr>
      </w:pPr>
    </w:p>
    <w:p>
      <w:pPr>
        <w:pStyle w:val="3"/>
        <w:adjustRightInd w:val="0"/>
        <w:snapToGrid w:val="0"/>
        <w:spacing w:before="0" w:after="0" w:line="240" w:lineRule="auto"/>
        <w:jc w:val="left"/>
        <w:rPr>
          <w:rFonts w:hint="eastAsia" w:ascii="仿宋_GB2312" w:hAnsi="仿宋_GB2312" w:eastAsia="仿宋_GB2312" w:cs="仿宋_GB2312"/>
          <w:sz w:val="28"/>
          <w:szCs w:val="28"/>
        </w:rPr>
      </w:pPr>
      <w:bookmarkStart w:id="79" w:name="_Toc533340170"/>
      <w:bookmarkStart w:id="80" w:name="_Toc4485646"/>
      <w:r>
        <w:rPr>
          <w:rFonts w:hint="eastAsia" w:ascii="仿宋_GB2312" w:hAnsi="仿宋_GB2312" w:eastAsia="仿宋_GB2312" w:cs="仿宋_GB2312"/>
          <w:sz w:val="28"/>
          <w:szCs w:val="28"/>
        </w:rPr>
        <w:br w:type="page"/>
      </w:r>
      <w:r>
        <w:rPr>
          <w:rFonts w:hint="eastAsia" w:ascii="仿宋_GB2312" w:hAnsi="仿宋_GB2312" w:eastAsia="仿宋_GB2312" w:cs="仿宋_GB2312"/>
          <w:sz w:val="28"/>
          <w:szCs w:val="28"/>
        </w:rPr>
        <w:t>附件1</w:t>
      </w: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资格审查表</w:t>
      </w:r>
      <w:bookmarkEnd w:id="79"/>
      <w:bookmarkEnd w:id="80"/>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515"/>
        <w:gridCol w:w="1996"/>
        <w:gridCol w:w="759"/>
        <w:gridCol w:w="759"/>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trPr>
        <w:tc>
          <w:tcPr>
            <w:tcW w:w="714" w:type="dxa"/>
            <w:vMerge w:val="restart"/>
            <w:noWrap w:val="0"/>
            <w:vAlign w:val="center"/>
          </w:tcPr>
          <w:p>
            <w:pPr>
              <w:rPr>
                <w:rFonts w:hint="eastAsia" w:ascii="仿宋_GB2312" w:hAnsi="仿宋_GB2312" w:eastAsia="仿宋_GB2312" w:cs="仿宋_GB2312"/>
              </w:rPr>
            </w:pPr>
            <w:bookmarkStart w:id="81" w:name="_Toc533340171"/>
            <w:bookmarkStart w:id="82" w:name="_Toc4485647"/>
            <w:r>
              <w:rPr>
                <w:rFonts w:hint="eastAsia" w:ascii="仿宋_GB2312" w:hAnsi="仿宋_GB2312" w:eastAsia="仿宋_GB2312" w:cs="仿宋_GB2312"/>
              </w:rPr>
              <w:t>序号</w:t>
            </w:r>
          </w:p>
        </w:tc>
        <w:tc>
          <w:tcPr>
            <w:tcW w:w="3515" w:type="dxa"/>
            <w:vMerge w:val="restart"/>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审查项目</w:t>
            </w:r>
            <w:bookmarkEnd w:id="81"/>
            <w:bookmarkEnd w:id="82"/>
          </w:p>
        </w:tc>
        <w:tc>
          <w:tcPr>
            <w:tcW w:w="1996" w:type="dxa"/>
            <w:vMerge w:val="restart"/>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bookmarkStart w:id="83" w:name="_Toc533340172"/>
            <w:bookmarkStart w:id="84" w:name="_Toc4485648"/>
            <w:r>
              <w:rPr>
                <w:rFonts w:hint="eastAsia" w:ascii="仿宋_GB2312" w:hAnsi="仿宋_GB2312" w:eastAsia="仿宋_GB2312" w:cs="仿宋_GB2312"/>
                <w:b w:val="0"/>
                <w:sz w:val="21"/>
                <w:szCs w:val="21"/>
              </w:rPr>
              <w:t>审查标准</w:t>
            </w:r>
            <w:bookmarkEnd w:id="83"/>
            <w:bookmarkEnd w:id="84"/>
          </w:p>
        </w:tc>
        <w:tc>
          <w:tcPr>
            <w:tcW w:w="2278" w:type="dxa"/>
            <w:gridSpan w:val="3"/>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bookmarkStart w:id="85" w:name="_Toc533340173"/>
            <w:bookmarkStart w:id="86" w:name="_Toc4485649"/>
            <w:r>
              <w:rPr>
                <w:rFonts w:hint="eastAsia" w:ascii="仿宋_GB2312" w:hAnsi="仿宋_GB2312" w:eastAsia="仿宋_GB2312" w:cs="仿宋_GB2312"/>
                <w:b w:val="0"/>
                <w:sz w:val="21"/>
                <w:szCs w:val="21"/>
              </w:rPr>
              <w:t>供应商名称</w:t>
            </w:r>
            <w:bookmarkEnd w:id="85"/>
            <w:bookmark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2" w:hRule="atLeast"/>
        </w:trPr>
        <w:tc>
          <w:tcPr>
            <w:tcW w:w="714" w:type="dxa"/>
            <w:vMerge w:val="continue"/>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3515" w:type="dxa"/>
            <w:vMerge w:val="continue"/>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1996" w:type="dxa"/>
            <w:vMerge w:val="continue"/>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trPr>
        <w:tc>
          <w:tcPr>
            <w:tcW w:w="714"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3515" w:type="dxa"/>
            <w:noWrap w:val="0"/>
            <w:vAlign w:val="center"/>
          </w:tcPr>
          <w:p>
            <w:pPr>
              <w:snapToGrid w:val="0"/>
              <w:rPr>
                <w:rFonts w:hint="eastAsia" w:ascii="仿宋_GB2312" w:hAnsi="仿宋_GB2312" w:eastAsia="仿宋_GB2312" w:cs="仿宋_GB2312"/>
                <w:b/>
                <w:szCs w:val="21"/>
              </w:rPr>
            </w:pPr>
            <w:r>
              <w:rPr>
                <w:rFonts w:hint="eastAsia" w:ascii="仿宋_GB2312" w:hAnsi="仿宋_GB2312" w:eastAsia="仿宋_GB2312" w:cs="仿宋_GB2312"/>
              </w:rPr>
              <w:t>营业执照或事业单位法人证书或执业许可证等证明文件或自然人的身份证明</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87" w:name="_Toc533340174"/>
            <w:bookmarkStart w:id="88" w:name="_Toc4485650"/>
            <w:r>
              <w:rPr>
                <w:rFonts w:hint="eastAsia" w:ascii="仿宋_GB2312" w:hAnsi="仿宋_GB2312" w:eastAsia="仿宋_GB2312" w:cs="仿宋_GB2312"/>
                <w:b w:val="0"/>
                <w:sz w:val="21"/>
                <w:szCs w:val="21"/>
              </w:rPr>
              <w:t>1.按要求提供</w:t>
            </w:r>
            <w:bookmarkEnd w:id="87"/>
            <w:bookmarkEnd w:id="88"/>
          </w:p>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89" w:name="_Toc533340175"/>
            <w:bookmarkStart w:id="90" w:name="_Toc4485651"/>
            <w:r>
              <w:rPr>
                <w:rFonts w:hint="eastAsia" w:ascii="仿宋_GB2312" w:hAnsi="仿宋_GB2312" w:eastAsia="仿宋_GB2312" w:cs="仿宋_GB2312"/>
                <w:b w:val="0"/>
                <w:sz w:val="21"/>
                <w:szCs w:val="21"/>
              </w:rPr>
              <w:t>2.合法有效</w:t>
            </w:r>
            <w:bookmarkEnd w:id="89"/>
            <w:bookmarkEnd w:id="90"/>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6" w:hRule="atLeast"/>
        </w:trPr>
        <w:tc>
          <w:tcPr>
            <w:tcW w:w="714" w:type="dxa"/>
            <w:noWrap w:val="0"/>
            <w:vAlign w:val="center"/>
          </w:tcPr>
          <w:p>
            <w:pPr>
              <w:widowControl/>
              <w:snapToGrid w:val="0"/>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3515" w:type="dxa"/>
            <w:noWrap w:val="0"/>
            <w:vAlign w:val="center"/>
          </w:tcPr>
          <w:p>
            <w:pPr>
              <w:widowControl/>
              <w:snapToGrid w:val="0"/>
              <w:rPr>
                <w:rFonts w:hint="eastAsia" w:ascii="仿宋_GB2312" w:hAnsi="仿宋_GB2312" w:eastAsia="仿宋_GB2312" w:cs="仿宋_GB2312"/>
                <w:b/>
                <w:szCs w:val="21"/>
              </w:rPr>
            </w:pPr>
            <w:r>
              <w:rPr>
                <w:rFonts w:hint="eastAsia" w:ascii="仿宋_GB2312" w:hAnsi="仿宋_GB2312" w:eastAsia="仿宋_GB2312" w:cs="仿宋_GB2312"/>
              </w:rPr>
              <w:t>组织机构代码证</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91" w:name="_Toc533340176"/>
            <w:bookmarkStart w:id="92" w:name="_Toc4485652"/>
            <w:r>
              <w:rPr>
                <w:rFonts w:hint="eastAsia" w:ascii="仿宋_GB2312" w:hAnsi="仿宋_GB2312" w:eastAsia="仿宋_GB2312" w:cs="仿宋_GB2312"/>
                <w:b w:val="0"/>
                <w:sz w:val="21"/>
                <w:szCs w:val="21"/>
              </w:rPr>
              <w:t>1.按要求提供</w:t>
            </w:r>
            <w:bookmarkEnd w:id="91"/>
            <w:bookmarkEnd w:id="92"/>
          </w:p>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93" w:name="_Toc533340177"/>
            <w:bookmarkStart w:id="94" w:name="_Toc4485653"/>
            <w:r>
              <w:rPr>
                <w:rFonts w:hint="eastAsia" w:ascii="仿宋_GB2312" w:hAnsi="仿宋_GB2312" w:eastAsia="仿宋_GB2312" w:cs="仿宋_GB2312"/>
                <w:b w:val="0"/>
                <w:sz w:val="21"/>
                <w:szCs w:val="21"/>
              </w:rPr>
              <w:t>2.合法有效</w:t>
            </w:r>
            <w:bookmarkEnd w:id="93"/>
            <w:bookmarkEnd w:id="94"/>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714" w:type="dxa"/>
            <w:noWrap w:val="0"/>
            <w:vAlign w:val="center"/>
          </w:tcPr>
          <w:p>
            <w:pPr>
              <w:widowControl/>
              <w:snapToGrid w:val="0"/>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3515" w:type="dxa"/>
            <w:noWrap w:val="0"/>
            <w:vAlign w:val="center"/>
          </w:tcPr>
          <w:p>
            <w:pPr>
              <w:widowControl/>
              <w:snapToGrid w:val="0"/>
              <w:rPr>
                <w:rFonts w:hint="eastAsia" w:ascii="仿宋_GB2312" w:hAnsi="仿宋_GB2312" w:eastAsia="仿宋_GB2312" w:cs="仿宋_GB2312"/>
                <w:b/>
                <w:szCs w:val="21"/>
              </w:rPr>
            </w:pPr>
            <w:r>
              <w:rPr>
                <w:rFonts w:hint="eastAsia" w:ascii="仿宋_GB2312" w:hAnsi="仿宋_GB2312" w:eastAsia="仿宋_GB2312" w:cs="仿宋_GB2312"/>
              </w:rPr>
              <w:t>税务登记证</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95" w:name="_Toc533340178"/>
            <w:bookmarkStart w:id="96" w:name="_Toc4485654"/>
            <w:r>
              <w:rPr>
                <w:rFonts w:hint="eastAsia" w:ascii="仿宋_GB2312" w:hAnsi="仿宋_GB2312" w:eastAsia="仿宋_GB2312" w:cs="仿宋_GB2312"/>
                <w:b w:val="0"/>
                <w:sz w:val="21"/>
                <w:szCs w:val="21"/>
              </w:rPr>
              <w:t>1.按要求提供</w:t>
            </w:r>
            <w:bookmarkEnd w:id="95"/>
            <w:bookmarkEnd w:id="96"/>
          </w:p>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97" w:name="_Toc533340179"/>
            <w:bookmarkStart w:id="98" w:name="_Toc4485655"/>
            <w:r>
              <w:rPr>
                <w:rFonts w:hint="eastAsia" w:ascii="仿宋_GB2312" w:hAnsi="仿宋_GB2312" w:eastAsia="仿宋_GB2312" w:cs="仿宋_GB2312"/>
                <w:b w:val="0"/>
                <w:sz w:val="21"/>
                <w:szCs w:val="21"/>
              </w:rPr>
              <w:t>2.合法有效</w:t>
            </w:r>
            <w:bookmarkEnd w:id="97"/>
            <w:bookmarkEnd w:id="98"/>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714" w:type="dxa"/>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3515" w:type="dxa"/>
            <w:noWrap w:val="0"/>
            <w:vAlign w:val="center"/>
          </w:tcPr>
          <w:p>
            <w:pPr>
              <w:widowControl/>
              <w:snapToGrid w:val="0"/>
              <w:rPr>
                <w:rFonts w:hint="eastAsia" w:ascii="仿宋_GB2312" w:hAnsi="仿宋_GB2312" w:eastAsia="仿宋_GB2312" w:cs="仿宋_GB2312"/>
                <w:b/>
                <w:szCs w:val="21"/>
              </w:rPr>
            </w:pPr>
            <w:r>
              <w:rPr>
                <w:rFonts w:hint="eastAsia" w:ascii="仿宋_GB2312" w:hAnsi="仿宋_GB2312" w:eastAsia="仿宋_GB2312" w:cs="仿宋_GB2312"/>
                <w:szCs w:val="21"/>
              </w:rPr>
              <w:t>法定代表人（或非法人组织负责人）身份证明书（授权委托人参加谈判的无需提供）</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99" w:name="_Toc533340180"/>
            <w:bookmarkStart w:id="100" w:name="_Toc4485656"/>
            <w:r>
              <w:rPr>
                <w:rFonts w:hint="eastAsia" w:ascii="仿宋_GB2312" w:hAnsi="仿宋_GB2312" w:eastAsia="仿宋_GB2312" w:cs="仿宋_GB2312"/>
                <w:b w:val="0"/>
                <w:sz w:val="21"/>
                <w:szCs w:val="21"/>
              </w:rPr>
              <w:t>1.按给定格式填写</w:t>
            </w:r>
            <w:bookmarkEnd w:id="99"/>
            <w:bookmarkEnd w:id="100"/>
          </w:p>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01" w:name="_Toc533340181"/>
            <w:bookmarkStart w:id="102" w:name="_Toc4485657"/>
            <w:r>
              <w:rPr>
                <w:rFonts w:hint="eastAsia" w:ascii="仿宋_GB2312" w:hAnsi="仿宋_GB2312" w:eastAsia="仿宋_GB2312" w:cs="仿宋_GB2312"/>
                <w:b w:val="0"/>
                <w:sz w:val="21"/>
                <w:szCs w:val="21"/>
              </w:rPr>
              <w:t>2.按规定签章</w:t>
            </w:r>
            <w:bookmarkEnd w:id="101"/>
            <w:bookmarkEnd w:id="102"/>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714" w:type="dxa"/>
            <w:noWrap w:val="0"/>
            <w:vAlign w:val="center"/>
          </w:tcPr>
          <w:p>
            <w:pPr>
              <w:widowControl/>
              <w:snapToGrid w:val="0"/>
              <w:jc w:val="center"/>
              <w:rPr>
                <w:rFonts w:hint="eastAsia" w:ascii="仿宋_GB2312" w:hAnsi="仿宋_GB2312" w:eastAsia="仿宋_GB2312" w:cs="仿宋_GB2312"/>
              </w:rPr>
            </w:pPr>
            <w:r>
              <w:rPr>
                <w:rFonts w:hint="eastAsia" w:ascii="仿宋_GB2312" w:hAnsi="仿宋_GB2312" w:eastAsia="仿宋_GB2312" w:cs="仿宋_GB2312"/>
              </w:rPr>
              <w:t>5</w:t>
            </w:r>
          </w:p>
        </w:tc>
        <w:tc>
          <w:tcPr>
            <w:tcW w:w="3515" w:type="dxa"/>
            <w:noWrap w:val="0"/>
            <w:vAlign w:val="center"/>
          </w:tcPr>
          <w:p>
            <w:pPr>
              <w:widowControl/>
              <w:snapToGrid w:val="0"/>
              <w:rPr>
                <w:rFonts w:hint="eastAsia" w:ascii="仿宋_GB2312" w:hAnsi="仿宋_GB2312" w:eastAsia="仿宋_GB2312" w:cs="仿宋_GB2312"/>
                <w:b/>
                <w:szCs w:val="21"/>
              </w:rPr>
            </w:pPr>
            <w:r>
              <w:rPr>
                <w:rFonts w:hint="eastAsia" w:ascii="仿宋_GB2312" w:hAnsi="仿宋_GB2312" w:eastAsia="仿宋_GB2312" w:cs="仿宋_GB2312"/>
              </w:rPr>
              <w:t>法定代表人（或非法人组织</w:t>
            </w:r>
            <w:r>
              <w:rPr>
                <w:rFonts w:hint="eastAsia" w:ascii="仿宋_GB2312" w:hAnsi="仿宋_GB2312" w:eastAsia="仿宋_GB2312" w:cs="仿宋_GB2312"/>
                <w:szCs w:val="21"/>
              </w:rPr>
              <w:t>负责人）</w:t>
            </w:r>
            <w:r>
              <w:rPr>
                <w:rFonts w:hint="eastAsia" w:ascii="仿宋_GB2312" w:hAnsi="仿宋_GB2312" w:eastAsia="仿宋_GB2312" w:cs="仿宋_GB2312"/>
              </w:rPr>
              <w:t>授权委托书</w:t>
            </w:r>
            <w:r>
              <w:rPr>
                <w:rFonts w:hint="eastAsia" w:ascii="仿宋_GB2312" w:hAnsi="仿宋_GB2312" w:eastAsia="仿宋_GB2312" w:cs="仿宋_GB2312"/>
                <w:szCs w:val="21"/>
              </w:rPr>
              <w:t>（授权委托人参加谈判的须提供）</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03" w:name="_Toc533340182"/>
            <w:bookmarkStart w:id="104" w:name="_Toc4485658"/>
            <w:r>
              <w:rPr>
                <w:rFonts w:hint="eastAsia" w:ascii="仿宋_GB2312" w:hAnsi="仿宋_GB2312" w:eastAsia="仿宋_GB2312" w:cs="仿宋_GB2312"/>
                <w:b w:val="0"/>
                <w:sz w:val="21"/>
                <w:szCs w:val="21"/>
              </w:rPr>
              <w:t>1.按给定格式填写</w:t>
            </w:r>
            <w:bookmarkEnd w:id="103"/>
            <w:bookmarkEnd w:id="104"/>
          </w:p>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05" w:name="_Toc533340183"/>
            <w:bookmarkStart w:id="106" w:name="_Toc4485659"/>
            <w:r>
              <w:rPr>
                <w:rFonts w:hint="eastAsia" w:ascii="仿宋_GB2312" w:hAnsi="仿宋_GB2312" w:eastAsia="仿宋_GB2312" w:cs="仿宋_GB2312"/>
                <w:b w:val="0"/>
                <w:sz w:val="21"/>
                <w:szCs w:val="21"/>
              </w:rPr>
              <w:t>2.按规定签章</w:t>
            </w:r>
            <w:bookmarkEnd w:id="105"/>
            <w:bookmarkEnd w:id="106"/>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6" w:hRule="atLeast"/>
        </w:trPr>
        <w:tc>
          <w:tcPr>
            <w:tcW w:w="714" w:type="dxa"/>
            <w:noWrap w:val="0"/>
            <w:vAlign w:val="center"/>
          </w:tcPr>
          <w:p>
            <w:pPr>
              <w:widowControl/>
              <w:snapToGrid w:val="0"/>
              <w:jc w:val="center"/>
              <w:rPr>
                <w:rFonts w:hint="eastAsia" w:ascii="仿宋_GB2312" w:hAnsi="仿宋_GB2312" w:eastAsia="仿宋_GB2312" w:cs="仿宋_GB2312"/>
              </w:rPr>
            </w:pPr>
            <w:r>
              <w:rPr>
                <w:rFonts w:hint="eastAsia" w:ascii="仿宋_GB2312" w:hAnsi="仿宋_GB2312" w:eastAsia="仿宋_GB2312" w:cs="仿宋_GB2312"/>
              </w:rPr>
              <w:t>6</w:t>
            </w:r>
          </w:p>
        </w:tc>
        <w:tc>
          <w:tcPr>
            <w:tcW w:w="3515" w:type="dxa"/>
            <w:noWrap w:val="0"/>
            <w:vAlign w:val="center"/>
          </w:tcPr>
          <w:p>
            <w:pPr>
              <w:widowControl/>
              <w:snapToGrid w:val="0"/>
              <w:rPr>
                <w:rFonts w:ascii="仿宋_GB2312" w:hAnsi="仿宋_GB2312" w:eastAsia="仿宋_GB2312" w:cs="仿宋_GB2312"/>
              </w:rPr>
            </w:pPr>
            <w:r>
              <w:rPr>
                <w:rFonts w:hint="eastAsia" w:ascii="仿宋_GB2312" w:hAnsi="仿宋_GB2312" w:eastAsia="仿宋_GB2312" w:cs="仿宋_GB2312"/>
              </w:rPr>
              <w:t>具有良好的商业信誉和健全的财务会计制度的承诺函</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adjustRightInd w:val="0"/>
              <w:snapToGrid w:val="0"/>
              <w:spacing w:before="0" w:after="0" w:line="240" w:lineRule="auto"/>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714"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7</w:t>
            </w:r>
          </w:p>
        </w:tc>
        <w:tc>
          <w:tcPr>
            <w:tcW w:w="3515" w:type="dxa"/>
            <w:noWrap w:val="0"/>
            <w:vAlign w:val="center"/>
          </w:tcPr>
          <w:p>
            <w:pPr>
              <w:snapToGrid w:val="0"/>
              <w:rPr>
                <w:rFonts w:hint="eastAsia" w:ascii="仿宋_GB2312" w:hAnsi="仿宋_GB2312" w:eastAsia="仿宋_GB2312" w:cs="仿宋_GB2312"/>
                <w:b/>
                <w:szCs w:val="21"/>
              </w:rPr>
            </w:pPr>
            <w:r>
              <w:rPr>
                <w:rFonts w:hint="eastAsia" w:ascii="仿宋_GB2312" w:hAnsi="仿宋_GB2312" w:eastAsia="仿宋_GB2312" w:cs="仿宋_GB2312"/>
              </w:rPr>
              <w:t>磋商会议前六个月内任一个月的依法缴纳税收的缴款凭据</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07" w:name="_Toc533340186"/>
            <w:bookmarkStart w:id="108" w:name="_Toc4485662"/>
            <w:r>
              <w:rPr>
                <w:rFonts w:hint="eastAsia" w:ascii="仿宋_GB2312" w:hAnsi="仿宋_GB2312" w:eastAsia="仿宋_GB2312" w:cs="仿宋_GB2312"/>
                <w:b w:val="0"/>
                <w:sz w:val="21"/>
                <w:szCs w:val="21"/>
              </w:rPr>
              <w:t>1.按要求提供</w:t>
            </w:r>
            <w:bookmarkEnd w:id="107"/>
            <w:bookmarkEnd w:id="108"/>
          </w:p>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09" w:name="_Toc533340187"/>
            <w:bookmarkStart w:id="110" w:name="_Toc4485663"/>
            <w:r>
              <w:rPr>
                <w:rFonts w:hint="eastAsia" w:ascii="仿宋_GB2312" w:hAnsi="仿宋_GB2312" w:eastAsia="仿宋_GB2312" w:cs="仿宋_GB2312"/>
                <w:b w:val="0"/>
                <w:sz w:val="21"/>
                <w:szCs w:val="21"/>
              </w:rPr>
              <w:t>2.合法有效</w:t>
            </w:r>
            <w:bookmarkEnd w:id="109"/>
            <w:bookmarkEnd w:id="110"/>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714"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8</w:t>
            </w:r>
          </w:p>
        </w:tc>
        <w:tc>
          <w:tcPr>
            <w:tcW w:w="3515" w:type="dxa"/>
            <w:noWrap w:val="0"/>
            <w:vAlign w:val="center"/>
          </w:tcPr>
          <w:p>
            <w:pPr>
              <w:snapToGrid w:val="0"/>
              <w:rPr>
                <w:rFonts w:hint="eastAsia" w:ascii="仿宋_GB2312" w:hAnsi="仿宋_GB2312" w:eastAsia="仿宋_GB2312" w:cs="仿宋_GB2312"/>
                <w:b/>
                <w:szCs w:val="21"/>
              </w:rPr>
            </w:pPr>
            <w:r>
              <w:rPr>
                <w:rFonts w:hint="eastAsia" w:ascii="仿宋_GB2312" w:hAnsi="仿宋_GB2312" w:eastAsia="仿宋_GB2312" w:cs="仿宋_GB2312"/>
              </w:rPr>
              <w:t>磋商会议前六个月内任一个月的依法缴纳社会保障资金的缴款凭据</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11" w:name="_Toc533340188"/>
            <w:bookmarkStart w:id="112" w:name="_Toc4485664"/>
            <w:r>
              <w:rPr>
                <w:rFonts w:hint="eastAsia" w:ascii="仿宋_GB2312" w:hAnsi="仿宋_GB2312" w:eastAsia="仿宋_GB2312" w:cs="仿宋_GB2312"/>
                <w:b w:val="0"/>
                <w:sz w:val="21"/>
                <w:szCs w:val="21"/>
              </w:rPr>
              <w:t>1.按要求提供</w:t>
            </w:r>
            <w:bookmarkEnd w:id="111"/>
            <w:bookmarkEnd w:id="112"/>
          </w:p>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13" w:name="_Toc533340189"/>
            <w:bookmarkStart w:id="114" w:name="_Toc4485665"/>
            <w:r>
              <w:rPr>
                <w:rFonts w:hint="eastAsia" w:ascii="仿宋_GB2312" w:hAnsi="仿宋_GB2312" w:eastAsia="仿宋_GB2312" w:cs="仿宋_GB2312"/>
                <w:b w:val="0"/>
                <w:sz w:val="21"/>
                <w:szCs w:val="21"/>
              </w:rPr>
              <w:t>2.合法有效</w:t>
            </w:r>
            <w:bookmarkEnd w:id="113"/>
            <w:bookmarkEnd w:id="114"/>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6" w:hRule="atLeast"/>
        </w:trPr>
        <w:tc>
          <w:tcPr>
            <w:tcW w:w="714"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9</w:t>
            </w:r>
          </w:p>
        </w:tc>
        <w:tc>
          <w:tcPr>
            <w:tcW w:w="3515" w:type="dxa"/>
            <w:noWrap w:val="0"/>
            <w:vAlign w:val="center"/>
          </w:tcPr>
          <w:p>
            <w:pPr>
              <w:snapToGrid w:val="0"/>
              <w:rPr>
                <w:rFonts w:hint="eastAsia" w:ascii="仿宋_GB2312" w:hAnsi="仿宋_GB2312" w:eastAsia="仿宋_GB2312" w:cs="仿宋_GB2312"/>
                <w:b/>
                <w:szCs w:val="21"/>
              </w:rPr>
            </w:pPr>
            <w:r>
              <w:rPr>
                <w:rFonts w:hint="eastAsia" w:ascii="仿宋_GB2312" w:hAnsi="仿宋_GB2312" w:eastAsia="仿宋_GB2312" w:cs="仿宋_GB2312"/>
              </w:rPr>
              <w:t>具备履行合同所必需的设备和专业技术能力声明函</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15" w:name="_Toc533340190"/>
            <w:bookmarkStart w:id="116" w:name="_Toc4485666"/>
            <w:r>
              <w:rPr>
                <w:rFonts w:hint="eastAsia" w:ascii="仿宋_GB2312" w:hAnsi="仿宋_GB2312" w:eastAsia="仿宋_GB2312" w:cs="仿宋_GB2312"/>
                <w:b w:val="0"/>
                <w:sz w:val="21"/>
                <w:szCs w:val="21"/>
              </w:rPr>
              <w:t>1.信息完整</w:t>
            </w:r>
            <w:bookmarkEnd w:id="115"/>
            <w:bookmarkEnd w:id="116"/>
          </w:p>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17" w:name="_Toc533340191"/>
            <w:bookmarkStart w:id="118" w:name="_Toc4485667"/>
            <w:r>
              <w:rPr>
                <w:rFonts w:hint="eastAsia" w:ascii="仿宋_GB2312" w:hAnsi="仿宋_GB2312" w:eastAsia="仿宋_GB2312" w:cs="仿宋_GB2312"/>
                <w:b w:val="0"/>
                <w:sz w:val="21"/>
                <w:szCs w:val="21"/>
              </w:rPr>
              <w:t>2.按规定签章</w:t>
            </w:r>
            <w:bookmarkEnd w:id="117"/>
            <w:bookmarkEnd w:id="118"/>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trPr>
        <w:tc>
          <w:tcPr>
            <w:tcW w:w="714"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3515" w:type="dxa"/>
            <w:noWrap w:val="0"/>
            <w:vAlign w:val="center"/>
          </w:tcPr>
          <w:p>
            <w:pPr>
              <w:snapToGrid w:val="0"/>
              <w:rPr>
                <w:rFonts w:hint="eastAsia" w:ascii="仿宋_GB2312" w:hAnsi="仿宋_GB2312" w:eastAsia="仿宋_GB2312" w:cs="仿宋_GB2312"/>
              </w:rPr>
            </w:pPr>
            <w:r>
              <w:rPr>
                <w:rFonts w:hint="eastAsia" w:ascii="仿宋_GB2312" w:hAnsi="仿宋_GB2312" w:eastAsia="仿宋_GB2312" w:cs="仿宋_GB2312"/>
                <w:szCs w:val="21"/>
              </w:rPr>
              <w:t>参加政府采购活动前3年内在经营活动中没有重大违法记录的书面声明</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19" w:name="_Toc533340192"/>
            <w:bookmarkStart w:id="120" w:name="_Toc4485668"/>
            <w:r>
              <w:rPr>
                <w:rFonts w:hint="eastAsia" w:ascii="仿宋_GB2312" w:hAnsi="仿宋_GB2312" w:eastAsia="仿宋_GB2312" w:cs="仿宋_GB2312"/>
                <w:b w:val="0"/>
                <w:sz w:val="21"/>
                <w:szCs w:val="21"/>
              </w:rPr>
              <w:t>1.按给定格式填写</w:t>
            </w:r>
            <w:bookmarkEnd w:id="119"/>
            <w:bookmarkEnd w:id="120"/>
          </w:p>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21" w:name="_Toc533340193"/>
            <w:bookmarkStart w:id="122" w:name="_Toc4485669"/>
            <w:r>
              <w:rPr>
                <w:rFonts w:hint="eastAsia" w:ascii="仿宋_GB2312" w:hAnsi="仿宋_GB2312" w:eastAsia="仿宋_GB2312" w:cs="仿宋_GB2312"/>
                <w:b w:val="0"/>
                <w:sz w:val="21"/>
                <w:szCs w:val="21"/>
              </w:rPr>
              <w:t>2.按规定签章</w:t>
            </w:r>
            <w:bookmarkEnd w:id="121"/>
            <w:bookmarkEnd w:id="122"/>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714"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3515"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rPr>
              <w:t>联合体协议书（如适用）</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1" w:hRule="atLeast"/>
        </w:trPr>
        <w:tc>
          <w:tcPr>
            <w:tcW w:w="714"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3515" w:type="dxa"/>
            <w:noWrap w:val="0"/>
            <w:vAlign w:val="center"/>
          </w:tcPr>
          <w:p>
            <w:pPr>
              <w:snapToGrid w:val="0"/>
              <w:rPr>
                <w:rFonts w:hint="eastAsia" w:ascii="仿宋_GB2312" w:hAnsi="仿宋_GB2312" w:eastAsia="仿宋_GB2312" w:cs="仿宋_GB2312"/>
                <w:b/>
                <w:szCs w:val="21"/>
              </w:rPr>
            </w:pPr>
            <w:r>
              <w:rPr>
                <w:rFonts w:hint="eastAsia" w:ascii="仿宋_GB2312" w:hAnsi="仿宋_GB2312" w:eastAsia="仿宋_GB2312" w:cs="仿宋_GB2312"/>
                <w:szCs w:val="21"/>
              </w:rPr>
              <w:t>其它资格证明文件（如适用，按供应商须知表1.3.4要求描述）</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23" w:name="_Toc533340194"/>
            <w:bookmarkStart w:id="124" w:name="_Toc4485670"/>
            <w:r>
              <w:rPr>
                <w:rFonts w:hint="eastAsia" w:ascii="仿宋_GB2312" w:hAnsi="仿宋_GB2312" w:eastAsia="仿宋_GB2312" w:cs="仿宋_GB2312"/>
                <w:b w:val="0"/>
                <w:sz w:val="21"/>
                <w:szCs w:val="21"/>
              </w:rPr>
              <w:t>1.按要求提供</w:t>
            </w:r>
            <w:bookmarkEnd w:id="123"/>
            <w:bookmarkEnd w:id="124"/>
          </w:p>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25" w:name="_Toc533340195"/>
            <w:bookmarkStart w:id="126" w:name="_Toc4485671"/>
            <w:r>
              <w:rPr>
                <w:rFonts w:hint="eastAsia" w:ascii="仿宋_GB2312" w:hAnsi="仿宋_GB2312" w:eastAsia="仿宋_GB2312" w:cs="仿宋_GB2312"/>
                <w:b w:val="0"/>
                <w:sz w:val="21"/>
                <w:szCs w:val="21"/>
              </w:rPr>
              <w:t>2.合法有效</w:t>
            </w:r>
            <w:bookmarkEnd w:id="125"/>
            <w:bookmarkEnd w:id="126"/>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trPr>
        <w:tc>
          <w:tcPr>
            <w:tcW w:w="714"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3515" w:type="dxa"/>
            <w:noWrap w:val="0"/>
            <w:vAlign w:val="center"/>
          </w:tcPr>
          <w:p>
            <w:pPr>
              <w:snapToGrid w:val="0"/>
              <w:rPr>
                <w:rFonts w:hint="eastAsia" w:ascii="仿宋_GB2312" w:hAnsi="仿宋_GB2312" w:eastAsia="仿宋_GB2312" w:cs="仿宋_GB2312"/>
                <w:b/>
                <w:szCs w:val="21"/>
              </w:rPr>
            </w:pPr>
            <w:r>
              <w:rPr>
                <w:rFonts w:hint="eastAsia" w:ascii="仿宋_GB2312" w:hAnsi="仿宋_GB2312" w:eastAsia="仿宋_GB2312" w:cs="仿宋_GB2312"/>
                <w:szCs w:val="21"/>
              </w:rPr>
              <w:t>联合体的其它资格证明文件（如适用，按供应商须知表1.4.8要求描述）</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27" w:name="_Toc533340196"/>
            <w:bookmarkStart w:id="128" w:name="_Toc4485672"/>
            <w:r>
              <w:rPr>
                <w:rFonts w:hint="eastAsia" w:ascii="仿宋_GB2312" w:hAnsi="仿宋_GB2312" w:eastAsia="仿宋_GB2312" w:cs="仿宋_GB2312"/>
                <w:b w:val="0"/>
                <w:sz w:val="21"/>
                <w:szCs w:val="21"/>
              </w:rPr>
              <w:t>1.按要求提供</w:t>
            </w:r>
            <w:bookmarkEnd w:id="127"/>
            <w:bookmarkEnd w:id="128"/>
          </w:p>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29" w:name="_Toc533340197"/>
            <w:bookmarkStart w:id="130" w:name="_Toc4485673"/>
            <w:r>
              <w:rPr>
                <w:rFonts w:hint="eastAsia" w:ascii="仿宋_GB2312" w:hAnsi="仿宋_GB2312" w:eastAsia="仿宋_GB2312" w:cs="仿宋_GB2312"/>
                <w:b w:val="0"/>
                <w:sz w:val="21"/>
                <w:szCs w:val="21"/>
              </w:rPr>
              <w:t>2.合法有效</w:t>
            </w:r>
            <w:bookmarkEnd w:id="129"/>
            <w:bookmarkEnd w:id="130"/>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trPr>
        <w:tc>
          <w:tcPr>
            <w:tcW w:w="714"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14</w:t>
            </w:r>
          </w:p>
        </w:tc>
        <w:tc>
          <w:tcPr>
            <w:tcW w:w="3515" w:type="dxa"/>
            <w:noWrap w:val="0"/>
            <w:vAlign w:val="center"/>
          </w:tcPr>
          <w:p>
            <w:pPr>
              <w:snapToGrid w:val="0"/>
              <w:rPr>
                <w:rFonts w:hint="eastAsia" w:ascii="仿宋_GB2312" w:hAnsi="仿宋_GB2312" w:eastAsia="仿宋_GB2312" w:cs="仿宋_GB2312"/>
                <w:b/>
                <w:szCs w:val="21"/>
              </w:rPr>
            </w:pPr>
            <w:r>
              <w:rPr>
                <w:rFonts w:hint="eastAsia" w:ascii="仿宋_GB2312" w:hAnsi="仿宋_GB2312" w:eastAsia="仿宋_GB2312" w:cs="仿宋_GB2312"/>
              </w:rPr>
              <w:t>信用记录（</w:t>
            </w:r>
            <w:r>
              <w:rPr>
                <w:rFonts w:hint="eastAsia" w:ascii="仿宋_GB2312" w:hAnsi="仿宋_GB2312" w:eastAsia="仿宋_GB2312" w:cs="仿宋_GB2312"/>
                <w:szCs w:val="21"/>
              </w:rPr>
              <w:t>采购人或采购代理机构将按照采购文件规定的审查期间内进行查询</w:t>
            </w:r>
            <w:r>
              <w:rPr>
                <w:rFonts w:hint="eastAsia" w:ascii="仿宋_GB2312" w:hAnsi="仿宋_GB2312" w:eastAsia="仿宋_GB2312" w:cs="仿宋_GB2312"/>
              </w:rPr>
              <w:t>）</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bookmarkStart w:id="131" w:name="_Toc533340198"/>
            <w:bookmarkStart w:id="132" w:name="_Toc4485674"/>
            <w:r>
              <w:rPr>
                <w:rFonts w:hint="eastAsia" w:ascii="仿宋_GB2312" w:hAnsi="仿宋_GB2312" w:eastAsia="仿宋_GB2312" w:cs="仿宋_GB2312"/>
                <w:b w:val="0"/>
                <w:sz w:val="21"/>
                <w:szCs w:val="21"/>
              </w:rPr>
              <w:t>无供应商须知</w:t>
            </w:r>
          </w:p>
          <w:p>
            <w:pPr>
              <w:pStyle w:val="3"/>
              <w:adjustRightInd w:val="0"/>
              <w:snapToGrid w:val="0"/>
              <w:spacing w:before="0" w:after="0" w:line="240" w:lineRule="auto"/>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22.3.1所述的不良记录</w:t>
            </w:r>
            <w:bookmarkEnd w:id="131"/>
            <w:bookmarkEnd w:id="132"/>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2" w:hRule="atLeast"/>
        </w:trPr>
        <w:tc>
          <w:tcPr>
            <w:tcW w:w="714" w:type="dxa"/>
            <w:noWrap w:val="0"/>
            <w:vAlign w:val="center"/>
          </w:tcPr>
          <w:p>
            <w:pPr>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15</w:t>
            </w:r>
          </w:p>
        </w:tc>
        <w:tc>
          <w:tcPr>
            <w:tcW w:w="3515" w:type="dxa"/>
            <w:noWrap w:val="0"/>
            <w:vAlign w:val="center"/>
          </w:tcPr>
          <w:p>
            <w:pPr>
              <w:snapToGrid w:val="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中小企业声明函</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714" w:type="dxa"/>
            <w:noWrap w:val="0"/>
            <w:vAlign w:val="center"/>
          </w:tcPr>
          <w:p>
            <w:pPr>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16</w:t>
            </w:r>
          </w:p>
        </w:tc>
        <w:tc>
          <w:tcPr>
            <w:tcW w:w="3515" w:type="dxa"/>
            <w:noWrap w:val="0"/>
            <w:vAlign w:val="center"/>
          </w:tcPr>
          <w:p>
            <w:pPr>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1996" w:type="dxa"/>
            <w:noWrap w:val="0"/>
            <w:vAlign w:val="center"/>
          </w:tcPr>
          <w:p>
            <w:pPr>
              <w:pStyle w:val="3"/>
              <w:adjustRightInd w:val="0"/>
              <w:snapToGrid w:val="0"/>
              <w:spacing w:before="0" w:after="0" w:line="240" w:lineRule="auto"/>
              <w:rPr>
                <w:rFonts w:hint="eastAsia" w:ascii="仿宋_GB2312" w:hAnsi="仿宋_GB2312" w:eastAsia="仿宋_GB2312" w:cs="仿宋_GB2312"/>
                <w:b w:val="0"/>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714" w:type="dxa"/>
            <w:noWrap w:val="0"/>
            <w:vAlign w:val="center"/>
          </w:tcPr>
          <w:p>
            <w:pPr>
              <w:snapToGrid w:val="0"/>
              <w:jc w:val="center"/>
              <w:rPr>
                <w:rFonts w:hint="eastAsia" w:ascii="仿宋_GB2312" w:hAnsi="仿宋_GB2312" w:eastAsia="仿宋_GB2312" w:cs="仿宋_GB2312"/>
              </w:rPr>
            </w:pPr>
          </w:p>
        </w:tc>
        <w:tc>
          <w:tcPr>
            <w:tcW w:w="3515"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结论</w:t>
            </w:r>
          </w:p>
        </w:tc>
        <w:tc>
          <w:tcPr>
            <w:tcW w:w="1996" w:type="dxa"/>
            <w:noWrap w:val="0"/>
            <w:vAlign w:val="top"/>
          </w:tcPr>
          <w:p>
            <w:pPr>
              <w:pStyle w:val="3"/>
              <w:adjustRightInd w:val="0"/>
              <w:snapToGrid w:val="0"/>
              <w:spacing w:before="0" w:after="0" w:line="240" w:lineRule="auto"/>
              <w:jc w:val="both"/>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5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760"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bl>
    <w:p>
      <w:pPr>
        <w:spacing w:line="240" w:lineRule="auto"/>
        <w:rPr>
          <w:rFonts w:hint="eastAsia"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审查人签字：                                        日      期</w:t>
      </w:r>
    </w:p>
    <w:p>
      <w:pPr>
        <w:pStyle w:val="3"/>
        <w:adjustRightInd w:val="0"/>
        <w:snapToGrid w:val="0"/>
        <w:spacing w:before="0" w:after="0" w:line="240" w:lineRule="auto"/>
        <w:jc w:val="left"/>
        <w:rPr>
          <w:rFonts w:hint="eastAsia" w:ascii="仿宋_GB2312" w:hAnsi="仿宋_GB2312" w:eastAsia="仿宋_GB2312" w:cs="仿宋_GB2312"/>
          <w:sz w:val="28"/>
          <w:szCs w:val="28"/>
        </w:rPr>
      </w:pPr>
      <w:bookmarkStart w:id="133" w:name="_Toc4485675"/>
      <w:bookmarkStart w:id="134" w:name="_Toc533340199"/>
      <w:r>
        <w:rPr>
          <w:rFonts w:hint="eastAsia" w:ascii="仿宋_GB2312" w:hAnsi="仿宋_GB2312" w:eastAsia="仿宋_GB2312" w:cs="仿宋_GB2312"/>
          <w:sz w:val="28"/>
          <w:szCs w:val="28"/>
        </w:rPr>
        <w:t>附件2</w:t>
      </w: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符合性审查表</w:t>
      </w:r>
      <w:bookmarkEnd w:id="133"/>
      <w:bookmarkEnd w:id="134"/>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415"/>
        <w:gridCol w:w="2776"/>
        <w:gridCol w:w="847"/>
        <w:gridCol w:w="84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79" w:type="dxa"/>
            <w:vMerge w:val="restart"/>
            <w:noWrap w:val="0"/>
            <w:vAlign w:val="center"/>
          </w:tcPr>
          <w:p>
            <w:pPr>
              <w:jc w:val="center"/>
              <w:rPr>
                <w:rFonts w:hint="eastAsia" w:ascii="仿宋_GB2312" w:hAnsi="仿宋_GB2312" w:eastAsia="仿宋_GB2312" w:cs="仿宋_GB2312"/>
              </w:rPr>
            </w:pPr>
            <w:bookmarkStart w:id="135" w:name="_Toc533340200"/>
            <w:bookmarkStart w:id="136" w:name="_Toc4485676"/>
            <w:r>
              <w:rPr>
                <w:rFonts w:hint="eastAsia" w:ascii="仿宋_GB2312" w:hAnsi="仿宋_GB2312" w:eastAsia="仿宋_GB2312" w:cs="仿宋_GB2312"/>
              </w:rPr>
              <w:t>序号</w:t>
            </w:r>
          </w:p>
        </w:tc>
        <w:tc>
          <w:tcPr>
            <w:tcW w:w="2415" w:type="dxa"/>
            <w:vMerge w:val="restart"/>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审查项目</w:t>
            </w:r>
            <w:bookmarkEnd w:id="135"/>
            <w:bookmarkEnd w:id="136"/>
          </w:p>
        </w:tc>
        <w:tc>
          <w:tcPr>
            <w:tcW w:w="2776" w:type="dxa"/>
            <w:vMerge w:val="restart"/>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bookmarkStart w:id="137" w:name="_Toc533340201"/>
            <w:bookmarkStart w:id="138" w:name="_Toc4485677"/>
            <w:r>
              <w:rPr>
                <w:rFonts w:hint="eastAsia" w:ascii="仿宋_GB2312" w:hAnsi="仿宋_GB2312" w:eastAsia="仿宋_GB2312" w:cs="仿宋_GB2312"/>
                <w:b w:val="0"/>
                <w:sz w:val="21"/>
                <w:szCs w:val="21"/>
              </w:rPr>
              <w:t>审查标准</w:t>
            </w:r>
            <w:bookmarkEnd w:id="137"/>
            <w:bookmarkEnd w:id="138"/>
          </w:p>
        </w:tc>
        <w:tc>
          <w:tcPr>
            <w:tcW w:w="2544" w:type="dxa"/>
            <w:gridSpan w:val="3"/>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bookmarkStart w:id="139" w:name="_Toc533340202"/>
            <w:bookmarkStart w:id="140" w:name="_Toc4485678"/>
            <w:r>
              <w:rPr>
                <w:rFonts w:hint="eastAsia" w:ascii="仿宋_GB2312" w:hAnsi="仿宋_GB2312" w:eastAsia="仿宋_GB2312" w:cs="仿宋_GB2312"/>
                <w:b w:val="0"/>
                <w:sz w:val="21"/>
                <w:szCs w:val="21"/>
              </w:rPr>
              <w:t>供应商名称</w:t>
            </w:r>
            <w:bookmarkEnd w:id="139"/>
            <w:bookmarkEnd w:id="1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79" w:type="dxa"/>
            <w:vMerge w:val="continue"/>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p>
        </w:tc>
        <w:tc>
          <w:tcPr>
            <w:tcW w:w="2415" w:type="dxa"/>
            <w:vMerge w:val="continue"/>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p>
        </w:tc>
        <w:tc>
          <w:tcPr>
            <w:tcW w:w="2776" w:type="dxa"/>
            <w:vMerge w:val="continue"/>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p>
        </w:tc>
        <w:tc>
          <w:tcPr>
            <w:tcW w:w="847"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p>
        </w:tc>
        <w:tc>
          <w:tcPr>
            <w:tcW w:w="848"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p>
        </w:tc>
        <w:tc>
          <w:tcPr>
            <w:tcW w:w="84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2415"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响应函</w:t>
            </w:r>
          </w:p>
        </w:tc>
        <w:tc>
          <w:tcPr>
            <w:tcW w:w="2776" w:type="dxa"/>
            <w:noWrap w:val="0"/>
            <w:vAlign w:val="top"/>
          </w:tcPr>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41" w:name="_Toc533340203"/>
            <w:bookmarkStart w:id="142" w:name="_Toc4485679"/>
            <w:r>
              <w:rPr>
                <w:rFonts w:hint="eastAsia" w:ascii="仿宋_GB2312" w:hAnsi="仿宋_GB2312" w:eastAsia="仿宋_GB2312" w:cs="仿宋_GB2312"/>
                <w:b w:val="0"/>
                <w:sz w:val="21"/>
                <w:szCs w:val="21"/>
              </w:rPr>
              <w:t>1.按给定格式填写</w:t>
            </w:r>
            <w:bookmarkEnd w:id="141"/>
            <w:bookmarkEnd w:id="142"/>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2.响应采购文件实质性要求</w:t>
            </w:r>
          </w:p>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43" w:name="_Toc533340204"/>
            <w:bookmarkStart w:id="144" w:name="_Toc4485680"/>
            <w:r>
              <w:rPr>
                <w:rFonts w:hint="eastAsia" w:ascii="仿宋_GB2312" w:hAnsi="仿宋_GB2312" w:eastAsia="仿宋_GB2312" w:cs="仿宋_GB2312"/>
                <w:b w:val="0"/>
                <w:sz w:val="21"/>
                <w:szCs w:val="21"/>
              </w:rPr>
              <w:t>3.按规定签章</w:t>
            </w:r>
            <w:bookmarkEnd w:id="143"/>
            <w:bookmarkEnd w:id="144"/>
          </w:p>
        </w:tc>
        <w:tc>
          <w:tcPr>
            <w:tcW w:w="847"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8"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7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2415"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递交磋商保证金证明</w:t>
            </w:r>
          </w:p>
        </w:tc>
        <w:tc>
          <w:tcPr>
            <w:tcW w:w="2776" w:type="dxa"/>
            <w:noWrap w:val="0"/>
            <w:vAlign w:val="top"/>
          </w:tcPr>
          <w:p>
            <w:pPr>
              <w:pStyle w:val="3"/>
              <w:adjustRightInd w:val="0"/>
              <w:snapToGrid w:val="0"/>
              <w:spacing w:before="0" w:after="0" w:line="240" w:lineRule="auto"/>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847"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8"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9"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2415"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报价一览表</w:t>
            </w:r>
          </w:p>
        </w:tc>
        <w:tc>
          <w:tcPr>
            <w:tcW w:w="2776" w:type="dxa"/>
            <w:noWrap w:val="0"/>
            <w:vAlign w:val="top"/>
          </w:tcPr>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45" w:name="_Toc533340207"/>
            <w:bookmarkStart w:id="146" w:name="_Toc4485681"/>
            <w:r>
              <w:rPr>
                <w:rFonts w:hint="eastAsia" w:ascii="仿宋_GB2312" w:hAnsi="仿宋_GB2312" w:eastAsia="仿宋_GB2312" w:cs="仿宋_GB2312"/>
                <w:b w:val="0"/>
                <w:sz w:val="21"/>
                <w:szCs w:val="21"/>
              </w:rPr>
              <w:t>1.按给定格式填写</w:t>
            </w:r>
            <w:bookmarkEnd w:id="145"/>
            <w:bookmarkEnd w:id="146"/>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2.响应采购文件实质性要求</w:t>
            </w:r>
          </w:p>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47" w:name="_Toc533340208"/>
            <w:bookmarkStart w:id="148" w:name="_Toc4485682"/>
            <w:r>
              <w:rPr>
                <w:rFonts w:hint="eastAsia" w:ascii="仿宋_GB2312" w:hAnsi="仿宋_GB2312" w:eastAsia="仿宋_GB2312" w:cs="仿宋_GB2312"/>
                <w:b w:val="0"/>
                <w:sz w:val="21"/>
                <w:szCs w:val="21"/>
              </w:rPr>
              <w:t>3.按规定签章</w:t>
            </w:r>
            <w:bookmarkEnd w:id="147"/>
            <w:bookmarkEnd w:id="148"/>
          </w:p>
        </w:tc>
        <w:tc>
          <w:tcPr>
            <w:tcW w:w="847"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8"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9"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2415"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服务价格明细表</w:t>
            </w:r>
          </w:p>
        </w:tc>
        <w:tc>
          <w:tcPr>
            <w:tcW w:w="2776" w:type="dxa"/>
            <w:noWrap w:val="0"/>
            <w:vAlign w:val="top"/>
          </w:tcPr>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49" w:name="_Toc533340209"/>
            <w:bookmarkStart w:id="150" w:name="_Toc4485683"/>
            <w:r>
              <w:rPr>
                <w:rFonts w:hint="eastAsia" w:ascii="仿宋_GB2312" w:hAnsi="仿宋_GB2312" w:eastAsia="仿宋_GB2312" w:cs="仿宋_GB2312"/>
                <w:b w:val="0"/>
                <w:sz w:val="21"/>
                <w:szCs w:val="21"/>
              </w:rPr>
              <w:t>1.按给定格式填写</w:t>
            </w:r>
            <w:bookmarkEnd w:id="149"/>
            <w:bookmarkEnd w:id="150"/>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2.响应采购文件实质性要求</w:t>
            </w:r>
          </w:p>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51" w:name="_Toc533340210"/>
            <w:bookmarkStart w:id="152" w:name="_Toc4485684"/>
            <w:r>
              <w:rPr>
                <w:rFonts w:hint="eastAsia" w:ascii="仿宋_GB2312" w:hAnsi="仿宋_GB2312" w:eastAsia="仿宋_GB2312" w:cs="仿宋_GB2312"/>
                <w:b w:val="0"/>
                <w:sz w:val="21"/>
                <w:szCs w:val="21"/>
              </w:rPr>
              <w:t>3.按规定签章</w:t>
            </w:r>
            <w:bookmarkEnd w:id="151"/>
            <w:bookmarkEnd w:id="152"/>
          </w:p>
        </w:tc>
        <w:tc>
          <w:tcPr>
            <w:tcW w:w="847"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8"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9"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2415"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服务需求响应表</w:t>
            </w:r>
          </w:p>
        </w:tc>
        <w:tc>
          <w:tcPr>
            <w:tcW w:w="2776" w:type="dxa"/>
            <w:noWrap w:val="0"/>
            <w:vAlign w:val="top"/>
          </w:tcPr>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53" w:name="_Toc533340211"/>
            <w:bookmarkStart w:id="154" w:name="_Toc4485685"/>
            <w:r>
              <w:rPr>
                <w:rFonts w:hint="eastAsia" w:ascii="仿宋_GB2312" w:hAnsi="仿宋_GB2312" w:eastAsia="仿宋_GB2312" w:cs="仿宋_GB2312"/>
                <w:b w:val="0"/>
                <w:sz w:val="21"/>
                <w:szCs w:val="21"/>
              </w:rPr>
              <w:t>1.按给定格式填写</w:t>
            </w:r>
            <w:bookmarkEnd w:id="153"/>
            <w:bookmarkEnd w:id="154"/>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2.响应采购文件实质性要求</w:t>
            </w:r>
          </w:p>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55" w:name="_Toc533340212"/>
            <w:bookmarkStart w:id="156" w:name="_Toc4485686"/>
            <w:r>
              <w:rPr>
                <w:rFonts w:hint="eastAsia" w:ascii="仿宋_GB2312" w:hAnsi="仿宋_GB2312" w:eastAsia="仿宋_GB2312" w:cs="仿宋_GB2312"/>
                <w:b w:val="0"/>
                <w:sz w:val="21"/>
                <w:szCs w:val="21"/>
              </w:rPr>
              <w:t>3.按规定签章</w:t>
            </w:r>
            <w:bookmarkEnd w:id="155"/>
            <w:bookmarkEnd w:id="156"/>
          </w:p>
        </w:tc>
        <w:tc>
          <w:tcPr>
            <w:tcW w:w="847"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8"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9"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2415"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商务条款偏离表</w:t>
            </w:r>
          </w:p>
        </w:tc>
        <w:tc>
          <w:tcPr>
            <w:tcW w:w="2776" w:type="dxa"/>
            <w:noWrap w:val="0"/>
            <w:vAlign w:val="top"/>
          </w:tcPr>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57" w:name="_Toc533340213"/>
            <w:bookmarkStart w:id="158" w:name="_Toc4485687"/>
            <w:r>
              <w:rPr>
                <w:rFonts w:hint="eastAsia" w:ascii="仿宋_GB2312" w:hAnsi="仿宋_GB2312" w:eastAsia="仿宋_GB2312" w:cs="仿宋_GB2312"/>
                <w:b w:val="0"/>
                <w:sz w:val="21"/>
                <w:szCs w:val="21"/>
              </w:rPr>
              <w:t>1.按给定格式填写</w:t>
            </w:r>
            <w:bookmarkEnd w:id="157"/>
            <w:bookmarkEnd w:id="158"/>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2.响应采购文件实质性要求</w:t>
            </w:r>
          </w:p>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59" w:name="_Toc533340214"/>
            <w:bookmarkStart w:id="160" w:name="_Toc4485688"/>
            <w:r>
              <w:rPr>
                <w:rFonts w:hint="eastAsia" w:ascii="仿宋_GB2312" w:hAnsi="仿宋_GB2312" w:eastAsia="仿宋_GB2312" w:cs="仿宋_GB2312"/>
                <w:b w:val="0"/>
                <w:sz w:val="21"/>
                <w:szCs w:val="21"/>
              </w:rPr>
              <w:t>3.按规定签章</w:t>
            </w:r>
            <w:bookmarkEnd w:id="159"/>
            <w:bookmarkEnd w:id="160"/>
          </w:p>
        </w:tc>
        <w:tc>
          <w:tcPr>
            <w:tcW w:w="847"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8"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9"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7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2415"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供应商关联单位说明</w:t>
            </w:r>
          </w:p>
        </w:tc>
        <w:tc>
          <w:tcPr>
            <w:tcW w:w="2776" w:type="dxa"/>
            <w:noWrap w:val="0"/>
            <w:vAlign w:val="center"/>
          </w:tcPr>
          <w:p>
            <w:pPr>
              <w:pStyle w:val="3"/>
              <w:adjustRightInd w:val="0"/>
              <w:snapToGrid w:val="0"/>
              <w:spacing w:before="0" w:after="0" w:line="240" w:lineRule="auto"/>
              <w:jc w:val="center"/>
              <w:rPr>
                <w:rFonts w:hint="eastAsia" w:ascii="仿宋_GB2312" w:hAnsi="仿宋_GB2312" w:eastAsia="仿宋_GB2312" w:cs="仿宋_GB2312"/>
                <w:b w:val="0"/>
                <w:sz w:val="21"/>
                <w:szCs w:val="21"/>
              </w:rPr>
            </w:pPr>
            <w:bookmarkStart w:id="161" w:name="_Toc533340215"/>
            <w:bookmarkStart w:id="162" w:name="_Toc4485689"/>
            <w:r>
              <w:rPr>
                <w:rFonts w:hint="eastAsia" w:ascii="仿宋_GB2312" w:hAnsi="仿宋_GB2312" w:eastAsia="仿宋_GB2312" w:cs="仿宋_GB2312"/>
                <w:b w:val="0"/>
                <w:sz w:val="21"/>
                <w:szCs w:val="21"/>
              </w:rPr>
              <w:t>无供应商须知1.5</w:t>
            </w:r>
            <w:bookmarkEnd w:id="161"/>
            <w:bookmarkEnd w:id="162"/>
            <w:bookmarkStart w:id="163" w:name="_Toc533340216"/>
            <w:bookmarkStart w:id="164" w:name="_Toc4485690"/>
            <w:r>
              <w:rPr>
                <w:rFonts w:hint="eastAsia" w:ascii="仿宋_GB2312" w:hAnsi="仿宋_GB2312" w:eastAsia="仿宋_GB2312" w:cs="仿宋_GB2312"/>
                <w:b w:val="0"/>
                <w:sz w:val="21"/>
                <w:szCs w:val="21"/>
              </w:rPr>
              <w:t>所述情形</w:t>
            </w:r>
            <w:bookmarkEnd w:id="163"/>
            <w:bookmarkEnd w:id="164"/>
          </w:p>
        </w:tc>
        <w:tc>
          <w:tcPr>
            <w:tcW w:w="847"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8"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9"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79" w:type="dxa"/>
            <w:noWrap w:val="0"/>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2415"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其他符合性证明材料</w:t>
            </w:r>
          </w:p>
        </w:tc>
        <w:tc>
          <w:tcPr>
            <w:tcW w:w="2776"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响应采购文件实质性要求</w:t>
            </w:r>
          </w:p>
        </w:tc>
        <w:tc>
          <w:tcPr>
            <w:tcW w:w="847"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8"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9"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7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2415"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响应报价</w:t>
            </w:r>
          </w:p>
        </w:tc>
        <w:tc>
          <w:tcPr>
            <w:tcW w:w="2776" w:type="dxa"/>
            <w:noWrap w:val="0"/>
            <w:vAlign w:val="top"/>
          </w:tcPr>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65" w:name="_Toc533340219"/>
            <w:bookmarkStart w:id="166" w:name="_Toc4485693"/>
            <w:r>
              <w:rPr>
                <w:rFonts w:hint="eastAsia" w:ascii="仿宋_GB2312" w:hAnsi="仿宋_GB2312" w:eastAsia="仿宋_GB2312" w:cs="仿宋_GB2312"/>
                <w:b w:val="0"/>
                <w:sz w:val="21"/>
                <w:szCs w:val="21"/>
              </w:rPr>
              <w:t>1.响应采购文件实质性要求</w:t>
            </w:r>
            <w:bookmarkEnd w:id="165"/>
            <w:bookmarkEnd w:id="166"/>
          </w:p>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67" w:name="_Toc533340220"/>
            <w:bookmarkStart w:id="168" w:name="_Toc4485694"/>
            <w:r>
              <w:rPr>
                <w:rFonts w:hint="eastAsia" w:ascii="仿宋_GB2312" w:hAnsi="仿宋_GB2312" w:eastAsia="仿宋_GB2312" w:cs="仿宋_GB2312"/>
                <w:b w:val="0"/>
                <w:sz w:val="21"/>
                <w:szCs w:val="21"/>
              </w:rPr>
              <w:t>2.无供应商须知28.2条所述情形</w:t>
            </w:r>
            <w:bookmarkEnd w:id="167"/>
            <w:bookmarkEnd w:id="168"/>
          </w:p>
        </w:tc>
        <w:tc>
          <w:tcPr>
            <w:tcW w:w="847"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8"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9"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7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2415"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样品或演示（如适用）</w:t>
            </w:r>
          </w:p>
        </w:tc>
        <w:tc>
          <w:tcPr>
            <w:tcW w:w="2776" w:type="dxa"/>
            <w:noWrap w:val="0"/>
            <w:vAlign w:val="top"/>
          </w:tcPr>
          <w:p>
            <w:pPr>
              <w:pStyle w:val="3"/>
              <w:adjustRightInd w:val="0"/>
              <w:snapToGrid w:val="0"/>
              <w:spacing w:before="0" w:after="0" w:line="240" w:lineRule="auto"/>
              <w:jc w:val="left"/>
              <w:rPr>
                <w:rFonts w:hint="eastAsia" w:ascii="仿宋_GB2312" w:hAnsi="仿宋_GB2312" w:eastAsia="仿宋_GB2312" w:cs="仿宋_GB2312"/>
                <w:b w:val="0"/>
                <w:sz w:val="21"/>
                <w:szCs w:val="21"/>
              </w:rPr>
            </w:pPr>
            <w:bookmarkStart w:id="169" w:name="_Toc533340221"/>
            <w:bookmarkStart w:id="170" w:name="_Toc4485695"/>
            <w:r>
              <w:rPr>
                <w:rFonts w:hint="eastAsia" w:ascii="仿宋_GB2312" w:hAnsi="仿宋_GB2312" w:eastAsia="仿宋_GB2312" w:cs="仿宋_GB2312"/>
                <w:b w:val="0"/>
                <w:sz w:val="21"/>
                <w:szCs w:val="21"/>
              </w:rPr>
              <w:t>符合供应商须知表11.3条及24.1条所述的全部要求</w:t>
            </w:r>
            <w:bookmarkEnd w:id="169"/>
            <w:bookmarkEnd w:id="170"/>
          </w:p>
        </w:tc>
        <w:tc>
          <w:tcPr>
            <w:tcW w:w="847"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8"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9"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9" w:type="dxa"/>
            <w:noWrap w:val="0"/>
            <w:vAlign w:val="center"/>
          </w:tcPr>
          <w:p>
            <w:pPr>
              <w:snapToGrid w:val="0"/>
              <w:jc w:val="center"/>
              <w:rPr>
                <w:rFonts w:hint="eastAsia" w:ascii="仿宋_GB2312" w:hAnsi="仿宋_GB2312" w:eastAsia="仿宋_GB2312" w:cs="仿宋_GB2312"/>
                <w:szCs w:val="21"/>
              </w:rPr>
            </w:pPr>
          </w:p>
        </w:tc>
        <w:tc>
          <w:tcPr>
            <w:tcW w:w="2415"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结论</w:t>
            </w:r>
          </w:p>
        </w:tc>
        <w:tc>
          <w:tcPr>
            <w:tcW w:w="2776"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7"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8"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c>
          <w:tcPr>
            <w:tcW w:w="849" w:type="dxa"/>
            <w:noWrap w:val="0"/>
            <w:vAlign w:val="top"/>
          </w:tcPr>
          <w:p>
            <w:pPr>
              <w:pStyle w:val="3"/>
              <w:adjustRightInd w:val="0"/>
              <w:snapToGrid w:val="0"/>
              <w:spacing w:before="0" w:after="0" w:line="240" w:lineRule="auto"/>
              <w:jc w:val="center"/>
              <w:rPr>
                <w:rFonts w:hint="eastAsia" w:ascii="仿宋_GB2312" w:hAnsi="仿宋_GB2312" w:eastAsia="仿宋_GB2312" w:cs="仿宋_GB2312"/>
                <w:sz w:val="21"/>
                <w:szCs w:val="21"/>
              </w:rPr>
            </w:pPr>
          </w:p>
        </w:tc>
      </w:tr>
    </w:tbl>
    <w:p>
      <w:pPr>
        <w:rPr>
          <w:rFonts w:ascii="仿宋_GB2312" w:hAnsi="仿宋_GB2312" w:eastAsia="仿宋_GB2312" w:cs="仿宋_GB2312"/>
        </w:rPr>
      </w:pPr>
      <w:r>
        <w:rPr>
          <w:rFonts w:hint="eastAsia" w:ascii="仿宋_GB2312" w:hAnsi="仿宋_GB2312" w:eastAsia="仿宋_GB2312" w:cs="仿宋_GB2312"/>
        </w:rPr>
        <w:t>注：《辽宁省创新产品和服务目录》内产品、服务证明材料（可视具体情况调整至符合性证明材料及符合性审查表中）</w:t>
      </w:r>
    </w:p>
    <w:p>
      <w:pPr>
        <w:rPr>
          <w:rFonts w:hint="eastAsia"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rPr>
          <w:rFonts w:hint="eastAsia"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rPr>
          <w:rFonts w:hint="eastAsia" w:ascii="仿宋_GB2312" w:hAnsi="仿宋_GB2312" w:eastAsia="仿宋_GB2312" w:cs="仿宋_GB2312"/>
        </w:rPr>
      </w:pPr>
    </w:p>
    <w:p>
      <w:pPr>
        <w:spacing w:line="360" w:lineRule="auto"/>
        <w:rPr>
          <w:rFonts w:hint="eastAsia" w:ascii="仿宋_GB2312" w:hAnsi="仿宋_GB2312" w:eastAsia="仿宋_GB2312" w:cs="仿宋_GB2312"/>
        </w:rPr>
      </w:pPr>
      <w:r>
        <w:rPr>
          <w:rFonts w:hint="eastAsia" w:ascii="仿宋_GB2312" w:hAnsi="仿宋_GB2312" w:eastAsia="仿宋_GB2312" w:cs="仿宋_GB2312"/>
        </w:rPr>
        <w:t>审查人签字：</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w:t>日      期：</w:t>
      </w:r>
    </w:p>
    <w:p>
      <w:pPr>
        <w:pStyle w:val="3"/>
        <w:adjustRightInd w:val="0"/>
        <w:snapToGrid w:val="0"/>
        <w:spacing w:before="0" w:after="0" w:line="240" w:lineRule="auto"/>
        <w:jc w:val="left"/>
        <w:rPr>
          <w:rFonts w:hint="eastAsia" w:ascii="仿宋_GB2312" w:hAnsi="仿宋_GB2312" w:eastAsia="仿宋_GB2312" w:cs="仿宋_GB2312"/>
          <w:szCs w:val="32"/>
        </w:rPr>
      </w:pPr>
      <w:bookmarkStart w:id="171" w:name="_Toc17433_WPSOffice_Level2"/>
      <w:r>
        <w:rPr>
          <w:rFonts w:hint="eastAsia" w:ascii="仿宋_GB2312" w:hAnsi="仿宋_GB2312" w:eastAsia="仿宋_GB2312" w:cs="仿宋_GB2312"/>
          <w:szCs w:val="28"/>
        </w:rPr>
        <w:br w:type="page"/>
      </w:r>
      <w:r>
        <w:rPr>
          <w:rFonts w:hint="eastAsia" w:ascii="仿宋_GB2312" w:hAnsi="仿宋_GB2312" w:eastAsia="仿宋_GB2312" w:cs="仿宋_GB2312"/>
          <w:sz w:val="28"/>
          <w:szCs w:val="28"/>
        </w:rPr>
        <w:t>附件3</w:t>
      </w: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评分细则</w:t>
      </w:r>
      <w:bookmarkEnd w:id="171"/>
    </w:p>
    <w:p>
      <w:pPr>
        <w:jc w:val="center"/>
        <w:rPr>
          <w:rFonts w:hint="eastAsia" w:ascii="仿宋_GB2312" w:hAnsi="仿宋_GB2312" w:eastAsia="仿宋_GB2312" w:cs="仿宋_GB2312"/>
          <w:b/>
          <w:sz w:val="32"/>
          <w:szCs w:val="32"/>
        </w:rPr>
      </w:pPr>
      <w:bookmarkStart w:id="172" w:name="_Toc28142_WPSOffice_Level2"/>
      <w:r>
        <w:rPr>
          <w:rFonts w:hint="eastAsia" w:ascii="仿宋_GB2312" w:hAnsi="仿宋_GB2312" w:eastAsia="仿宋_GB2312" w:cs="仿宋_GB2312"/>
          <w:b/>
          <w:sz w:val="28"/>
          <w:szCs w:val="28"/>
        </w:rPr>
        <w:t>（综合评分法适用）</w:t>
      </w:r>
      <w:bookmarkEnd w:id="172"/>
    </w:p>
    <w:p>
      <w:pPr>
        <w:jc w:val="left"/>
        <w:rPr>
          <w:rFonts w:hint="eastAsia" w:ascii="仿宋_GB2312" w:hAnsi="仿宋_GB2312" w:eastAsia="仿宋_GB2312" w:cs="仿宋_GB2312"/>
          <w:b/>
          <w:sz w:val="32"/>
          <w:szCs w:val="32"/>
        </w:rPr>
      </w:pPr>
      <w:r>
        <w:rPr>
          <w:rFonts w:hint="eastAsia" w:ascii="仿宋_GB2312" w:hAnsi="仿宋_GB2312" w:eastAsia="仿宋_GB2312" w:cs="仿宋_GB2312"/>
          <w:b/>
          <w:szCs w:val="21"/>
        </w:rPr>
        <w:t>（一）基本评分标准</w:t>
      </w:r>
    </w:p>
    <w:tbl>
      <w:tblPr>
        <w:tblStyle w:val="16"/>
        <w:tblpPr w:leftFromText="180" w:rightFromText="180" w:vertAnchor="text" w:horzAnchor="margin" w:tblpXSpec="center" w:tblpY="10"/>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238"/>
        <w:gridCol w:w="5289"/>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32"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before="0" w:beforeAutospacing="0" w:after="0" w:afterAutospacing="0"/>
              <w:jc w:val="center"/>
              <w:rPr>
                <w:rFonts w:ascii="仿宋" w:hAnsi="仿宋" w:eastAsia="仿宋" w:cs="仿宋_GB2312"/>
                <w:kern w:val="2"/>
                <w:sz w:val="21"/>
                <w:szCs w:val="21"/>
              </w:rPr>
            </w:pPr>
            <w:r>
              <w:rPr>
                <w:rFonts w:hint="eastAsia" w:ascii="仿宋" w:hAnsi="仿宋" w:eastAsia="仿宋" w:cs="仿宋_GB2312"/>
                <w:kern w:val="2"/>
                <w:sz w:val="21"/>
                <w:szCs w:val="21"/>
              </w:rPr>
              <w:t>包号</w:t>
            </w:r>
          </w:p>
        </w:tc>
        <w:tc>
          <w:tcPr>
            <w:tcW w:w="7442" w:type="dxa"/>
            <w:gridSpan w:val="3"/>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before="0" w:beforeAutospacing="0" w:after="0" w:afterAutospacing="0"/>
              <w:jc w:val="center"/>
              <w:rPr>
                <w:rFonts w:ascii="仿宋" w:hAnsi="仿宋" w:eastAsia="仿宋"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32"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before="0" w:beforeAutospacing="0" w:after="0" w:afterAutospacing="0"/>
              <w:jc w:val="center"/>
              <w:rPr>
                <w:rFonts w:ascii="仿宋" w:hAnsi="仿宋" w:eastAsia="仿宋" w:cs="仿宋_GB2312"/>
                <w:kern w:val="2"/>
                <w:sz w:val="21"/>
                <w:szCs w:val="21"/>
              </w:rPr>
            </w:pPr>
            <w:r>
              <w:rPr>
                <w:rFonts w:hint="eastAsia" w:ascii="仿宋" w:hAnsi="仿宋" w:eastAsia="仿宋" w:cs="仿宋_GB2312"/>
                <w:kern w:val="2"/>
                <w:sz w:val="21"/>
                <w:szCs w:val="21"/>
              </w:rPr>
              <w:t>项目</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before="0" w:beforeAutospacing="0" w:after="0" w:afterAutospacing="0"/>
              <w:jc w:val="center"/>
              <w:rPr>
                <w:rFonts w:ascii="仿宋" w:hAnsi="仿宋" w:eastAsia="仿宋" w:cs="仿宋_GB2312"/>
                <w:kern w:val="2"/>
                <w:sz w:val="21"/>
                <w:szCs w:val="21"/>
              </w:rPr>
            </w:pPr>
            <w:r>
              <w:rPr>
                <w:rFonts w:hint="eastAsia" w:ascii="仿宋" w:hAnsi="仿宋" w:eastAsia="仿宋" w:cs="仿宋_GB2312"/>
                <w:kern w:val="2"/>
                <w:sz w:val="21"/>
                <w:szCs w:val="21"/>
              </w:rPr>
              <w:t>分项名称</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before="0" w:beforeAutospacing="0" w:after="0" w:afterAutospacing="0"/>
              <w:jc w:val="center"/>
              <w:rPr>
                <w:rFonts w:ascii="仿宋" w:hAnsi="仿宋" w:eastAsia="仿宋" w:cs="仿宋_GB2312"/>
                <w:kern w:val="2"/>
                <w:sz w:val="21"/>
                <w:szCs w:val="21"/>
              </w:rPr>
            </w:pPr>
            <w:r>
              <w:rPr>
                <w:rFonts w:hint="eastAsia" w:ascii="仿宋" w:hAnsi="仿宋" w:eastAsia="仿宋" w:cs="仿宋_GB2312"/>
                <w:kern w:val="2"/>
                <w:sz w:val="21"/>
                <w:szCs w:val="21"/>
              </w:rPr>
              <w:t>评分标准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before="0" w:beforeAutospacing="0" w:after="0" w:afterAutospacing="0"/>
              <w:jc w:val="center"/>
              <w:rPr>
                <w:rFonts w:ascii="仿宋" w:hAnsi="仿宋" w:eastAsia="仿宋" w:cs="仿宋_GB2312"/>
                <w:kern w:val="2"/>
                <w:sz w:val="21"/>
                <w:szCs w:val="21"/>
              </w:rPr>
            </w:pPr>
            <w:r>
              <w:rPr>
                <w:rFonts w:hint="eastAsia" w:ascii="仿宋" w:hAnsi="仿宋" w:eastAsia="仿宋" w:cs="仿宋_GB2312"/>
                <w:kern w:val="2"/>
                <w:sz w:val="21"/>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32"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before="0" w:beforeAutospacing="0" w:after="0" w:afterAutospacing="0"/>
              <w:jc w:val="center"/>
              <w:rPr>
                <w:rFonts w:ascii="仿宋" w:hAnsi="仿宋" w:eastAsia="仿宋" w:cs="仿宋_GB2312"/>
                <w:kern w:val="2"/>
                <w:sz w:val="21"/>
                <w:szCs w:val="21"/>
              </w:rPr>
            </w:pPr>
            <w:r>
              <w:rPr>
                <w:rFonts w:hint="eastAsia" w:ascii="仿宋" w:hAnsi="仿宋" w:eastAsia="仿宋" w:cs="仿宋_GB2312"/>
                <w:kern w:val="2"/>
                <w:sz w:val="21"/>
                <w:szCs w:val="21"/>
              </w:rPr>
              <w:t>价格部分</w:t>
            </w:r>
          </w:p>
          <w:p>
            <w:pPr>
              <w:pStyle w:val="14"/>
              <w:adjustRightInd w:val="0"/>
              <w:snapToGrid w:val="0"/>
              <w:spacing w:before="0" w:beforeAutospacing="0" w:after="0" w:afterAutospacing="0"/>
              <w:jc w:val="center"/>
              <w:rPr>
                <w:rFonts w:ascii="仿宋" w:hAnsi="仿宋" w:eastAsia="仿宋" w:cs="仿宋_GB2312"/>
                <w:kern w:val="2"/>
                <w:sz w:val="21"/>
                <w:szCs w:val="21"/>
              </w:rPr>
            </w:pPr>
            <w:r>
              <w:rPr>
                <w:rFonts w:hint="eastAsia" w:ascii="仿宋" w:hAnsi="仿宋" w:eastAsia="仿宋" w:cs="仿宋_GB2312"/>
                <w:kern w:val="2"/>
                <w:sz w:val="21"/>
                <w:szCs w:val="21"/>
              </w:rPr>
              <w:t>（10分）</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_GB2312"/>
                <w:szCs w:val="21"/>
              </w:rPr>
            </w:pPr>
            <w:r>
              <w:rPr>
                <w:rFonts w:hint="eastAsia" w:ascii="仿宋" w:hAnsi="仿宋" w:cs="仿宋_GB2312"/>
                <w:szCs w:val="21"/>
              </w:rPr>
              <w:t>价格</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_GB2312"/>
                <w:szCs w:val="21"/>
              </w:rPr>
            </w:pPr>
            <w:r>
              <w:rPr>
                <w:rFonts w:hint="eastAsia" w:ascii="仿宋" w:hAnsi="仿宋" w:cs="仿宋_GB2312"/>
                <w:szCs w:val="21"/>
              </w:rPr>
              <w:t>(1)有效投标人的最低报价为满分。</w:t>
            </w:r>
          </w:p>
          <w:p>
            <w:pPr>
              <w:rPr>
                <w:rFonts w:ascii="仿宋" w:hAnsi="仿宋" w:cs="仿宋_GB2312"/>
                <w:szCs w:val="21"/>
              </w:rPr>
            </w:pPr>
            <w:r>
              <w:rPr>
                <w:rFonts w:hint="eastAsia" w:ascii="仿宋" w:hAnsi="仿宋" w:cs="仿宋_GB2312"/>
                <w:szCs w:val="21"/>
              </w:rPr>
              <w:t>(2)投标人报价得分为：</w:t>
            </w:r>
          </w:p>
          <w:p>
            <w:pPr>
              <w:rPr>
                <w:rFonts w:ascii="仿宋" w:hAnsi="仿宋" w:cs="仿宋_GB2312"/>
                <w:szCs w:val="21"/>
              </w:rPr>
            </w:pPr>
            <w:r>
              <w:rPr>
                <w:rFonts w:hint="eastAsia" w:ascii="仿宋" w:hAnsi="仿宋" w:cs="仿宋_GB2312"/>
                <w:szCs w:val="21"/>
              </w:rPr>
              <w:t>T=C/Cmax×10</w:t>
            </w:r>
          </w:p>
          <w:p>
            <w:pPr>
              <w:rPr>
                <w:rFonts w:ascii="仿宋" w:hAnsi="仿宋" w:cs="仿宋_GB2312"/>
                <w:szCs w:val="21"/>
              </w:rPr>
            </w:pPr>
            <w:r>
              <w:rPr>
                <w:rFonts w:hint="eastAsia" w:ascii="仿宋" w:hAnsi="仿宋" w:cs="仿宋_GB2312"/>
                <w:szCs w:val="21"/>
              </w:rPr>
              <w:t>T为投标人价格部分得分；</w:t>
            </w:r>
          </w:p>
          <w:p>
            <w:pPr>
              <w:rPr>
                <w:rFonts w:ascii="仿宋" w:hAnsi="仿宋" w:cs="仿宋_GB2312"/>
                <w:szCs w:val="21"/>
              </w:rPr>
            </w:pPr>
            <w:r>
              <w:rPr>
                <w:rFonts w:hint="eastAsia" w:ascii="仿宋" w:hAnsi="仿宋" w:cs="仿宋_GB2312"/>
                <w:szCs w:val="21"/>
              </w:rPr>
              <w:t>C为投标人报价；</w:t>
            </w:r>
          </w:p>
          <w:p>
            <w:pPr>
              <w:rPr>
                <w:rFonts w:ascii="仿宋" w:hAnsi="仿宋" w:cs="仿宋_GB2312"/>
                <w:szCs w:val="21"/>
              </w:rPr>
            </w:pPr>
            <w:r>
              <w:rPr>
                <w:rFonts w:hint="eastAsia" w:ascii="仿宋" w:hAnsi="仿宋" w:cs="仿宋_GB2312"/>
                <w:szCs w:val="21"/>
              </w:rPr>
              <w:t>Cmax为有效投标人的最低报价。</w:t>
            </w: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_GB2312"/>
                <w:szCs w:val="21"/>
              </w:rPr>
            </w:pPr>
            <w:r>
              <w:rPr>
                <w:rFonts w:hint="eastAsia" w:ascii="仿宋" w:hAnsi="仿宋"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32" w:type="dxa"/>
            <w:vMerge w:val="restart"/>
            <w:tcBorders>
              <w:left w:val="single" w:color="auto" w:sz="4" w:space="0"/>
              <w:right w:val="single" w:color="auto" w:sz="4" w:space="0"/>
            </w:tcBorders>
            <w:noWrap w:val="0"/>
            <w:vAlign w:val="center"/>
          </w:tcPr>
          <w:p>
            <w:pPr>
              <w:pStyle w:val="14"/>
              <w:adjustRightInd w:val="0"/>
              <w:snapToGrid w:val="0"/>
              <w:spacing w:before="0" w:beforeAutospacing="0" w:after="0" w:afterAutospacing="0"/>
              <w:jc w:val="center"/>
              <w:rPr>
                <w:rFonts w:ascii="仿宋" w:hAnsi="仿宋" w:eastAsia="仿宋" w:cs="仿宋_GB2312"/>
                <w:kern w:val="2"/>
                <w:sz w:val="21"/>
                <w:szCs w:val="21"/>
              </w:rPr>
            </w:pPr>
            <w:r>
              <w:rPr>
                <w:rFonts w:hint="eastAsia" w:ascii="仿宋" w:hAnsi="仿宋" w:eastAsia="仿宋" w:cs="仿宋_GB2312"/>
                <w:kern w:val="2"/>
                <w:sz w:val="21"/>
                <w:szCs w:val="21"/>
              </w:rPr>
              <w:t>技术部分</w:t>
            </w:r>
          </w:p>
          <w:p>
            <w:pPr>
              <w:widowControl/>
              <w:adjustRightInd w:val="0"/>
              <w:snapToGrid w:val="0"/>
              <w:jc w:val="center"/>
              <w:rPr>
                <w:rFonts w:ascii="仿宋" w:hAnsi="仿宋" w:cs="仿宋_GB2312"/>
                <w:szCs w:val="21"/>
              </w:rPr>
            </w:pPr>
            <w:r>
              <w:rPr>
                <w:rFonts w:hint="eastAsia" w:ascii="仿宋" w:hAnsi="仿宋" w:cs="仿宋_GB2312"/>
                <w:szCs w:val="21"/>
              </w:rPr>
              <w:t>（50分）</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color w:val="000000"/>
                <w:szCs w:val="21"/>
              </w:rPr>
            </w:pPr>
            <w:r>
              <w:rPr>
                <w:rFonts w:hint="eastAsia" w:ascii="仿宋" w:hAnsi="仿宋" w:cs="仿宋"/>
                <w:color w:val="000000"/>
                <w:szCs w:val="21"/>
              </w:rPr>
              <w:t>维修维护管理方案</w:t>
            </w:r>
          </w:p>
        </w:tc>
        <w:tc>
          <w:tcPr>
            <w:tcW w:w="528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cs="仿宋"/>
                <w:color w:val="000000"/>
                <w:szCs w:val="21"/>
              </w:rPr>
            </w:pPr>
            <w:r>
              <w:rPr>
                <w:rFonts w:hint="eastAsia" w:ascii="仿宋" w:hAnsi="仿宋" w:cs="仿宋"/>
                <w:color w:val="000000"/>
                <w:szCs w:val="21"/>
              </w:rPr>
              <w:t>能提供详细、完整的设施设备运行维护管理方案，保证设施设备有效运行（包含但不限于：日常维护和定期维护方案、保养方案、检修方案等）</w:t>
            </w:r>
          </w:p>
          <w:p>
            <w:pPr>
              <w:rPr>
                <w:rFonts w:ascii="仿宋" w:hAnsi="仿宋" w:cs="仿宋"/>
                <w:color w:val="000000"/>
                <w:szCs w:val="21"/>
              </w:rPr>
            </w:pPr>
            <w:r>
              <w:rPr>
                <w:rFonts w:hint="eastAsia" w:ascii="仿宋" w:hAnsi="仿宋" w:cs="仿宋"/>
                <w:color w:val="000000"/>
                <w:szCs w:val="21"/>
              </w:rPr>
              <w:t>1.方案完整响应项目需求，方案可行性强，成熟先进、 针对性强,完全满足需求的得8-10分；</w:t>
            </w:r>
          </w:p>
          <w:p>
            <w:pPr>
              <w:rPr>
                <w:rFonts w:ascii="仿宋" w:hAnsi="仿宋" w:cs="仿宋"/>
                <w:color w:val="000000"/>
                <w:szCs w:val="21"/>
              </w:rPr>
            </w:pPr>
            <w:r>
              <w:rPr>
                <w:rFonts w:hint="eastAsia" w:ascii="仿宋" w:hAnsi="仿宋" w:cs="仿宋"/>
                <w:color w:val="000000"/>
                <w:szCs w:val="21"/>
              </w:rPr>
              <w:t>2.方案设计内容全面，但不够详细或可行性不强，基本满足项目需求得5-7分；</w:t>
            </w:r>
          </w:p>
          <w:p>
            <w:pPr>
              <w:rPr>
                <w:rFonts w:ascii="仿宋" w:hAnsi="仿宋" w:cs="仿宋"/>
                <w:color w:val="000000"/>
                <w:szCs w:val="21"/>
              </w:rPr>
            </w:pPr>
            <w:r>
              <w:rPr>
                <w:rFonts w:hint="eastAsia" w:ascii="仿宋" w:hAnsi="仿宋" w:cs="仿宋"/>
                <w:color w:val="000000"/>
                <w:szCs w:val="21"/>
              </w:rPr>
              <w:t>3.方案设计内容不全面，未满足服务需求得1-4分；</w:t>
            </w:r>
          </w:p>
          <w:p>
            <w:pPr>
              <w:rPr>
                <w:rFonts w:ascii="仿宋" w:hAnsi="仿宋" w:cs="仿宋"/>
                <w:color w:val="000000"/>
                <w:szCs w:val="21"/>
              </w:rPr>
            </w:pPr>
            <w:r>
              <w:rPr>
                <w:rFonts w:hint="eastAsia" w:ascii="仿宋" w:hAnsi="仿宋" w:cs="仿宋"/>
                <w:color w:val="000000"/>
                <w:szCs w:val="21"/>
              </w:rPr>
              <w:t>4.无可行性或未提供的不得分。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color w:val="000000"/>
                <w:szCs w:val="21"/>
              </w:rPr>
            </w:pPr>
            <w:r>
              <w:rPr>
                <w:rFonts w:hint="eastAsia" w:ascii="仿宋" w:hAnsi="仿宋" w:cs="仿宋"/>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32" w:type="dxa"/>
            <w:vMerge w:val="continue"/>
            <w:tcBorders>
              <w:left w:val="single" w:color="auto" w:sz="4" w:space="0"/>
              <w:right w:val="single" w:color="auto" w:sz="4" w:space="0"/>
            </w:tcBorders>
            <w:noWrap w:val="0"/>
            <w:vAlign w:val="center"/>
          </w:tcPr>
          <w:p>
            <w:pPr>
              <w:widowControl/>
              <w:adjustRightInd w:val="0"/>
              <w:snapToGrid w:val="0"/>
              <w:jc w:val="center"/>
              <w:rPr>
                <w:rFonts w:ascii="仿宋" w:hAnsi="仿宋" w:cs="仿宋_GB2312"/>
                <w:szCs w:val="21"/>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安保门卫管理方案</w:t>
            </w:r>
          </w:p>
        </w:tc>
        <w:tc>
          <w:tcPr>
            <w:tcW w:w="528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cs="仿宋"/>
                <w:color w:val="000000"/>
                <w:szCs w:val="21"/>
              </w:rPr>
            </w:pPr>
            <w:r>
              <w:rPr>
                <w:rFonts w:hint="eastAsia" w:ascii="仿宋" w:hAnsi="仿宋" w:cs="仿宋"/>
                <w:color w:val="000000"/>
                <w:szCs w:val="21"/>
              </w:rPr>
              <w:t>能提供详细、完整的安全门卫实施方案（包含但不限于：项目人员组织机构方案、各个服务岗位具体服务方案、后续人员保障方案等）</w:t>
            </w:r>
          </w:p>
          <w:p>
            <w:pPr>
              <w:rPr>
                <w:rFonts w:ascii="仿宋" w:hAnsi="仿宋" w:cs="仿宋"/>
                <w:color w:val="000000"/>
                <w:szCs w:val="21"/>
              </w:rPr>
            </w:pPr>
            <w:r>
              <w:rPr>
                <w:rFonts w:hint="eastAsia" w:ascii="仿宋" w:hAnsi="仿宋" w:cs="仿宋"/>
                <w:color w:val="000000"/>
                <w:szCs w:val="21"/>
              </w:rPr>
              <w:t>1.方案完整响应项目需求，方案可行性强，成熟先进、 针对性强,完全满足需求的得8-10分；</w:t>
            </w:r>
          </w:p>
          <w:p>
            <w:pPr>
              <w:rPr>
                <w:rFonts w:ascii="仿宋" w:hAnsi="仿宋" w:cs="仿宋"/>
                <w:color w:val="000000"/>
                <w:szCs w:val="21"/>
              </w:rPr>
            </w:pPr>
            <w:r>
              <w:rPr>
                <w:rFonts w:hint="eastAsia" w:ascii="仿宋" w:hAnsi="仿宋" w:cs="仿宋"/>
                <w:color w:val="000000"/>
                <w:szCs w:val="21"/>
              </w:rPr>
              <w:t>2.方案设计内容全面，但不够详细或可行性不强，基本满足项目需求得5-7分；</w:t>
            </w:r>
          </w:p>
          <w:p>
            <w:pPr>
              <w:rPr>
                <w:rFonts w:ascii="仿宋" w:hAnsi="仿宋" w:cs="仿宋"/>
                <w:color w:val="000000"/>
                <w:szCs w:val="21"/>
              </w:rPr>
            </w:pPr>
            <w:r>
              <w:rPr>
                <w:rFonts w:hint="eastAsia" w:ascii="仿宋" w:hAnsi="仿宋" w:cs="仿宋"/>
                <w:color w:val="000000"/>
                <w:szCs w:val="21"/>
              </w:rPr>
              <w:t>3.方案设计内容不全面，未满足服务需求得1-4分；</w:t>
            </w:r>
          </w:p>
          <w:p>
            <w:pPr>
              <w:rPr>
                <w:rFonts w:ascii="仿宋" w:hAnsi="仿宋" w:cs="仿宋"/>
                <w:color w:val="000000"/>
                <w:szCs w:val="21"/>
              </w:rPr>
            </w:pPr>
            <w:r>
              <w:rPr>
                <w:rFonts w:hint="eastAsia" w:ascii="仿宋" w:hAnsi="仿宋" w:cs="仿宋"/>
                <w:color w:val="000000"/>
                <w:szCs w:val="21"/>
              </w:rPr>
              <w:t>4.无可行性或未提供的不得分。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color w:val="000000"/>
                <w:szCs w:val="21"/>
              </w:rPr>
            </w:pPr>
            <w:r>
              <w:rPr>
                <w:rFonts w:hint="eastAsia" w:ascii="仿宋" w:hAnsi="仿宋" w:cs="仿宋"/>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32" w:type="dxa"/>
            <w:vMerge w:val="continue"/>
            <w:tcBorders>
              <w:left w:val="single" w:color="auto" w:sz="4" w:space="0"/>
              <w:right w:val="single" w:color="auto" w:sz="4" w:space="0"/>
            </w:tcBorders>
            <w:noWrap w:val="0"/>
            <w:vAlign w:val="center"/>
          </w:tcPr>
          <w:p>
            <w:pPr>
              <w:widowControl/>
              <w:adjustRightInd w:val="0"/>
              <w:snapToGrid w:val="0"/>
              <w:jc w:val="center"/>
              <w:rPr>
                <w:rFonts w:ascii="仿宋" w:hAnsi="仿宋" w:cs="仿宋_GB2312"/>
                <w:szCs w:val="21"/>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食堂餐饮服务方案</w:t>
            </w:r>
          </w:p>
        </w:tc>
        <w:tc>
          <w:tcPr>
            <w:tcW w:w="528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cs="仿宋"/>
                <w:color w:val="000000"/>
                <w:szCs w:val="21"/>
              </w:rPr>
            </w:pPr>
            <w:r>
              <w:rPr>
                <w:rFonts w:hint="eastAsia" w:ascii="仿宋" w:hAnsi="仿宋" w:cs="仿宋"/>
                <w:color w:val="000000"/>
                <w:szCs w:val="21"/>
              </w:rPr>
              <w:t>能提供详细、完整的食堂餐饮服务方案（包括但不限于：食堂总体管理方案、菜品营养搭配方案、食品安全管理方案、食堂食材采购方案、食堂人员健康及岗位培训等）</w:t>
            </w:r>
          </w:p>
          <w:p>
            <w:pPr>
              <w:rPr>
                <w:rFonts w:ascii="仿宋" w:hAnsi="仿宋" w:cs="仿宋"/>
                <w:color w:val="000000"/>
                <w:szCs w:val="21"/>
              </w:rPr>
            </w:pPr>
            <w:r>
              <w:rPr>
                <w:rFonts w:hint="eastAsia" w:ascii="仿宋" w:hAnsi="仿宋" w:cs="仿宋"/>
                <w:color w:val="000000"/>
                <w:szCs w:val="21"/>
              </w:rPr>
              <w:t>1.提供完善的餐饮服务方案且高于项目实际需求，管理方式科学、合理可操作性强的得8-10分；</w:t>
            </w:r>
          </w:p>
          <w:p>
            <w:pPr>
              <w:rPr>
                <w:rFonts w:ascii="仿宋" w:hAnsi="仿宋" w:cs="仿宋"/>
                <w:color w:val="000000"/>
                <w:szCs w:val="21"/>
              </w:rPr>
            </w:pPr>
            <w:r>
              <w:rPr>
                <w:rFonts w:hint="eastAsia" w:ascii="仿宋" w:hAnsi="仿宋" w:cs="仿宋"/>
                <w:color w:val="000000"/>
                <w:szCs w:val="21"/>
              </w:rPr>
              <w:t>2.提供的餐饮服务方案符合项目实际需求，管理方式科学、合理可操作性强的得5-7分；</w:t>
            </w:r>
          </w:p>
          <w:p>
            <w:pPr>
              <w:rPr>
                <w:rFonts w:ascii="仿宋" w:hAnsi="仿宋" w:cs="仿宋"/>
                <w:color w:val="000000"/>
                <w:szCs w:val="21"/>
              </w:rPr>
            </w:pPr>
            <w:r>
              <w:rPr>
                <w:rFonts w:hint="eastAsia" w:ascii="仿宋" w:hAnsi="仿宋" w:cs="仿宋"/>
                <w:color w:val="000000"/>
                <w:szCs w:val="21"/>
              </w:rPr>
              <w:t>3.提供的餐饮服务方案基本符合项目实际需求，管理方式一般的得1-4分；</w:t>
            </w:r>
          </w:p>
          <w:p>
            <w:pPr>
              <w:rPr>
                <w:rFonts w:ascii="仿宋" w:hAnsi="仿宋" w:cs="仿宋"/>
                <w:color w:val="000000"/>
                <w:szCs w:val="21"/>
              </w:rPr>
            </w:pPr>
            <w:r>
              <w:rPr>
                <w:rFonts w:hint="eastAsia" w:ascii="仿宋" w:hAnsi="仿宋" w:cs="仿宋"/>
                <w:color w:val="000000"/>
                <w:szCs w:val="21"/>
              </w:rPr>
              <w:t>4.未提供的不得分。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color w:val="000000"/>
                <w:szCs w:val="21"/>
              </w:rPr>
            </w:pPr>
            <w:r>
              <w:rPr>
                <w:rFonts w:hint="eastAsia" w:ascii="仿宋" w:hAnsi="仿宋" w:cs="仿宋"/>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32" w:type="dxa"/>
            <w:vMerge w:val="continue"/>
            <w:tcBorders>
              <w:left w:val="single" w:color="auto" w:sz="4" w:space="0"/>
              <w:right w:val="single" w:color="auto" w:sz="4" w:space="0"/>
            </w:tcBorders>
            <w:noWrap w:val="0"/>
            <w:vAlign w:val="center"/>
          </w:tcPr>
          <w:p>
            <w:pPr>
              <w:widowControl/>
              <w:adjustRightInd w:val="0"/>
              <w:snapToGrid w:val="0"/>
              <w:jc w:val="center"/>
              <w:rPr>
                <w:rFonts w:ascii="仿宋" w:hAnsi="仿宋" w:cs="仿宋_GB2312"/>
                <w:szCs w:val="21"/>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保洁</w:t>
            </w:r>
            <w:r>
              <w:rPr>
                <w:rFonts w:ascii="仿宋" w:hAnsi="仿宋" w:cs="仿宋"/>
                <w:color w:val="000000"/>
                <w:szCs w:val="21"/>
              </w:rPr>
              <w:t>服务</w:t>
            </w:r>
            <w:r>
              <w:rPr>
                <w:rFonts w:hint="eastAsia" w:ascii="仿宋" w:hAnsi="仿宋" w:cs="仿宋"/>
                <w:color w:val="000000"/>
                <w:szCs w:val="21"/>
              </w:rPr>
              <w:t>方案及</w:t>
            </w:r>
            <w:r>
              <w:rPr>
                <w:rFonts w:ascii="仿宋" w:hAnsi="仿宋" w:cs="仿宋"/>
                <w:color w:val="000000"/>
                <w:szCs w:val="21"/>
              </w:rPr>
              <w:t>质量监督制度</w:t>
            </w:r>
          </w:p>
        </w:tc>
        <w:tc>
          <w:tcPr>
            <w:tcW w:w="528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cs="仿宋"/>
                <w:color w:val="000000"/>
                <w:szCs w:val="21"/>
              </w:rPr>
            </w:pPr>
            <w:r>
              <w:rPr>
                <w:rFonts w:hint="eastAsia" w:ascii="仿宋" w:hAnsi="仿宋" w:cs="仿宋"/>
                <w:color w:val="000000"/>
                <w:szCs w:val="21"/>
              </w:rPr>
              <w:t>保洁服务方案及质量监督制度1、方案清晰明了，方案设计内容全面、详细，完全满足需求的得7-10分；</w:t>
            </w:r>
          </w:p>
          <w:p>
            <w:pPr>
              <w:rPr>
                <w:rFonts w:ascii="仿宋" w:hAnsi="仿宋" w:cs="仿宋"/>
                <w:color w:val="000000"/>
                <w:szCs w:val="21"/>
              </w:rPr>
            </w:pPr>
            <w:r>
              <w:rPr>
                <w:rFonts w:hint="eastAsia" w:ascii="仿宋" w:hAnsi="仿宋" w:cs="仿宋"/>
                <w:color w:val="000000"/>
                <w:szCs w:val="21"/>
              </w:rPr>
              <w:t>2.方案设计 内容全面，但不够详细或设计思路不清晰，基本满足项目需求的得4-7分；</w:t>
            </w:r>
          </w:p>
          <w:p>
            <w:pPr>
              <w:rPr>
                <w:rFonts w:ascii="仿宋" w:hAnsi="仿宋" w:cs="仿宋"/>
                <w:color w:val="000000"/>
                <w:szCs w:val="21"/>
              </w:rPr>
            </w:pPr>
            <w:r>
              <w:rPr>
                <w:rFonts w:hint="eastAsia" w:ascii="仿宋" w:hAnsi="仿宋" w:cs="仿宋"/>
                <w:color w:val="000000"/>
                <w:szCs w:val="21"/>
              </w:rPr>
              <w:t>3.方案设计内容不全面，不够详细思路不清晰，未满足服务需求的得1-3分；</w:t>
            </w:r>
          </w:p>
          <w:p>
            <w:pPr>
              <w:rPr>
                <w:rFonts w:ascii="仿宋" w:hAnsi="仿宋" w:cs="仿宋"/>
                <w:color w:val="000000"/>
                <w:szCs w:val="21"/>
              </w:rPr>
            </w:pPr>
            <w:r>
              <w:rPr>
                <w:rFonts w:hint="eastAsia" w:ascii="仿宋" w:hAnsi="仿宋" w:cs="仿宋"/>
                <w:color w:val="000000"/>
                <w:szCs w:val="21"/>
              </w:rPr>
              <w:t>4.未提供的不得分。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color w:val="000000"/>
                <w:szCs w:val="21"/>
              </w:rPr>
            </w:pPr>
            <w:r>
              <w:rPr>
                <w:rFonts w:hint="eastAsia" w:ascii="仿宋" w:hAnsi="仿宋" w:cs="仿宋"/>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32" w:type="dxa"/>
            <w:vMerge w:val="continue"/>
            <w:tcBorders>
              <w:left w:val="single" w:color="auto" w:sz="4" w:space="0"/>
              <w:right w:val="single" w:color="auto" w:sz="4" w:space="0"/>
            </w:tcBorders>
            <w:noWrap w:val="0"/>
            <w:vAlign w:val="center"/>
          </w:tcPr>
          <w:p>
            <w:pPr>
              <w:widowControl/>
              <w:adjustRightInd w:val="0"/>
              <w:snapToGrid w:val="0"/>
              <w:jc w:val="center"/>
              <w:rPr>
                <w:rFonts w:ascii="仿宋" w:hAnsi="仿宋" w:cs="仿宋_GB2312"/>
                <w:szCs w:val="21"/>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信息反馈、应急预案及处置制度</w:t>
            </w:r>
          </w:p>
        </w:tc>
        <w:tc>
          <w:tcPr>
            <w:tcW w:w="528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cs="仿宋"/>
                <w:color w:val="000000"/>
                <w:szCs w:val="21"/>
              </w:rPr>
            </w:pPr>
            <w:r>
              <w:rPr>
                <w:rFonts w:hint="eastAsia" w:ascii="仿宋" w:hAnsi="仿宋" w:cs="仿宋"/>
                <w:color w:val="000000"/>
                <w:szCs w:val="21"/>
              </w:rPr>
              <w:t>能够提供详细、完整的信息反馈、应急预案及处置制度（包含但不限于：停水停电、排水排污、防洪等突发事件的应急预案及处置方案等）</w:t>
            </w:r>
          </w:p>
          <w:p>
            <w:pPr>
              <w:rPr>
                <w:rFonts w:ascii="仿宋" w:hAnsi="仿宋" w:cs="仿宋"/>
                <w:color w:val="000000"/>
                <w:szCs w:val="21"/>
              </w:rPr>
            </w:pPr>
            <w:r>
              <w:rPr>
                <w:rFonts w:hint="eastAsia" w:ascii="仿宋" w:hAnsi="仿宋" w:cs="仿宋"/>
                <w:color w:val="000000"/>
                <w:szCs w:val="21"/>
              </w:rPr>
              <w:t>1.预案完整响应项目需求，方案可行性强，处置及时、 安排合理、能保证妥善处理结果的得4-5 分；</w:t>
            </w:r>
          </w:p>
          <w:p>
            <w:pPr>
              <w:rPr>
                <w:rFonts w:ascii="仿宋" w:hAnsi="仿宋" w:cs="仿宋"/>
                <w:color w:val="000000"/>
                <w:szCs w:val="21"/>
              </w:rPr>
            </w:pPr>
            <w:r>
              <w:rPr>
                <w:rFonts w:hint="eastAsia" w:ascii="仿宋" w:hAnsi="仿宋" w:cs="仿宋"/>
                <w:color w:val="000000"/>
                <w:szCs w:val="21"/>
              </w:rPr>
              <w:t>2.预案不够详细或可行性不强，基本保证处理结果的得2-3分；</w:t>
            </w:r>
          </w:p>
          <w:p>
            <w:pPr>
              <w:rPr>
                <w:rFonts w:ascii="仿宋" w:hAnsi="仿宋" w:cs="仿宋"/>
                <w:color w:val="000000"/>
                <w:szCs w:val="21"/>
              </w:rPr>
            </w:pPr>
            <w:r>
              <w:rPr>
                <w:rFonts w:hint="eastAsia" w:ascii="仿宋" w:hAnsi="仿宋" w:cs="仿宋"/>
                <w:color w:val="000000"/>
                <w:szCs w:val="21"/>
              </w:rPr>
              <w:t>3.预案内容不全面，无法保证处理结果的得0-1分；</w:t>
            </w:r>
          </w:p>
          <w:p>
            <w:pPr>
              <w:rPr>
                <w:rFonts w:ascii="仿宋" w:hAnsi="仿宋" w:cs="仿宋"/>
                <w:color w:val="000000"/>
                <w:szCs w:val="21"/>
              </w:rPr>
            </w:pPr>
            <w:r>
              <w:rPr>
                <w:rFonts w:hint="eastAsia" w:ascii="仿宋" w:hAnsi="仿宋" w:cs="仿宋"/>
                <w:color w:val="000000"/>
                <w:szCs w:val="21"/>
              </w:rPr>
              <w:t>4.未提供的不得分。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color w:val="000000"/>
                <w:szCs w:val="21"/>
              </w:rPr>
            </w:pPr>
            <w:r>
              <w:rPr>
                <w:rFonts w:hint="eastAsia" w:ascii="仿宋" w:hAnsi="仿宋" w:cs="仿宋"/>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32" w:type="dxa"/>
            <w:vMerge w:val="continue"/>
            <w:tcBorders>
              <w:left w:val="single" w:color="auto" w:sz="4" w:space="0"/>
              <w:right w:val="single" w:color="auto" w:sz="4" w:space="0"/>
            </w:tcBorders>
            <w:noWrap w:val="0"/>
            <w:vAlign w:val="center"/>
          </w:tcPr>
          <w:p>
            <w:pPr>
              <w:widowControl/>
              <w:adjustRightInd w:val="0"/>
              <w:snapToGrid w:val="0"/>
              <w:jc w:val="center"/>
              <w:rPr>
                <w:rFonts w:ascii="仿宋" w:hAnsi="仿宋" w:cs="仿宋_GB2312"/>
                <w:szCs w:val="21"/>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团队稳定性保障措施</w:t>
            </w:r>
          </w:p>
        </w:tc>
        <w:tc>
          <w:tcPr>
            <w:tcW w:w="528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cs="仿宋"/>
                <w:color w:val="000000"/>
                <w:szCs w:val="21"/>
              </w:rPr>
            </w:pPr>
            <w:r>
              <w:rPr>
                <w:rFonts w:hint="eastAsia" w:ascii="仿宋" w:hAnsi="仿宋" w:cs="仿宋"/>
                <w:color w:val="000000"/>
                <w:szCs w:val="21"/>
              </w:rPr>
              <w:t>服务团队人员组织机构配备合理、稳定，运作流畅，管理方式科学合理（包含但不限于：保洁人员及安保运维人员组织机构配备方案、食堂人员组织机构配备方案、后备人员储备方案等）</w:t>
            </w:r>
          </w:p>
          <w:p>
            <w:pPr>
              <w:rPr>
                <w:rFonts w:ascii="仿宋" w:hAnsi="仿宋" w:cs="仿宋"/>
                <w:color w:val="000000"/>
                <w:szCs w:val="21"/>
              </w:rPr>
            </w:pPr>
            <w:r>
              <w:rPr>
                <w:rFonts w:hint="eastAsia" w:ascii="仿宋" w:hAnsi="仿宋" w:cs="仿宋"/>
                <w:color w:val="000000"/>
                <w:szCs w:val="21"/>
              </w:rPr>
              <w:t>1.保障措施完整响应项目需求，科学、合理、可行性强的得4-5分；</w:t>
            </w:r>
          </w:p>
          <w:p>
            <w:pPr>
              <w:rPr>
                <w:rFonts w:ascii="仿宋" w:hAnsi="仿宋" w:cs="仿宋"/>
                <w:color w:val="000000"/>
                <w:szCs w:val="21"/>
              </w:rPr>
            </w:pPr>
            <w:r>
              <w:rPr>
                <w:rFonts w:hint="eastAsia" w:ascii="仿宋" w:hAnsi="仿宋" w:cs="仿宋"/>
                <w:color w:val="000000"/>
                <w:szCs w:val="21"/>
              </w:rPr>
              <w:t>2.保障措施基本满足需求，可行性差的得2-3分；</w:t>
            </w:r>
          </w:p>
          <w:p>
            <w:pPr>
              <w:rPr>
                <w:rFonts w:ascii="仿宋" w:hAnsi="仿宋" w:cs="仿宋"/>
                <w:color w:val="000000"/>
                <w:szCs w:val="21"/>
              </w:rPr>
            </w:pPr>
            <w:r>
              <w:rPr>
                <w:rFonts w:hint="eastAsia" w:ascii="仿宋" w:hAnsi="仿宋" w:cs="仿宋"/>
                <w:color w:val="000000"/>
                <w:szCs w:val="21"/>
              </w:rPr>
              <w:t>3.保障措施不完整、无适用性的得0-1分；</w:t>
            </w:r>
          </w:p>
          <w:p>
            <w:pPr>
              <w:rPr>
                <w:rFonts w:ascii="仿宋" w:hAnsi="仿宋" w:cs="仿宋"/>
                <w:color w:val="000000"/>
                <w:szCs w:val="21"/>
              </w:rPr>
            </w:pPr>
            <w:r>
              <w:rPr>
                <w:rFonts w:hint="eastAsia" w:ascii="仿宋" w:hAnsi="仿宋" w:cs="仿宋"/>
                <w:color w:val="000000"/>
                <w:szCs w:val="21"/>
              </w:rPr>
              <w:t>4.未提供的不得分。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color w:val="000000"/>
                <w:szCs w:val="21"/>
              </w:rPr>
            </w:pPr>
            <w:r>
              <w:rPr>
                <w:rFonts w:hint="eastAsia" w:ascii="仿宋" w:hAnsi="仿宋" w:cs="仿宋"/>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32" w:type="dxa"/>
            <w:vMerge w:val="restart"/>
            <w:tcBorders>
              <w:top w:val="single" w:color="auto" w:sz="4" w:space="0"/>
              <w:left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商务部分</w:t>
            </w:r>
          </w:p>
          <w:p>
            <w:pPr>
              <w:rPr>
                <w:rFonts w:ascii="仿宋" w:hAnsi="仿宋" w:eastAsia="仿宋" w:cs="仿宋_GB2312"/>
                <w:szCs w:val="21"/>
              </w:rPr>
            </w:pPr>
            <w:r>
              <w:rPr>
                <w:rFonts w:hint="eastAsia" w:ascii="仿宋" w:hAnsi="仿宋" w:cs="仿宋"/>
                <w:color w:val="000000"/>
                <w:szCs w:val="21"/>
              </w:rPr>
              <w:t>（40分</w:t>
            </w:r>
            <w:r>
              <w:rPr>
                <w:rFonts w:hint="eastAsia" w:ascii="仿宋" w:hAnsi="仿宋" w:eastAsia="仿宋" w:cs="仿宋_GB2312"/>
                <w:szCs w:val="21"/>
              </w:rPr>
              <w:t>）</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重要岗位人员资质</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本项目需提供：物业项目经理证1个，中式烹调师证2个，中式面点师证2个，电工特种作业操作证1个，每个证书得3分，最多得12分（复印件附于响应文件中，不满足以上要求不得分 ）。</w:t>
            </w: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cs="仿宋"/>
                <w:color w:val="000000"/>
                <w:szCs w:val="21"/>
              </w:rPr>
            </w:pPr>
            <w:r>
              <w:rPr>
                <w:rFonts w:hint="eastAsia" w:ascii="仿宋" w:hAnsi="仿宋" w:cs="仿宋"/>
                <w:color w:val="000000"/>
                <w:szCs w:val="21"/>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32" w:type="dxa"/>
            <w:vMerge w:val="continue"/>
            <w:tcBorders>
              <w:top w:val="single" w:color="auto" w:sz="4" w:space="0"/>
              <w:left w:val="single" w:color="auto" w:sz="4" w:space="0"/>
              <w:right w:val="single" w:color="auto" w:sz="4" w:space="0"/>
            </w:tcBorders>
            <w:noWrap w:val="0"/>
            <w:vAlign w:val="center"/>
          </w:tcPr>
          <w:p>
            <w:pPr>
              <w:pStyle w:val="14"/>
              <w:adjustRightInd w:val="0"/>
              <w:snapToGrid w:val="0"/>
              <w:spacing w:before="0" w:beforeAutospacing="0" w:after="0" w:afterAutospacing="0"/>
              <w:jc w:val="center"/>
              <w:rPr>
                <w:rFonts w:ascii="仿宋" w:hAnsi="仿宋" w:eastAsia="仿宋" w:cs="仿宋_GB2312"/>
                <w:kern w:val="2"/>
                <w:sz w:val="21"/>
                <w:szCs w:val="21"/>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管理体系认证</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pStyle w:val="5"/>
              <w:rPr>
                <w:rFonts w:ascii="仿宋" w:hAnsi="仿宋" w:cs="仿宋_GB2312"/>
                <w:kern w:val="0"/>
                <w:szCs w:val="21"/>
              </w:rPr>
            </w:pPr>
            <w:r>
              <w:rPr>
                <w:rFonts w:hint="eastAsia" w:ascii="仿宋" w:hAnsi="仿宋" w:cs="仿宋_GB2312"/>
                <w:kern w:val="0"/>
                <w:szCs w:val="21"/>
              </w:rPr>
              <w:t>投标人通过ISO9001质量管理体系认证、ISO14001环境管理体系认证、ISO45001</w:t>
            </w:r>
            <w:r>
              <w:rPr>
                <w:rFonts w:hint="eastAsia" w:ascii="仿宋" w:hAnsi="仿宋" w:cs="仿宋_GB2312"/>
                <w:kern w:val="0"/>
                <w:szCs w:val="21"/>
                <w:lang w:eastAsia="zh-CN"/>
              </w:rPr>
              <w:t>或OHSAS 18001:2007</w:t>
            </w:r>
            <w:r>
              <w:rPr>
                <w:rFonts w:hint="eastAsia" w:ascii="仿宋" w:hAnsi="仿宋" w:cs="仿宋_GB2312"/>
                <w:kern w:val="0"/>
                <w:szCs w:val="21"/>
              </w:rPr>
              <w:t>职业健康安全管理体系认证、ISO22000食品安全管理体系认证，每有一项得2分，最多得8分。</w:t>
            </w:r>
            <w:r>
              <w:rPr>
                <w:rFonts w:hint="eastAsia" w:ascii="仿宋" w:hAnsi="仿宋" w:cs="仿宋"/>
                <w:szCs w:val="21"/>
              </w:rPr>
              <w:t>以上述证书复印件加盖公章为评审依据，不满足以上要求不得分</w:t>
            </w:r>
            <w:r>
              <w:rPr>
                <w:rFonts w:hint="eastAsia"/>
              </w:rPr>
              <w:t>。(认证可在http：//www.cnca.gov.cn国家认证认可监督管理委员会官方网站查询。复印件加盖投标人公章，</w:t>
            </w: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before="0" w:beforeAutospacing="0" w:after="0" w:afterAutospacing="0"/>
              <w:jc w:val="center"/>
              <w:rPr>
                <w:rFonts w:ascii="仿宋" w:hAnsi="仿宋" w:eastAsia="仿宋" w:cs="仿宋_GB2312"/>
                <w:kern w:val="2"/>
                <w:sz w:val="21"/>
                <w:szCs w:val="21"/>
              </w:rPr>
            </w:pPr>
            <w:r>
              <w:rPr>
                <w:rFonts w:hint="eastAsia" w:ascii="仿宋" w:hAnsi="仿宋" w:eastAsia="仿宋" w:cs="仿宋_GB2312"/>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32" w:type="dxa"/>
            <w:vMerge w:val="continue"/>
            <w:tcBorders>
              <w:left w:val="single" w:color="auto" w:sz="4" w:space="0"/>
              <w:right w:val="single" w:color="auto" w:sz="4" w:space="0"/>
            </w:tcBorders>
            <w:noWrap w:val="0"/>
            <w:vAlign w:val="center"/>
          </w:tcPr>
          <w:p>
            <w:pPr>
              <w:widowControl/>
              <w:adjustRightInd w:val="0"/>
              <w:snapToGrid w:val="0"/>
              <w:jc w:val="center"/>
              <w:rPr>
                <w:rFonts w:ascii="仿宋" w:hAnsi="仿宋" w:cs="仿宋_GB2312"/>
                <w:szCs w:val="21"/>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类似业绩</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类似项目业绩（2019年至今），每有一项得2分，最高得 14分。（以上述合同合同复印件加盖公章为评审依据，不满足以上要求不得分。）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14"/>
              <w:adjustRightInd w:val="0"/>
              <w:snapToGrid w:val="0"/>
              <w:spacing w:before="0" w:beforeAutospacing="0" w:after="0" w:afterAutospacing="0"/>
              <w:jc w:val="center"/>
              <w:rPr>
                <w:rFonts w:ascii="仿宋" w:hAnsi="仿宋" w:eastAsia="仿宋" w:cs="仿宋_GB2312"/>
                <w:kern w:val="2"/>
                <w:sz w:val="21"/>
                <w:szCs w:val="21"/>
              </w:rPr>
            </w:pPr>
            <w:r>
              <w:rPr>
                <w:rFonts w:hint="eastAsia" w:ascii="仿宋" w:hAnsi="仿宋" w:eastAsia="仿宋" w:cs="仿宋_GB2312"/>
                <w:kern w:val="2"/>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32"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合  计</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w:t>
            </w:r>
          </w:p>
        </w:tc>
        <w:tc>
          <w:tcPr>
            <w:tcW w:w="528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
                <w:color w:val="000000"/>
                <w:szCs w:val="21"/>
              </w:rPr>
            </w:pPr>
            <w:r>
              <w:rPr>
                <w:rFonts w:hint="eastAsia" w:ascii="仿宋" w:hAnsi="仿宋" w:cs="仿宋"/>
                <w:color w:val="000000"/>
                <w:szCs w:val="21"/>
              </w:rPr>
              <w:t>100</w:t>
            </w:r>
          </w:p>
        </w:tc>
      </w:tr>
    </w:tbl>
    <w:p>
      <w:pPr>
        <w:widowControl/>
        <w:shd w:val="clear" w:color="auto" w:fill="auto"/>
        <w:spacing w:line="240" w:lineRule="exact"/>
        <w:jc w:val="left"/>
        <w:rPr>
          <w:rFonts w:hint="eastAsia" w:ascii="仿宋_GB2312" w:hAnsi="仿宋_GB2312" w:eastAsia="仿宋_GB2312" w:cs="仿宋_GB2312"/>
          <w:kern w:val="0"/>
          <w:szCs w:val="21"/>
        </w:rPr>
      </w:pPr>
      <w:bookmarkStart w:id="177" w:name="_GoBack"/>
      <w:bookmarkEnd w:id="177"/>
    </w:p>
    <w:p>
      <w:pPr>
        <w:widowControl/>
        <w:shd w:val="clear" w:color="auto" w:fill="auto"/>
        <w:spacing w:line="240" w:lineRule="exact"/>
        <w:jc w:val="left"/>
        <w:rPr>
          <w:rFonts w:hint="eastAsia" w:ascii="仿宋_GB2312" w:hAnsi="仿宋_GB2312" w:eastAsia="仿宋_GB2312" w:cs="仿宋_GB2312"/>
          <w:kern w:val="0"/>
          <w:szCs w:val="21"/>
        </w:rPr>
      </w:pPr>
    </w:p>
    <w:p>
      <w:pPr>
        <w:numPr>
          <w:ilvl w:val="0"/>
          <w:numId w:val="7"/>
        </w:numPr>
        <w:rPr>
          <w:rFonts w:hint="eastAsia" w:ascii="仿宋_GB2312" w:hAnsi="仿宋_GB2312" w:eastAsia="仿宋_GB2312" w:cs="仿宋_GB2312"/>
          <w:b/>
          <w:szCs w:val="21"/>
        </w:rPr>
      </w:pPr>
      <w:r>
        <w:rPr>
          <w:rFonts w:hint="eastAsia" w:ascii="仿宋_GB2312" w:hAnsi="仿宋_GB2312" w:eastAsia="仿宋_GB2312" w:cs="仿宋_GB2312"/>
          <w:b/>
          <w:szCs w:val="21"/>
        </w:rPr>
        <w:t>加分项评分标准</w:t>
      </w:r>
    </w:p>
    <w:tbl>
      <w:tblPr>
        <w:tblStyle w:val="16"/>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7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19"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加分</w:t>
            </w:r>
          </w:p>
          <w:p>
            <w:pPr>
              <w:jc w:val="center"/>
              <w:rPr>
                <w:rFonts w:ascii="仿宋_GB2312" w:hAnsi="仿宋_GB2312" w:eastAsia="仿宋_GB2312" w:cs="仿宋_GB2312"/>
                <w:szCs w:val="21"/>
              </w:rPr>
            </w:pPr>
            <w:r>
              <w:rPr>
                <w:rFonts w:hint="eastAsia" w:ascii="仿宋_GB2312" w:hAnsi="仿宋_GB2312" w:eastAsia="仿宋_GB2312" w:cs="仿宋_GB2312"/>
                <w:szCs w:val="21"/>
              </w:rPr>
              <w:t>因素</w:t>
            </w:r>
          </w:p>
        </w:tc>
        <w:tc>
          <w:tcPr>
            <w:tcW w:w="7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19"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节能</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791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对于清单中的产品最后报价给予价格部分总分值</w:t>
            </w:r>
            <w:r>
              <w:rPr>
                <w:rFonts w:hint="eastAsia" w:ascii="仿宋_GB2312" w:hAnsi="仿宋_GB2312" w:eastAsia="仿宋_GB2312" w:cs="仿宋_GB2312"/>
                <w:color w:val="FF0000"/>
                <w:kern w:val="0"/>
                <w:szCs w:val="21"/>
                <w:u w:val="single"/>
              </w:rPr>
              <w:t>5</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节能产品加分＝（节能产品最后报价之和/最后报价总价）×价格部分总分值×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19"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环保</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791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对于清单中的产品最后报价给予价格部分总分值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环保产品加分＝（环保产品最后报价之和/最后报标总价）×价格部分总分值×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w:t>
            </w:r>
          </w:p>
        </w:tc>
      </w:tr>
    </w:tbl>
    <w:p>
      <w:pPr>
        <w:adjustRightInd w:val="0"/>
        <w:snapToGrid w:val="0"/>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widowControl/>
        <w:jc w:val="left"/>
        <w:rPr>
          <w:rFonts w:hint="eastAsia" w:ascii="仿宋_GB2312" w:hAnsi="仿宋_GB2312" w:eastAsia="仿宋_GB2312" w:cs="仿宋_GB2312"/>
        </w:rPr>
      </w:pPr>
    </w:p>
    <w:p>
      <w:pPr>
        <w:widowControl/>
        <w:jc w:val="left"/>
        <w:rPr>
          <w:rFonts w:hint="eastAsia" w:ascii="仿宋_GB2312" w:hAnsi="仿宋_GB2312" w:eastAsia="仿宋_GB2312" w:cs="仿宋_GB2312"/>
        </w:rPr>
      </w:pPr>
    </w:p>
    <w:p>
      <w:pPr>
        <w:widowControl/>
        <w:jc w:val="left"/>
        <w:rPr>
          <w:rFonts w:hint="eastAsia" w:ascii="仿宋_GB2312" w:hAnsi="仿宋_GB2312" w:eastAsia="仿宋_GB2312" w:cs="仿宋_GB2312"/>
        </w:rPr>
      </w:pPr>
    </w:p>
    <w:p>
      <w:pPr>
        <w:widowControl/>
        <w:jc w:val="left"/>
        <w:rPr>
          <w:rFonts w:hint="eastAsia" w:ascii="仿宋_GB2312" w:hAnsi="仿宋_GB2312" w:eastAsia="仿宋_GB2312" w:cs="仿宋_GB2312"/>
        </w:rPr>
      </w:pPr>
    </w:p>
    <w:p>
      <w:pPr>
        <w:widowControl/>
        <w:jc w:val="left"/>
        <w:rPr>
          <w:rFonts w:hint="eastAsia" w:ascii="仿宋_GB2312" w:hAnsi="仿宋_GB2312" w:eastAsia="仿宋_GB2312" w:cs="仿宋_GB2312"/>
        </w:rPr>
      </w:pPr>
    </w:p>
    <w:p>
      <w:pPr>
        <w:widowControl/>
        <w:jc w:val="left"/>
        <w:rPr>
          <w:rFonts w:hint="eastAsia" w:ascii="仿宋_GB2312" w:hAnsi="仿宋_GB2312" w:eastAsia="仿宋_GB2312" w:cs="仿宋_GB2312"/>
        </w:rPr>
      </w:pPr>
    </w:p>
    <w:p>
      <w:pPr>
        <w:widowControl/>
        <w:jc w:val="left"/>
        <w:rPr>
          <w:rFonts w:hint="eastAsia" w:ascii="仿宋_GB2312" w:hAnsi="仿宋_GB2312" w:eastAsia="仿宋_GB2312" w:cs="仿宋_GB2312"/>
        </w:rPr>
      </w:pPr>
    </w:p>
    <w:p>
      <w:pPr>
        <w:widowControl/>
        <w:jc w:val="left"/>
        <w:rPr>
          <w:rFonts w:hint="eastAsia" w:ascii="仿宋_GB2312" w:hAnsi="仿宋_GB2312" w:eastAsia="仿宋_GB2312" w:cs="仿宋_GB2312"/>
        </w:rPr>
      </w:pPr>
    </w:p>
    <w:p>
      <w:pPr>
        <w:widowControl/>
        <w:jc w:val="left"/>
        <w:rPr>
          <w:rFonts w:hint="eastAsia" w:ascii="仿宋_GB2312" w:hAnsi="仿宋_GB2312" w:eastAsia="仿宋_GB2312" w:cs="仿宋_GB2312"/>
        </w:rPr>
      </w:pPr>
    </w:p>
    <w:p>
      <w:pPr>
        <w:widowControl/>
        <w:jc w:val="left"/>
        <w:rPr>
          <w:rFonts w:hint="eastAsia" w:ascii="仿宋_GB2312" w:hAnsi="仿宋_GB2312" w:eastAsia="仿宋_GB2312" w:cs="仿宋_GB2312"/>
        </w:rPr>
      </w:pPr>
    </w:p>
    <w:p>
      <w:pPr>
        <w:widowControl/>
        <w:jc w:val="left"/>
        <w:rPr>
          <w:rFonts w:hint="eastAsia" w:ascii="仿宋_GB2312" w:hAnsi="仿宋_GB2312" w:eastAsia="仿宋_GB2312" w:cs="仿宋_GB2312"/>
        </w:rPr>
      </w:pPr>
    </w:p>
    <w:p>
      <w:pPr>
        <w:widowControl/>
        <w:jc w:val="left"/>
        <w:rPr>
          <w:rFonts w:hint="eastAsia" w:ascii="仿宋_GB2312" w:hAnsi="仿宋_GB2312" w:eastAsia="仿宋_GB2312" w:cs="仿宋_GB2312"/>
        </w:rPr>
      </w:pPr>
    </w:p>
    <w:p>
      <w:pPr>
        <w:pStyle w:val="2"/>
        <w:spacing w:before="319" w:beforeLines="100" w:after="319" w:afterLines="100" w:line="360" w:lineRule="auto"/>
        <w:jc w:val="center"/>
        <w:rPr>
          <w:rFonts w:hint="eastAsia" w:ascii="仿宋_GB2312" w:hAnsi="仿宋_GB2312" w:eastAsia="仿宋_GB2312" w:cs="仿宋_GB2312"/>
        </w:rPr>
      </w:pPr>
      <w:bookmarkStart w:id="173" w:name="_Toc4485696"/>
      <w:bookmarkStart w:id="174" w:name="_Toc29210"/>
      <w:r>
        <w:rPr>
          <w:rFonts w:hint="eastAsia" w:ascii="仿宋_GB2312" w:hAnsi="仿宋_GB2312" w:eastAsia="仿宋_GB2312" w:cs="仿宋_GB2312"/>
        </w:rPr>
        <w:t xml:space="preserve">第六章 </w:t>
      </w:r>
      <w:bookmarkEnd w:id="173"/>
      <w:r>
        <w:rPr>
          <w:rFonts w:hint="eastAsia" w:ascii="仿宋_GB2312" w:hAnsi="仿宋_GB2312" w:eastAsia="仿宋_GB2312" w:cs="仿宋_GB2312"/>
        </w:rPr>
        <w:t xml:space="preserve"> 政府采购合同条款及格式</w:t>
      </w:r>
      <w:bookmarkEnd w:id="174"/>
    </w:p>
    <w:p>
      <w:pPr>
        <w:rPr>
          <w:rFonts w:hint="eastAsia" w:ascii="仿宋_GB2312" w:hAnsi="仿宋_GB2312" w:eastAsia="仿宋_GB2312" w:cs="仿宋_GB2312"/>
        </w:rPr>
      </w:pPr>
    </w:p>
    <w:p>
      <w:pPr>
        <w:rPr>
          <w:rFonts w:hint="eastAsia" w:ascii="仿宋_GB2312" w:hAnsi="仿宋_GB2312" w:eastAsia="仿宋_GB2312" w:cs="仿宋_GB2312"/>
        </w:rPr>
      </w:pPr>
    </w:p>
    <w:p>
      <w:pPr>
        <w:widowControl/>
        <w:jc w:val="left"/>
        <w:outlineLvl w:val="1"/>
        <w:rPr>
          <w:rFonts w:hint="eastAsia" w:ascii="仿宋_GB2312" w:hAnsi="仿宋_GB2312" w:eastAsia="仿宋_GB2312" w:cs="仿宋_GB2312"/>
          <w:b/>
          <w:sz w:val="28"/>
          <w:szCs w:val="28"/>
        </w:rPr>
      </w:pPr>
      <w:r>
        <w:rPr>
          <w:rFonts w:hint="eastAsia" w:ascii="仿宋_GB2312" w:hAnsi="仿宋_GB2312" w:eastAsia="仿宋_GB2312" w:cs="仿宋_GB2312"/>
        </w:rPr>
        <w:br w:type="page"/>
      </w:r>
      <w:r>
        <w:rPr>
          <w:rFonts w:hint="eastAsia" w:ascii="仿宋_GB2312" w:hAnsi="仿宋_GB2312" w:eastAsia="仿宋_GB2312" w:cs="仿宋_GB2312"/>
          <w:b/>
          <w:sz w:val="28"/>
          <w:szCs w:val="28"/>
        </w:rPr>
        <w:t>合同条款</w:t>
      </w:r>
    </w:p>
    <w:p>
      <w:pPr>
        <w:adjustRightInd w:val="0"/>
        <w:snapToGrid w:val="0"/>
        <w:spacing w:line="360" w:lineRule="auto"/>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政府采购合同条款</w:t>
      </w:r>
    </w:p>
    <w:p>
      <w:pPr>
        <w:numPr>
          <w:ilvl w:val="0"/>
          <w:numId w:val="8"/>
        </w:numPr>
        <w:adjustRightInd w:val="0"/>
        <w:snapToGrid w:val="0"/>
        <w:spacing w:line="360" w:lineRule="auto"/>
        <w:rPr>
          <w:rFonts w:hint="eastAsia" w:ascii="仿宋_GB2312" w:hAnsi="仿宋_GB2312" w:eastAsia="仿宋_GB2312" w:cs="仿宋_GB2312"/>
          <w:b/>
          <w:szCs w:val="21"/>
        </w:rPr>
      </w:pPr>
      <w:r>
        <w:rPr>
          <w:rFonts w:hint="eastAsia" w:ascii="仿宋_GB2312" w:hAnsi="仿宋_GB2312" w:eastAsia="仿宋_GB2312" w:cs="仿宋_GB2312"/>
          <w:b/>
          <w:szCs w:val="21"/>
        </w:rPr>
        <w:t>术语定义</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本政府采购合同下列术语应解释为：</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b/>
          <w:szCs w:val="21"/>
        </w:rPr>
        <w:t>.</w:t>
      </w:r>
      <w:r>
        <w:rPr>
          <w:rFonts w:hint="eastAsia" w:ascii="仿宋_GB2312" w:hAnsi="仿宋_GB2312" w:eastAsia="仿宋_GB2312" w:cs="仿宋_GB2312"/>
          <w:szCs w:val="21"/>
        </w:rPr>
        <w:t>1“政府采购合同”指供需双方依照政府采购程序、按照采购文件、响应文件确定的事项所达成的协议，包括附件、附录和上述文件所提到的构成政府采购合同的所有文件。</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b/>
          <w:szCs w:val="21"/>
        </w:rPr>
        <w:t>.</w:t>
      </w:r>
      <w:r>
        <w:rPr>
          <w:rFonts w:hint="eastAsia" w:ascii="仿宋_GB2312" w:hAnsi="仿宋_GB2312" w:eastAsia="仿宋_GB2312" w:cs="仿宋_GB2312"/>
          <w:szCs w:val="21"/>
        </w:rPr>
        <w:t>2 “政府采购合同价”指根据合同约定供方在正确地完全履行政府采购合同义务后需方应支付给供方的价格。</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b/>
          <w:szCs w:val="21"/>
        </w:rPr>
        <w:t>.</w:t>
      </w:r>
      <w:r>
        <w:rPr>
          <w:rFonts w:hint="eastAsia" w:ascii="仿宋_GB2312" w:hAnsi="仿宋_GB2312" w:eastAsia="仿宋_GB2312" w:cs="仿宋_GB2312"/>
          <w:szCs w:val="21"/>
        </w:rPr>
        <w:t>3 “服务”指政府采购合同服务清单（同响应文件中报价一览表及其附表，下同）所约定的服务内容。</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b/>
          <w:szCs w:val="21"/>
        </w:rPr>
        <w:t>.</w:t>
      </w:r>
      <w:r>
        <w:rPr>
          <w:rFonts w:hint="eastAsia" w:ascii="仿宋_GB2312" w:hAnsi="仿宋_GB2312" w:eastAsia="仿宋_GB2312" w:cs="仿宋_GB2312"/>
          <w:szCs w:val="21"/>
        </w:rPr>
        <w:t>5 “需方”指项目基本内容及要求中所述取得产品和服务的采购单位。</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b/>
          <w:szCs w:val="21"/>
        </w:rPr>
        <w:t>.</w:t>
      </w:r>
      <w:r>
        <w:rPr>
          <w:rFonts w:hint="eastAsia" w:ascii="仿宋_GB2312" w:hAnsi="仿宋_GB2312" w:eastAsia="仿宋_GB2312" w:cs="仿宋_GB2312"/>
          <w:szCs w:val="21"/>
        </w:rPr>
        <w:t>6 “供方”指项目基本内容及要求中所述提供产品和服务的中标供应商。</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b/>
          <w:szCs w:val="21"/>
        </w:rPr>
        <w:t>.</w:t>
      </w:r>
      <w:r>
        <w:rPr>
          <w:rFonts w:hint="eastAsia" w:ascii="仿宋_GB2312" w:hAnsi="仿宋_GB2312" w:eastAsia="仿宋_GB2312" w:cs="仿宋_GB2312"/>
          <w:szCs w:val="21"/>
        </w:rPr>
        <w:t>7 “检验”指需方按照政府采购合同约定的标准对供方所提供服务进行的检测和查验。</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b/>
          <w:szCs w:val="21"/>
        </w:rPr>
        <w:t>.</w:t>
      </w:r>
      <w:r>
        <w:rPr>
          <w:rFonts w:hint="eastAsia" w:ascii="仿宋_GB2312" w:hAnsi="仿宋_GB2312" w:eastAsia="仿宋_GB2312" w:cs="仿宋_GB2312"/>
          <w:szCs w:val="21"/>
        </w:rPr>
        <w:t>8 “验收书”指采购单位或采购代理机构根据合同履约验收意见书形成反映采购单位和组织验收机构意见的文件。</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1.9“天”指日历天数（如无特别说明）。</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b/>
          <w:szCs w:val="21"/>
        </w:rPr>
        <w:t>.</w:t>
      </w:r>
      <w:r>
        <w:rPr>
          <w:rFonts w:hint="eastAsia" w:ascii="仿宋_GB2312" w:hAnsi="仿宋_GB2312" w:eastAsia="仿宋_GB2312" w:cs="仿宋_GB2312"/>
          <w:szCs w:val="21"/>
        </w:rPr>
        <w:t>10“第三人”是指本政府采购合同双方以外的任何中国境内外的自然人、法人或其它经济组织。</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b/>
          <w:szCs w:val="21"/>
        </w:rPr>
        <w:t>.</w:t>
      </w:r>
      <w:r>
        <w:rPr>
          <w:rFonts w:hint="eastAsia" w:ascii="仿宋_GB2312" w:hAnsi="仿宋_GB2312" w:eastAsia="仿宋_GB2312" w:cs="仿宋_GB2312"/>
          <w:szCs w:val="21"/>
        </w:rPr>
        <w:t>11“法律、法规”是指由中国各级政府及有关部门制定的法律、行政法规、地方性法规、规章及其它规范性文件的有关规定。</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b/>
          <w:szCs w:val="21"/>
        </w:rPr>
        <w:t>.</w:t>
      </w:r>
      <w:r>
        <w:rPr>
          <w:rFonts w:hint="eastAsia" w:ascii="仿宋_GB2312" w:hAnsi="仿宋_GB2312" w:eastAsia="仿宋_GB2312" w:cs="仿宋_GB2312"/>
          <w:szCs w:val="21"/>
        </w:rPr>
        <w:t>12“采购文件”指采购人或采购代理机构发布的采购文件。</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b/>
          <w:szCs w:val="21"/>
        </w:rPr>
        <w:t>.</w:t>
      </w:r>
      <w:r>
        <w:rPr>
          <w:rFonts w:hint="eastAsia" w:ascii="仿宋_GB2312" w:hAnsi="仿宋_GB2312" w:eastAsia="仿宋_GB2312" w:cs="仿宋_GB2312"/>
          <w:szCs w:val="21"/>
        </w:rPr>
        <w:t>13“响应文件”指供方按照采购代理机构采购文件的要求编制和递交，并最终被评标委员会接受的响应文件。</w:t>
      </w:r>
    </w:p>
    <w:p>
      <w:pPr>
        <w:adjustRightInd w:val="0"/>
        <w:snapToGrid w:val="0"/>
        <w:spacing w:line="360" w:lineRule="auto"/>
        <w:ind w:firstLine="420" w:firstLineChars="199"/>
        <w:rPr>
          <w:rFonts w:hint="eastAsia" w:ascii="仿宋_GB2312" w:hAnsi="仿宋_GB2312" w:eastAsia="仿宋_GB2312" w:cs="仿宋_GB2312"/>
          <w:b/>
          <w:szCs w:val="21"/>
        </w:rPr>
      </w:pPr>
      <w:r>
        <w:rPr>
          <w:rFonts w:hint="eastAsia" w:ascii="仿宋_GB2312" w:hAnsi="仿宋_GB2312" w:eastAsia="仿宋_GB2312" w:cs="仿宋_GB2312"/>
          <w:b/>
          <w:szCs w:val="21"/>
        </w:rPr>
        <w:t>2.技术规范与服务内容</w:t>
      </w:r>
    </w:p>
    <w:p>
      <w:pPr>
        <w:adjustRightInd w:val="0"/>
        <w:snapToGrid w:val="0"/>
        <w:spacing w:line="360" w:lineRule="auto"/>
        <w:ind w:firstLine="417" w:firstLineChars="199"/>
        <w:rPr>
          <w:rFonts w:hint="eastAsia" w:ascii="仿宋_GB2312" w:hAnsi="仿宋_GB2312" w:eastAsia="仿宋_GB2312" w:cs="仿宋_GB2312"/>
          <w:szCs w:val="21"/>
        </w:rPr>
      </w:pPr>
      <w:r>
        <w:rPr>
          <w:rFonts w:hint="eastAsia" w:ascii="仿宋_GB2312" w:hAnsi="仿宋_GB2312" w:eastAsia="仿宋_GB2312" w:cs="仿宋_GB2312"/>
          <w:szCs w:val="21"/>
        </w:rPr>
        <w:t>2.1所响应服务的技术规范应与采购文件规定的技术规范（如果有的话）相一致。若无相应说明，则以国家有关部门最新颁布的相应标准及规范为准。</w:t>
      </w:r>
    </w:p>
    <w:p>
      <w:pPr>
        <w:adjustRightInd w:val="0"/>
        <w:snapToGrid w:val="0"/>
        <w:spacing w:line="360" w:lineRule="auto"/>
        <w:ind w:firstLine="417" w:firstLineChars="199"/>
        <w:rPr>
          <w:rFonts w:hint="eastAsia" w:ascii="仿宋_GB2312" w:hAnsi="仿宋_GB2312" w:eastAsia="仿宋_GB2312" w:cs="仿宋_GB2312"/>
          <w:szCs w:val="21"/>
        </w:rPr>
      </w:pPr>
      <w:r>
        <w:rPr>
          <w:rFonts w:hint="eastAsia" w:ascii="仿宋_GB2312" w:hAnsi="仿宋_GB2312" w:eastAsia="仿宋_GB2312" w:cs="仿宋_GB2312"/>
          <w:szCs w:val="21"/>
        </w:rPr>
        <w:t>2.2 所响应服务的服务内容应与采购文件规定服务内容及响应文件中的项目要求及投标响应表一致。</w:t>
      </w:r>
    </w:p>
    <w:p>
      <w:pPr>
        <w:adjustRightInd w:val="0"/>
        <w:snapToGrid w:val="0"/>
        <w:spacing w:line="360" w:lineRule="auto"/>
        <w:ind w:firstLine="420" w:firstLineChars="199"/>
        <w:rPr>
          <w:rFonts w:hint="eastAsia" w:ascii="仿宋_GB2312" w:hAnsi="仿宋_GB2312" w:eastAsia="仿宋_GB2312" w:cs="仿宋_GB2312"/>
          <w:b/>
          <w:szCs w:val="21"/>
        </w:rPr>
      </w:pPr>
      <w:r>
        <w:rPr>
          <w:rFonts w:hint="eastAsia" w:ascii="仿宋_GB2312" w:hAnsi="仿宋_GB2312" w:eastAsia="仿宋_GB2312" w:cs="仿宋_GB2312"/>
          <w:b/>
          <w:szCs w:val="21"/>
        </w:rPr>
        <w:t>3.知识产权</w:t>
      </w:r>
    </w:p>
    <w:p>
      <w:pPr>
        <w:adjustRightInd w:val="0"/>
        <w:snapToGrid w:val="0"/>
        <w:spacing w:line="360" w:lineRule="auto"/>
        <w:ind w:firstLine="411" w:firstLineChars="196"/>
        <w:jc w:val="left"/>
        <w:rPr>
          <w:rFonts w:hint="eastAsia" w:ascii="仿宋_GB2312" w:hAnsi="仿宋_GB2312" w:eastAsia="仿宋_GB2312" w:cs="仿宋_GB2312"/>
          <w:szCs w:val="21"/>
        </w:rPr>
      </w:pPr>
      <w:r>
        <w:rPr>
          <w:rFonts w:hint="eastAsia" w:ascii="仿宋_GB2312" w:hAnsi="仿宋_GB2312" w:eastAsia="仿宋_GB2312" w:cs="仿宋_GB2312"/>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adjustRightInd w:val="0"/>
        <w:snapToGrid w:val="0"/>
        <w:spacing w:line="360" w:lineRule="auto"/>
        <w:ind w:firstLine="411" w:firstLineChars="196"/>
        <w:jc w:val="left"/>
        <w:rPr>
          <w:rFonts w:hint="eastAsia" w:ascii="仿宋_GB2312" w:hAnsi="仿宋_GB2312" w:eastAsia="仿宋_GB2312" w:cs="仿宋_GB2312"/>
          <w:szCs w:val="21"/>
        </w:rPr>
      </w:pPr>
      <w:r>
        <w:rPr>
          <w:rFonts w:hint="eastAsia" w:ascii="仿宋_GB2312" w:hAnsi="仿宋_GB2312" w:eastAsia="仿宋_GB2312" w:cs="仿宋_GB2312"/>
          <w:szCs w:val="21"/>
        </w:rPr>
        <w:t>3.2供方应保证所供服务符合国家的有关规定。</w:t>
      </w:r>
    </w:p>
    <w:p>
      <w:pPr>
        <w:tabs>
          <w:tab w:val="left" w:pos="360"/>
        </w:tabs>
        <w:adjustRightInd w:val="0"/>
        <w:snapToGrid w:val="0"/>
        <w:spacing w:line="360" w:lineRule="auto"/>
        <w:ind w:firstLine="417" w:firstLineChars="199"/>
        <w:rPr>
          <w:rFonts w:hint="eastAsia" w:ascii="仿宋_GB2312" w:hAnsi="仿宋_GB2312" w:eastAsia="仿宋_GB2312" w:cs="仿宋_GB2312"/>
          <w:szCs w:val="21"/>
        </w:rPr>
      </w:pPr>
      <w:r>
        <w:rPr>
          <w:rFonts w:hint="eastAsia" w:ascii="仿宋_GB2312" w:hAnsi="仿宋_GB2312" w:eastAsia="仿宋_GB2312" w:cs="仿宋_GB2312"/>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adjustRightInd w:val="0"/>
        <w:snapToGrid w:val="0"/>
        <w:spacing w:line="360" w:lineRule="auto"/>
        <w:ind w:firstLine="420" w:firstLineChars="199"/>
        <w:rPr>
          <w:rFonts w:hint="eastAsia" w:ascii="仿宋_GB2312" w:hAnsi="仿宋_GB2312" w:eastAsia="仿宋_GB2312" w:cs="仿宋_GB2312"/>
          <w:b/>
          <w:szCs w:val="21"/>
        </w:rPr>
      </w:pPr>
      <w:r>
        <w:rPr>
          <w:rFonts w:hint="eastAsia" w:ascii="仿宋_GB2312" w:hAnsi="仿宋_GB2312" w:eastAsia="仿宋_GB2312" w:cs="仿宋_GB2312"/>
          <w:b/>
          <w:szCs w:val="21"/>
        </w:rPr>
        <w:t>4.完成方式</w:t>
      </w:r>
    </w:p>
    <w:p>
      <w:pPr>
        <w:adjustRightInd w:val="0"/>
        <w:snapToGrid w:val="0"/>
        <w:spacing w:line="360" w:lineRule="auto"/>
        <w:ind w:firstLine="417" w:firstLineChars="199"/>
        <w:rPr>
          <w:rFonts w:hint="eastAsia" w:ascii="仿宋_GB2312" w:hAnsi="仿宋_GB2312" w:eastAsia="仿宋_GB2312" w:cs="仿宋_GB2312"/>
          <w:szCs w:val="21"/>
        </w:rPr>
      </w:pPr>
      <w:r>
        <w:rPr>
          <w:rFonts w:hint="eastAsia" w:ascii="仿宋_GB2312" w:hAnsi="仿宋_GB2312" w:eastAsia="仿宋_GB2312" w:cs="仿宋_GB2312"/>
          <w:szCs w:val="21"/>
        </w:rPr>
        <w:t>供方按照合同约定的时间、地点完成服务。</w:t>
      </w:r>
    </w:p>
    <w:p>
      <w:pPr>
        <w:adjustRightInd w:val="0"/>
        <w:snapToGrid w:val="0"/>
        <w:spacing w:line="360" w:lineRule="auto"/>
        <w:ind w:firstLine="420" w:firstLineChars="199"/>
        <w:rPr>
          <w:rFonts w:hint="eastAsia" w:ascii="仿宋_GB2312" w:hAnsi="仿宋_GB2312" w:eastAsia="仿宋_GB2312" w:cs="仿宋_GB2312"/>
          <w:b/>
          <w:szCs w:val="21"/>
        </w:rPr>
      </w:pPr>
      <w:r>
        <w:rPr>
          <w:rFonts w:hint="eastAsia" w:ascii="仿宋_GB2312" w:hAnsi="仿宋_GB2312" w:eastAsia="仿宋_GB2312" w:cs="仿宋_GB2312"/>
          <w:b/>
          <w:szCs w:val="21"/>
        </w:rPr>
        <w:t>5.付款</w:t>
      </w:r>
    </w:p>
    <w:p>
      <w:pPr>
        <w:adjustRightInd w:val="0"/>
        <w:snapToGrid w:val="0"/>
        <w:spacing w:line="360" w:lineRule="auto"/>
        <w:ind w:firstLine="417" w:firstLineChars="199"/>
        <w:rPr>
          <w:rFonts w:hint="eastAsia" w:ascii="仿宋_GB2312" w:hAnsi="仿宋_GB2312" w:eastAsia="仿宋_GB2312" w:cs="仿宋_GB2312"/>
          <w:szCs w:val="21"/>
        </w:rPr>
      </w:pPr>
      <w:r>
        <w:rPr>
          <w:rFonts w:hint="eastAsia" w:ascii="仿宋_GB2312" w:hAnsi="仿宋_GB2312" w:eastAsia="仿宋_GB2312" w:cs="仿宋_GB2312"/>
          <w:szCs w:val="21"/>
        </w:rPr>
        <w:t>5.1政府采购合同以人民币付款。</w:t>
      </w:r>
    </w:p>
    <w:p>
      <w:pPr>
        <w:adjustRightInd w:val="0"/>
        <w:snapToGrid w:val="0"/>
        <w:spacing w:line="360" w:lineRule="auto"/>
        <w:ind w:firstLine="417" w:firstLineChars="199"/>
        <w:rPr>
          <w:rFonts w:hint="eastAsia" w:ascii="仿宋_GB2312" w:hAnsi="仿宋_GB2312" w:eastAsia="仿宋_GB2312" w:cs="仿宋_GB2312"/>
          <w:szCs w:val="21"/>
        </w:rPr>
      </w:pPr>
      <w:r>
        <w:rPr>
          <w:rFonts w:hint="eastAsia" w:ascii="仿宋_GB2312" w:hAnsi="仿宋_GB2312" w:eastAsia="仿宋_GB2312" w:cs="仿宋_GB2312"/>
          <w:szCs w:val="21"/>
        </w:rPr>
        <w:t>5.2在供方按照政府采购合同的规定履行服务后，需方按照合同约定的方式和条件付款。</w:t>
      </w:r>
    </w:p>
    <w:p>
      <w:pPr>
        <w:adjustRightInd w:val="0"/>
        <w:snapToGrid w:val="0"/>
        <w:spacing w:line="360" w:lineRule="auto"/>
        <w:ind w:firstLine="422"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rPr>
        <w:t>6.服务质量</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6.1供方应保证政府采购合同项下所供服务是由供方提供的，并完全符合强制性的国家技术质量规范和政府采购合同规定的质量、性能和技术规范等要求。</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6.2供方提供的服务质量应满足行业一般标准，符合合同约定。</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6.3需方有权对供方的服务质量进行监督，发现服务存在不符合合同标准的情形的，可以要求供方改正服务方式、替换服务人员等补救方式，供方应按需方要求改正，并赔偿需方实际损失。</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6.4对于委托开发等最终以产品形式交付需方使用的服务，供方需按照采购文件要求对产品提供售后服务及质量保证，供方响应文件承诺的售后服务及质量保证优于采购文件要求的，以响应文件承诺的售后服务及质量保证为准。</w:t>
      </w:r>
    </w:p>
    <w:p>
      <w:pPr>
        <w:adjustRightInd w:val="0"/>
        <w:snapToGrid w:val="0"/>
        <w:spacing w:line="360" w:lineRule="auto"/>
        <w:ind w:firstLine="413" w:firstLineChars="196"/>
        <w:rPr>
          <w:rFonts w:hint="eastAsia" w:ascii="仿宋_GB2312" w:hAnsi="仿宋_GB2312" w:eastAsia="仿宋_GB2312" w:cs="仿宋_GB2312"/>
          <w:b/>
          <w:szCs w:val="21"/>
        </w:rPr>
      </w:pPr>
      <w:r>
        <w:rPr>
          <w:rFonts w:hint="eastAsia" w:ascii="仿宋_GB2312" w:hAnsi="仿宋_GB2312" w:eastAsia="仿宋_GB2312" w:cs="仿宋_GB2312"/>
          <w:b/>
          <w:szCs w:val="21"/>
        </w:rPr>
        <w:t>7.技术服务和保修责任</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7.1本条适用于委托开发等最终以产品形式交付需方使用的服务。</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7.2供方对交付的产品的保修期，以采购文件中的规定为准，如果响应文件中的承诺优于采购文件规定，则以响应文件为准。</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7.3供方应按如下内容提供售后服务：</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7.3.1产品经过试运行期，所有性能指标达到技术规范书的要求时，可按采购文件、响应文件内容进行初验。在试运行期间，由于产品质量等造成某些指标达不到要求，供方须更换或进行修复，试运行期重新计算。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7.3.2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7.3.3保修期间供方要保修除消耗品以外的所有产品。如果系统、设备等发生故障，供方要调查故障原因并修复直至满足最终验收指标和性能的要求，或者修理、更换整个或部分有缺陷的材料。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7.3.4保修期内，供方提供电话、电子邮件、Web、现场服务等方式的技术支持，对用户的现场服务要求，供方必须按响应文件做出的承诺进行响应。</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7.3.5保修期内，供方应对出现故障无法修复的产品或无法正常运行的系统，提供替代产品以保证系统的正常工作。</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7.3.6保修期内，供方应投标时的承诺提供相关服务。</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7.3.8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7" w:firstLineChars="199"/>
        <w:rPr>
          <w:rFonts w:hint="eastAsia" w:ascii="仿宋_GB2312" w:hAnsi="仿宋_GB2312" w:eastAsia="仿宋_GB2312" w:cs="仿宋_GB2312"/>
          <w:szCs w:val="21"/>
        </w:rPr>
      </w:pPr>
      <w:r>
        <w:rPr>
          <w:rFonts w:hint="eastAsia" w:ascii="仿宋_GB2312" w:hAnsi="仿宋_GB2312" w:eastAsia="仿宋_GB2312" w:cs="仿宋_GB2312"/>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20" w:firstLineChars="199"/>
        <w:rPr>
          <w:rFonts w:hint="eastAsia" w:ascii="仿宋_GB2312" w:hAnsi="仿宋_GB2312" w:eastAsia="仿宋_GB2312" w:cs="仿宋_GB2312"/>
          <w:b/>
          <w:szCs w:val="21"/>
        </w:rPr>
      </w:pPr>
      <w:r>
        <w:rPr>
          <w:rFonts w:hint="eastAsia" w:ascii="仿宋_GB2312" w:hAnsi="仿宋_GB2312" w:eastAsia="仿宋_GB2312" w:cs="仿宋_GB2312"/>
          <w:b/>
          <w:szCs w:val="21"/>
        </w:rPr>
        <w:t>8.检验和验收</w:t>
      </w:r>
    </w:p>
    <w:p>
      <w:pPr>
        <w:adjustRightInd w:val="0"/>
        <w:snapToGrid w:val="0"/>
        <w:spacing w:line="360" w:lineRule="auto"/>
        <w:ind w:firstLine="417" w:firstLineChars="199"/>
        <w:rPr>
          <w:rFonts w:hint="eastAsia" w:ascii="仿宋_GB2312" w:hAnsi="仿宋_GB2312" w:eastAsia="仿宋_GB2312" w:cs="仿宋_GB2312"/>
          <w:szCs w:val="21"/>
        </w:rPr>
      </w:pPr>
      <w:r>
        <w:rPr>
          <w:rFonts w:hint="eastAsia" w:ascii="仿宋_GB2312" w:hAnsi="仿宋_GB2312" w:eastAsia="仿宋_GB2312" w:cs="仿宋_GB2312"/>
          <w:szCs w:val="21"/>
        </w:rPr>
        <w:t>8.1完成服务后，需方或采购代理机构（由具体项目决定）应在政府采购合同规定的时间内组织验收，并在“验收书”上签字。“验收书”将作为申请付款文件的一部分。</w:t>
      </w:r>
    </w:p>
    <w:p>
      <w:pPr>
        <w:adjustRightInd w:val="0"/>
        <w:snapToGrid w:val="0"/>
        <w:spacing w:line="360" w:lineRule="auto"/>
        <w:ind w:firstLine="417" w:firstLineChars="199"/>
        <w:rPr>
          <w:rFonts w:hint="eastAsia" w:ascii="仿宋_GB2312" w:hAnsi="仿宋_GB2312" w:eastAsia="仿宋_GB2312" w:cs="仿宋_GB2312"/>
          <w:szCs w:val="21"/>
        </w:rPr>
      </w:pPr>
      <w:r>
        <w:rPr>
          <w:rFonts w:hint="eastAsia" w:ascii="仿宋_GB2312" w:hAnsi="仿宋_GB2312" w:eastAsia="仿宋_GB2312" w:cs="仿宋_GB2312"/>
          <w:szCs w:val="21"/>
        </w:rPr>
        <w:t>8.2对于委托开发等最终以产品形式交付需方使用的服务，保修期自验收书签署之日起计算。</w:t>
      </w:r>
    </w:p>
    <w:p>
      <w:pPr>
        <w:tabs>
          <w:tab w:val="left" w:pos="360"/>
        </w:tabs>
        <w:adjustRightInd w:val="0"/>
        <w:snapToGrid w:val="0"/>
        <w:spacing w:line="360" w:lineRule="auto"/>
        <w:ind w:firstLine="460" w:firstLineChars="218"/>
        <w:rPr>
          <w:rFonts w:hint="eastAsia" w:ascii="仿宋_GB2312" w:hAnsi="仿宋_GB2312" w:eastAsia="仿宋_GB2312" w:cs="仿宋_GB2312"/>
          <w:b/>
          <w:szCs w:val="21"/>
        </w:rPr>
      </w:pPr>
      <w:r>
        <w:rPr>
          <w:rFonts w:hint="eastAsia" w:ascii="仿宋_GB2312" w:hAnsi="仿宋_GB2312" w:eastAsia="仿宋_GB2312" w:cs="仿宋_GB2312"/>
          <w:b/>
          <w:szCs w:val="21"/>
        </w:rPr>
        <w:t>9.违约责任</w:t>
      </w:r>
    </w:p>
    <w:p>
      <w:pPr>
        <w:adjustRightInd w:val="0"/>
        <w:snapToGrid w:val="0"/>
        <w:spacing w:line="360" w:lineRule="auto"/>
        <w:ind w:firstLine="457" w:firstLineChars="218"/>
        <w:rPr>
          <w:rFonts w:hint="eastAsia" w:ascii="仿宋_GB2312" w:hAnsi="仿宋_GB2312" w:eastAsia="仿宋_GB2312" w:cs="仿宋_GB2312"/>
          <w:szCs w:val="21"/>
        </w:rPr>
      </w:pPr>
      <w:r>
        <w:rPr>
          <w:rFonts w:hint="eastAsia" w:ascii="仿宋_GB2312" w:hAnsi="仿宋_GB2312" w:eastAsia="仿宋_GB2312" w:cs="仿宋_GB2312"/>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9.1.1在需方同意延长的期限内提供服务并承担由此给需方造成的一切损失；</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9.1.2在需方规定的时间内，用符合政府采购合同规定的服务以达到政府采购合同规定的要求，供方应承担由此发生的一切费用和风险。此时，相关服务的期限也应相应延长；</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9.1.3需方有权部分或全部解除政府采购合同并要求供方赔偿由此造成的损失。此时需方可采取必要的补救措施，相关费用由供方承担。</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9.3延期服务的违约责任</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9.4以上各项交付的违约金并不影响违约方履行政府采购合同的各项义务。</w:t>
      </w:r>
    </w:p>
    <w:p>
      <w:pPr>
        <w:adjustRightInd w:val="0"/>
        <w:snapToGrid w:val="0"/>
        <w:spacing w:line="360" w:lineRule="auto"/>
        <w:ind w:left="420"/>
        <w:rPr>
          <w:rFonts w:hint="eastAsia" w:ascii="仿宋_GB2312" w:hAnsi="仿宋_GB2312" w:eastAsia="仿宋_GB2312" w:cs="仿宋_GB2312"/>
          <w:b/>
          <w:szCs w:val="21"/>
        </w:rPr>
      </w:pPr>
      <w:r>
        <w:rPr>
          <w:rFonts w:hint="eastAsia" w:ascii="仿宋_GB2312" w:hAnsi="仿宋_GB2312" w:eastAsia="仿宋_GB2312" w:cs="仿宋_GB2312"/>
          <w:b/>
          <w:szCs w:val="21"/>
        </w:rPr>
        <w:t>10.不可抗力</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10.2本条所述的“不可抗力”系指那些双方无法控制，不可预见的事件，但不包括双方的违约或疏忽。这些事件包括但不限于：战争、严重火灾、洪水、台风、地震。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3" w:firstLineChars="196"/>
        <w:rPr>
          <w:rFonts w:hint="eastAsia" w:ascii="仿宋_GB2312" w:hAnsi="仿宋_GB2312" w:eastAsia="仿宋_GB2312" w:cs="仿宋_GB2312"/>
          <w:b/>
          <w:szCs w:val="21"/>
        </w:rPr>
      </w:pPr>
      <w:r>
        <w:rPr>
          <w:rFonts w:hint="eastAsia" w:ascii="仿宋_GB2312" w:hAnsi="仿宋_GB2312" w:eastAsia="仿宋_GB2312" w:cs="仿宋_GB2312"/>
          <w:b/>
          <w:szCs w:val="21"/>
        </w:rPr>
        <w:t>11.争端的解决</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11.1需方和供方应通过友好协商，解决在执行本政府采购合同过程中所发生的或与本政府采购合同有关的一切争端。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11.2如果协商不成，双方中的任何一方可向需方所在地的人民法院提起诉讼。</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11.3因政府采购合同部分履行引发诉讼的，在诉讼期间，除正在进行诉讼的部分外，本政府采购合同的其它部分应继续执行。</w:t>
      </w:r>
    </w:p>
    <w:p>
      <w:pPr>
        <w:adjustRightInd w:val="0"/>
        <w:snapToGrid w:val="0"/>
        <w:spacing w:line="360" w:lineRule="auto"/>
        <w:ind w:firstLine="413" w:firstLineChars="196"/>
        <w:rPr>
          <w:rFonts w:hint="eastAsia" w:ascii="仿宋_GB2312" w:hAnsi="仿宋_GB2312" w:eastAsia="仿宋_GB2312" w:cs="仿宋_GB2312"/>
          <w:b/>
          <w:szCs w:val="21"/>
        </w:rPr>
      </w:pPr>
      <w:r>
        <w:rPr>
          <w:rFonts w:hint="eastAsia" w:ascii="仿宋_GB2312" w:hAnsi="仿宋_GB2312" w:eastAsia="仿宋_GB2312" w:cs="仿宋_GB2312"/>
          <w:b/>
          <w:szCs w:val="21"/>
        </w:rPr>
        <w:t>12.违约终止政府采购合同</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12.1在需方因供方违约而按政府采购合同约定采取的任何补救措施不起作用的情况下，需方可在下列情况下向供方发出书面通知，提出终止部分或全部政府采购合同。</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12.1.1如果供方未能在政府采购合同规定的限期或需方同意延长的限期内提供部分或全部服务；</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12.1.2如果供方未能履行政府采购合同规定的其它任何义务。</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12.1.3未经需方事先书面同意，供方部分转让和分包或全部转让和分包其应履行的政府采购合同义务。</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adjustRightInd w:val="0"/>
        <w:snapToGrid w:val="0"/>
        <w:spacing w:line="360" w:lineRule="auto"/>
        <w:ind w:firstLine="413" w:firstLineChars="196"/>
        <w:rPr>
          <w:rFonts w:hint="eastAsia" w:ascii="仿宋_GB2312" w:hAnsi="仿宋_GB2312" w:eastAsia="仿宋_GB2312" w:cs="仿宋_GB2312"/>
          <w:b/>
          <w:szCs w:val="21"/>
        </w:rPr>
      </w:pPr>
      <w:r>
        <w:rPr>
          <w:rFonts w:hint="eastAsia" w:ascii="仿宋_GB2312" w:hAnsi="仿宋_GB2312" w:eastAsia="仿宋_GB2312" w:cs="仿宋_GB2312"/>
          <w:b/>
          <w:szCs w:val="21"/>
        </w:rPr>
        <w:t>13.政府采购法对政府采购合同变更终止的规定</w:t>
      </w:r>
    </w:p>
    <w:p>
      <w:pPr>
        <w:adjustRightInd w:val="0"/>
        <w:snapToGrid w:val="0"/>
        <w:spacing w:line="360" w:lineRule="auto"/>
        <w:ind w:firstLine="411" w:firstLineChars="196"/>
        <w:rPr>
          <w:rFonts w:hint="eastAsia" w:ascii="仿宋_GB2312" w:hAnsi="仿宋_GB2312" w:eastAsia="仿宋_GB2312" w:cs="仿宋_GB2312"/>
          <w:b/>
          <w:szCs w:val="21"/>
        </w:rPr>
      </w:pPr>
      <w:r>
        <w:rPr>
          <w:rFonts w:hint="eastAsia" w:ascii="仿宋_GB2312" w:hAnsi="仿宋_GB2312" w:eastAsia="仿宋_GB2312" w:cs="仿宋_GB2312"/>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adjustRightInd w:val="0"/>
        <w:snapToGrid w:val="0"/>
        <w:spacing w:line="360" w:lineRule="auto"/>
        <w:ind w:firstLine="413" w:firstLineChars="196"/>
        <w:rPr>
          <w:rFonts w:hint="eastAsia" w:ascii="仿宋_GB2312" w:hAnsi="仿宋_GB2312" w:eastAsia="仿宋_GB2312" w:cs="仿宋_GB2312"/>
          <w:b/>
          <w:szCs w:val="21"/>
        </w:rPr>
      </w:pPr>
      <w:r>
        <w:rPr>
          <w:rFonts w:hint="eastAsia" w:ascii="仿宋_GB2312" w:hAnsi="仿宋_GB2312" w:eastAsia="仿宋_GB2312" w:cs="仿宋_GB2312"/>
          <w:b/>
          <w:szCs w:val="21"/>
        </w:rPr>
        <w:t>14.政府采购合同转让和分包</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除采购文件规定,并经需方事先书面同意外，供方不得部分转让和分包或全部转让和分包其应履行的政府采购合同义务。</w:t>
      </w:r>
    </w:p>
    <w:p>
      <w:pPr>
        <w:adjustRightInd w:val="0"/>
        <w:snapToGrid w:val="0"/>
        <w:spacing w:line="360" w:lineRule="auto"/>
        <w:ind w:firstLine="413" w:firstLineChars="196"/>
        <w:rPr>
          <w:rFonts w:hint="eastAsia" w:ascii="仿宋_GB2312" w:hAnsi="仿宋_GB2312" w:eastAsia="仿宋_GB2312" w:cs="仿宋_GB2312"/>
          <w:szCs w:val="21"/>
        </w:rPr>
      </w:pPr>
      <w:r>
        <w:rPr>
          <w:rFonts w:hint="eastAsia" w:ascii="仿宋_GB2312" w:hAnsi="仿宋_GB2312" w:eastAsia="仿宋_GB2312" w:cs="仿宋_GB2312"/>
          <w:b/>
          <w:szCs w:val="21"/>
        </w:rPr>
        <w:t>15.适用法律：</w:t>
      </w:r>
      <w:r>
        <w:rPr>
          <w:rFonts w:hint="eastAsia" w:ascii="仿宋_GB2312" w:hAnsi="仿宋_GB2312" w:eastAsia="仿宋_GB2312" w:cs="仿宋_GB2312"/>
          <w:szCs w:val="21"/>
        </w:rPr>
        <w:t>本政府采购合同按照中华人民共和国的现行法律进行解释。</w:t>
      </w:r>
    </w:p>
    <w:p>
      <w:pPr>
        <w:adjustRightInd w:val="0"/>
        <w:snapToGrid w:val="0"/>
        <w:spacing w:line="360" w:lineRule="auto"/>
        <w:ind w:firstLine="413" w:firstLineChars="196"/>
        <w:rPr>
          <w:rFonts w:hint="eastAsia" w:ascii="仿宋_GB2312" w:hAnsi="仿宋_GB2312" w:eastAsia="仿宋_GB2312" w:cs="仿宋_GB2312"/>
          <w:b/>
          <w:szCs w:val="21"/>
        </w:rPr>
      </w:pPr>
      <w:r>
        <w:rPr>
          <w:rFonts w:hint="eastAsia" w:ascii="仿宋_GB2312" w:hAnsi="仿宋_GB2312" w:eastAsia="仿宋_GB2312" w:cs="仿宋_GB2312"/>
          <w:b/>
          <w:szCs w:val="21"/>
        </w:rPr>
        <w:t>16.政府采购合同生效</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16.1本政府采购合同在供需双方法定代表人或其授权代理人签字和加盖公章后生效。</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 xml:space="preserve">16.2本政府采购合同一式五份，需方执二份，供方、采购代理机构、财政部门各执一份。 </w:t>
      </w:r>
    </w:p>
    <w:p>
      <w:pPr>
        <w:adjustRightInd w:val="0"/>
        <w:snapToGrid w:val="0"/>
        <w:spacing w:line="360" w:lineRule="auto"/>
        <w:ind w:firstLine="413" w:firstLineChars="196"/>
        <w:rPr>
          <w:rFonts w:hint="eastAsia" w:ascii="仿宋_GB2312" w:hAnsi="仿宋_GB2312" w:eastAsia="仿宋_GB2312" w:cs="仿宋_GB2312"/>
          <w:b/>
          <w:szCs w:val="21"/>
        </w:rPr>
      </w:pPr>
      <w:r>
        <w:rPr>
          <w:rFonts w:hint="eastAsia" w:ascii="仿宋_GB2312" w:hAnsi="仿宋_GB2312" w:eastAsia="仿宋_GB2312" w:cs="仿宋_GB2312"/>
          <w:b/>
          <w:szCs w:val="21"/>
        </w:rPr>
        <w:t>17.政府采购合同附件</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下列文件构成本政府采购合同不可分割的组成部分，与本政府采购合同具有同等法律效力：</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17.1采购文件；</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17.2采购文件的更正公告、变更公告；</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17.3成交供应商提交的响应文件；        </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17.4政府采购合同条款；</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17.5成交通知书；</w:t>
      </w:r>
    </w:p>
    <w:p>
      <w:pPr>
        <w:adjustRightInd w:val="0"/>
        <w:snapToGrid w:val="0"/>
        <w:spacing w:line="360" w:lineRule="auto"/>
        <w:ind w:firstLine="411" w:firstLineChars="196"/>
        <w:rPr>
          <w:rFonts w:hint="eastAsia" w:ascii="仿宋_GB2312" w:hAnsi="仿宋_GB2312" w:eastAsia="仿宋_GB2312" w:cs="仿宋_GB2312"/>
          <w:szCs w:val="21"/>
        </w:rPr>
      </w:pPr>
      <w:r>
        <w:rPr>
          <w:rFonts w:hint="eastAsia" w:ascii="仿宋_GB2312" w:hAnsi="仿宋_GB2312" w:eastAsia="仿宋_GB2312" w:cs="仿宋_GB2312"/>
          <w:szCs w:val="21"/>
        </w:rPr>
        <w:t>17.6政府采购合同的其它附件。</w:t>
      </w:r>
    </w:p>
    <w:p>
      <w:pPr>
        <w:ind w:firstLine="470" w:firstLineChars="196"/>
        <w:rPr>
          <w:rFonts w:hint="eastAsia" w:ascii="仿宋_GB2312" w:hAnsi="仿宋_GB2312" w:eastAsia="仿宋_GB2312" w:cs="仿宋_GB2312"/>
          <w:sz w:val="24"/>
        </w:rPr>
      </w:pPr>
    </w:p>
    <w:p>
      <w:pPr>
        <w:ind w:firstLine="470" w:firstLineChars="196"/>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br w:type="page"/>
      </w:r>
    </w:p>
    <w:p>
      <w:pPr>
        <w:pStyle w:val="3"/>
        <w:adjustRightInd w:val="0"/>
        <w:snapToGrid w:val="0"/>
        <w:spacing w:line="240" w:lineRule="auto"/>
        <w:jc w:val="left"/>
        <w:rPr>
          <w:rFonts w:hint="eastAsia" w:ascii="仿宋_GB2312" w:hAnsi="仿宋_GB2312" w:eastAsia="仿宋_GB2312" w:cs="仿宋_GB2312"/>
          <w:sz w:val="28"/>
          <w:szCs w:val="28"/>
        </w:rPr>
      </w:pPr>
      <w:bookmarkStart w:id="175" w:name="_Toc533340224"/>
      <w:bookmarkStart w:id="176" w:name="_Toc4485697"/>
      <w:r>
        <w:rPr>
          <w:rFonts w:hint="eastAsia" w:ascii="仿宋_GB2312" w:hAnsi="仿宋_GB2312" w:eastAsia="仿宋_GB2312" w:cs="仿宋_GB2312"/>
          <w:sz w:val="28"/>
          <w:szCs w:val="28"/>
        </w:rPr>
        <w:t>合同格式</w:t>
      </w:r>
      <w:bookmarkEnd w:id="175"/>
      <w:bookmarkEnd w:id="176"/>
      <w:r>
        <w:rPr>
          <w:rFonts w:hint="eastAsia" w:ascii="仿宋_GB2312" w:hAnsi="仿宋_GB2312" w:eastAsia="仿宋_GB2312" w:cs="仿宋_GB2312"/>
          <w:sz w:val="28"/>
          <w:szCs w:val="28"/>
        </w:rPr>
        <w:t xml:space="preserve">                    </w:t>
      </w:r>
    </w:p>
    <w:p>
      <w:pPr>
        <w:spacing w:before="319" w:beforeLines="100" w:after="319" w:afterLines="100" w:line="480" w:lineRule="exact"/>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政府采购合同格式</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政府采购合同编号：</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签订地点：</w:t>
      </w:r>
    </w:p>
    <w:p>
      <w:pPr>
        <w:adjustRightInd w:val="0"/>
        <w:snapToGrid w:val="0"/>
        <w:spacing w:line="360" w:lineRule="auto"/>
        <w:ind w:firstLine="640"/>
        <w:jc w:val="left"/>
        <w:rPr>
          <w:rFonts w:hint="eastAsia" w:ascii="仿宋_GB2312" w:hAnsi="仿宋_GB2312" w:eastAsia="仿宋_GB2312" w:cs="仿宋_GB2312"/>
          <w:szCs w:val="21"/>
        </w:rPr>
      </w:pPr>
      <w:r>
        <w:rPr>
          <w:rFonts w:hint="eastAsia" w:ascii="仿宋_GB2312" w:hAnsi="仿宋_GB2312" w:eastAsia="仿宋_GB2312" w:cs="仿宋_GB2312"/>
          <w:szCs w:val="21"/>
          <w:u w:val="single"/>
        </w:rPr>
        <w:t xml:space="preserve">    (需方名称</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（以下简称需方）和</w:t>
      </w:r>
      <w:r>
        <w:rPr>
          <w:rFonts w:hint="eastAsia" w:ascii="仿宋_GB2312" w:hAnsi="仿宋_GB2312" w:eastAsia="仿宋_GB2312" w:cs="仿宋_GB2312"/>
          <w:szCs w:val="21"/>
          <w:u w:val="single"/>
        </w:rPr>
        <w:t xml:space="preserve">   (供方名称)    </w:t>
      </w:r>
      <w:r>
        <w:rPr>
          <w:rFonts w:hint="eastAsia" w:ascii="仿宋_GB2312" w:hAnsi="仿宋_GB2312" w:eastAsia="仿宋_GB2312" w:cs="仿宋_GB2312"/>
          <w:szCs w:val="21"/>
        </w:rPr>
        <w:t xml:space="preserve"> （以下简称供方）根据《</w:t>
      </w:r>
      <w:r>
        <w:rPr>
          <w:rFonts w:hint="eastAsia" w:ascii="仿宋_GB2312" w:hAnsi="宋体" w:eastAsia="仿宋_GB2312"/>
          <w:szCs w:val="21"/>
        </w:rPr>
        <w:t>中华人民共和国民法典</w:t>
      </w:r>
      <w:r>
        <w:rPr>
          <w:rFonts w:hint="eastAsia" w:ascii="仿宋_GB2312" w:hAnsi="仿宋_GB2312" w:eastAsia="仿宋_GB2312" w:cs="仿宋_GB2312"/>
          <w:szCs w:val="21"/>
        </w:rPr>
        <w:t>》和有关法律法规，遵循平等、自愿、公平和诚实信用原则，同意按照下面的条款和条件订立本政府采购合同，共同信守。</w:t>
      </w:r>
    </w:p>
    <w:p>
      <w:pPr>
        <w:adjustRightInd w:val="0"/>
        <w:snapToGrid w:val="0"/>
        <w:spacing w:line="360" w:lineRule="auto"/>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　　一、政府采购合同文件</w:t>
      </w:r>
    </w:p>
    <w:p>
      <w:pPr>
        <w:adjustRightInd w:val="0"/>
        <w:snapToGrid w:val="0"/>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本政府采购合同所附下列文件是构成本政府采购合同不可分割的部分：</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1.采购文件（采购文件编号</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2.采购文件的更正公告、变更公告；</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3.成交供应商提交的响应文件；</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4.政府采购合同条款；</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5.成交通知书；</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6.政府采购合同的其它附件。</w:t>
      </w:r>
    </w:p>
    <w:p>
      <w:pPr>
        <w:adjustRightInd w:val="0"/>
        <w:snapToGrid w:val="0"/>
        <w:spacing w:line="360" w:lineRule="auto"/>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　　二、政府采购合同范围和条件</w:t>
      </w:r>
    </w:p>
    <w:p>
      <w:pPr>
        <w:adjustRightInd w:val="0"/>
        <w:snapToGrid w:val="0"/>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本政府采购合同的范围和条件与上述政府采购合同文件的规定相一致。</w:t>
      </w:r>
    </w:p>
    <w:p>
      <w:pPr>
        <w:adjustRightInd w:val="0"/>
        <w:snapToGrid w:val="0"/>
        <w:spacing w:line="360" w:lineRule="auto"/>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　　三、政府采购合同标的</w:t>
      </w:r>
    </w:p>
    <w:p>
      <w:pPr>
        <w:adjustRightInd w:val="0"/>
        <w:snapToGrid w:val="0"/>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本政府采购合同的标的为采购文件中所列相关服务。</w:t>
      </w:r>
    </w:p>
    <w:p>
      <w:pPr>
        <w:adjustRightInd w:val="0"/>
        <w:snapToGrid w:val="0"/>
        <w:spacing w:line="360" w:lineRule="auto"/>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　　四、政府采购合同金额</w:t>
      </w:r>
    </w:p>
    <w:p>
      <w:pPr>
        <w:adjustRightInd w:val="0"/>
        <w:snapToGrid w:val="0"/>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根据上述政府采购合同文件要求，政府采购合同的总金额为人民币</w:t>
      </w:r>
      <w:r>
        <w:rPr>
          <w:rFonts w:hint="eastAsia" w:ascii="仿宋_GB2312" w:hAnsi="仿宋_GB2312" w:eastAsia="仿宋_GB2312" w:cs="仿宋_GB2312"/>
          <w:szCs w:val="21"/>
          <w:u w:val="single"/>
        </w:rPr>
        <w:t xml:space="preserve">  （大写）                </w:t>
      </w:r>
      <w:r>
        <w:rPr>
          <w:rFonts w:hint="eastAsia" w:ascii="仿宋_GB2312" w:hAnsi="仿宋_GB2312" w:eastAsia="仿宋_GB2312" w:cs="仿宋_GB2312"/>
          <w:szCs w:val="21"/>
        </w:rPr>
        <w:t xml:space="preserve"> 元。</w:t>
      </w:r>
    </w:p>
    <w:p>
      <w:pPr>
        <w:adjustRightInd w:val="0"/>
        <w:snapToGrid w:val="0"/>
        <w:spacing w:line="360" w:lineRule="auto"/>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　  五、付款方式及条件</w:t>
      </w:r>
    </w:p>
    <w:p>
      <w:pPr>
        <w:adjustRightInd w:val="0"/>
        <w:snapToGrid w:val="0"/>
        <w:spacing w:line="360" w:lineRule="auto"/>
        <w:jc w:val="left"/>
        <w:rPr>
          <w:rFonts w:hint="eastAsia" w:ascii="仿宋_GB2312" w:hAnsi="仿宋_GB2312" w:eastAsia="仿宋_GB2312" w:cs="仿宋_GB2312"/>
          <w:b/>
          <w:szCs w:val="21"/>
        </w:rPr>
      </w:pPr>
    </w:p>
    <w:p>
      <w:pPr>
        <w:adjustRightInd w:val="0"/>
        <w:snapToGrid w:val="0"/>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b/>
          <w:szCs w:val="21"/>
        </w:rPr>
        <w:t>　　六、服务时间和服务地点</w:t>
      </w:r>
      <w:r>
        <w:rPr>
          <w:rFonts w:hint="eastAsia" w:ascii="仿宋_GB2312" w:hAnsi="仿宋_GB2312" w:eastAsia="仿宋_GB2312" w:cs="仿宋_GB2312"/>
          <w:szCs w:val="21"/>
        </w:rPr>
        <w:t xml:space="preserve">   </w:t>
      </w:r>
    </w:p>
    <w:p>
      <w:pPr>
        <w:adjustRightInd w:val="0"/>
        <w:snapToGrid w:val="0"/>
        <w:spacing w:line="360" w:lineRule="auto"/>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 xml:space="preserve">    1.服务时间：</w:t>
      </w:r>
      <w:r>
        <w:rPr>
          <w:rFonts w:hint="eastAsia" w:ascii="仿宋_GB2312" w:hAnsi="仿宋_GB2312" w:eastAsia="仿宋_GB2312" w:cs="仿宋_GB2312"/>
          <w:szCs w:val="21"/>
          <w:u w:val="single"/>
        </w:rPr>
        <w:t xml:space="preserve">        </w:t>
      </w:r>
    </w:p>
    <w:p>
      <w:pPr>
        <w:adjustRightInd w:val="0"/>
        <w:snapToGrid w:val="0"/>
        <w:spacing w:line="360" w:lineRule="auto"/>
        <w:jc w:val="left"/>
        <w:rPr>
          <w:rFonts w:hint="eastAsia" w:ascii="仿宋_GB2312" w:hAnsi="仿宋_GB2312" w:eastAsia="仿宋_GB2312" w:cs="仿宋_GB2312"/>
          <w:szCs w:val="21"/>
          <w:u w:val="single"/>
        </w:rPr>
      </w:pPr>
      <w:r>
        <w:rPr>
          <w:rFonts w:hint="eastAsia" w:ascii="仿宋_GB2312" w:hAnsi="仿宋_GB2312" w:eastAsia="仿宋_GB2312" w:cs="仿宋_GB2312"/>
          <w:szCs w:val="21"/>
        </w:rPr>
        <w:t xml:space="preserve">    2.服务地点：</w:t>
      </w:r>
      <w:r>
        <w:rPr>
          <w:rFonts w:hint="eastAsia" w:ascii="仿宋_GB2312" w:hAnsi="仿宋_GB2312" w:eastAsia="仿宋_GB2312" w:cs="仿宋_GB2312"/>
          <w:szCs w:val="21"/>
          <w:u w:val="single"/>
        </w:rPr>
        <w:t xml:space="preserve">        </w:t>
      </w:r>
    </w:p>
    <w:p>
      <w:pPr>
        <w:adjustRightInd w:val="0"/>
        <w:snapToGrid w:val="0"/>
        <w:spacing w:line="360" w:lineRule="auto"/>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　　七、验收要求</w:t>
      </w:r>
    </w:p>
    <w:p>
      <w:pPr>
        <w:adjustRightInd w:val="0"/>
        <w:snapToGrid w:val="0"/>
        <w:spacing w:line="360" w:lineRule="auto"/>
        <w:jc w:val="left"/>
        <w:rPr>
          <w:rFonts w:hint="eastAsia" w:ascii="仿宋_GB2312" w:hAnsi="仿宋_GB2312" w:eastAsia="仿宋_GB2312" w:cs="仿宋_GB2312"/>
          <w:szCs w:val="21"/>
          <w:u w:val="single"/>
        </w:rPr>
      </w:pPr>
      <w:r>
        <w:rPr>
          <w:rFonts w:hint="eastAsia" w:ascii="仿宋_GB2312" w:hAnsi="仿宋_GB2312" w:eastAsia="仿宋_GB2312" w:cs="仿宋_GB2312"/>
          <w:b/>
          <w:szCs w:val="21"/>
        </w:rPr>
        <w:t xml:space="preserve">    </w:t>
      </w:r>
      <w:r>
        <w:rPr>
          <w:rFonts w:hint="eastAsia" w:ascii="仿宋_GB2312" w:hAnsi="仿宋_GB2312" w:eastAsia="仿宋_GB2312" w:cs="仿宋_GB2312"/>
          <w:szCs w:val="21"/>
        </w:rPr>
        <w:t>供方完全履行合同义务后，需方或需方的最终用户按照上述政府采购合同文件列明的标准进行验收，验收不合格的，供方需按照第八条的约定承担相应违约责任。</w:t>
      </w:r>
    </w:p>
    <w:p>
      <w:pPr>
        <w:adjustRightInd w:val="0"/>
        <w:snapToGrid w:val="0"/>
        <w:spacing w:line="360" w:lineRule="auto"/>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 xml:space="preserve">    八、违约责任</w:t>
      </w:r>
    </w:p>
    <w:p>
      <w:pPr>
        <w:adjustRightInd w:val="0"/>
        <w:snapToGrid w:val="0"/>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1.供方逾期提供服务的，每逾期一天向需方支付合同金额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%的违约金，逾期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日的，需方有权单方面解除本协议。</w:t>
      </w:r>
    </w:p>
    <w:p>
      <w:pPr>
        <w:adjustRightInd w:val="0"/>
        <w:snapToGrid w:val="0"/>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2.供方提供的服务不符合约定的，需方有权向供方书面提出整改意见，供方需无条件整改至符合约定，自需方向供方提出书面意见之日起</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日内，供方仍未整改或整改后服务仍不符合约定的，需方有权单方面解除本协议。</w:t>
      </w:r>
    </w:p>
    <w:p>
      <w:pPr>
        <w:adjustRightInd w:val="0"/>
        <w:snapToGrid w:val="0"/>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3.需方逾期付款的，每逾期一天向供方支付逾期金额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%的违约金，逾期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日的，供方有权单方面解除本协议。</w:t>
      </w:r>
    </w:p>
    <w:p>
      <w:pPr>
        <w:adjustRightInd w:val="0"/>
        <w:snapToGrid w:val="0"/>
        <w:spacing w:line="360" w:lineRule="auto"/>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 xml:space="preserve">    九、争议解决</w:t>
      </w:r>
    </w:p>
    <w:p>
      <w:pPr>
        <w:adjustRightInd w:val="0"/>
        <w:snapToGrid w:val="0"/>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 xml:space="preserve">    十、合同生效</w:t>
      </w:r>
    </w:p>
    <w:p>
      <w:pPr>
        <w:adjustRightInd w:val="0"/>
        <w:snapToGrid w:val="0"/>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本政府采购合同经双方授权代表签字盖章后生效。</w:t>
      </w:r>
    </w:p>
    <w:p>
      <w:pPr>
        <w:adjustRightInd w:val="0"/>
        <w:snapToGrid w:val="0"/>
        <w:spacing w:line="360" w:lineRule="auto"/>
        <w:ind w:firstLine="420" w:firstLineChars="200"/>
        <w:jc w:val="left"/>
        <w:rPr>
          <w:rFonts w:hint="eastAsia" w:ascii="仿宋_GB2312" w:hAnsi="仿宋_GB2312" w:eastAsia="仿宋_GB2312" w:cs="仿宋_GB2312"/>
          <w:szCs w:val="21"/>
        </w:rPr>
      </w:pPr>
    </w:p>
    <w:p>
      <w:pPr>
        <w:adjustRightInd w:val="0"/>
        <w:snapToGrid w:val="0"/>
        <w:spacing w:line="360" w:lineRule="auto"/>
        <w:ind w:firstLine="420" w:firstLineChars="200"/>
        <w:jc w:val="left"/>
        <w:rPr>
          <w:rFonts w:hint="eastAsia" w:ascii="仿宋_GB2312" w:hAnsi="仿宋_GB2312" w:eastAsia="仿宋_GB2312" w:cs="仿宋_GB2312"/>
          <w:szCs w:val="21"/>
        </w:rPr>
      </w:pP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需方（公章）:                       供方(公章):</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法定代表人或授权代表人(签字):         法定代表人或授权代表人(签字):</w:t>
      </w:r>
    </w:p>
    <w:p>
      <w:pPr>
        <w:adjustRightInd w:val="0"/>
        <w:snapToGrid w:val="0"/>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地址：</w:t>
      </w:r>
      <w:r>
        <w:rPr>
          <w:rFonts w:hint="eastAsia" w:ascii="仿宋_GB2312" w:hAnsi="仿宋_GB2312" w:eastAsia="仿宋_GB2312" w:cs="仿宋_GB2312"/>
          <w:szCs w:val="21"/>
          <w:u w:val="single"/>
        </w:rPr>
        <w:t xml:space="preserve">                          </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联系人：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联系人：</w:t>
      </w:r>
      <w:r>
        <w:rPr>
          <w:rFonts w:hint="eastAsia" w:ascii="仿宋_GB2312" w:hAnsi="仿宋_GB2312" w:eastAsia="仿宋_GB2312" w:cs="仿宋_GB2312"/>
          <w:szCs w:val="21"/>
          <w:u w:val="single"/>
        </w:rPr>
        <w:t xml:space="preserve">                        </w:t>
      </w:r>
    </w:p>
    <w:p>
      <w:pPr>
        <w:adjustRightInd w:val="0"/>
        <w:snapToGrid w:val="0"/>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电话：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电话：</w:t>
      </w:r>
      <w:r>
        <w:rPr>
          <w:rFonts w:hint="eastAsia" w:ascii="仿宋_GB2312" w:hAnsi="仿宋_GB2312" w:eastAsia="仿宋_GB2312" w:cs="仿宋_GB2312"/>
          <w:szCs w:val="21"/>
          <w:u w:val="single"/>
        </w:rPr>
        <w:t xml:space="preserve">                          </w:t>
      </w:r>
    </w:p>
    <w:p>
      <w:pPr>
        <w:adjustRightInd w:val="0"/>
        <w:snapToGrid w:val="0"/>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传真：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传真：</w:t>
      </w:r>
      <w:r>
        <w:rPr>
          <w:rFonts w:hint="eastAsia" w:ascii="仿宋_GB2312" w:hAnsi="仿宋_GB2312" w:eastAsia="仿宋_GB2312" w:cs="仿宋_GB2312"/>
          <w:szCs w:val="21"/>
          <w:u w:val="single"/>
        </w:rPr>
        <w:t xml:space="preserve">                          </w:t>
      </w:r>
    </w:p>
    <w:p>
      <w:pPr>
        <w:adjustRightInd w:val="0"/>
        <w:snapToGrid w:val="0"/>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邮编：</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邮编：</w:t>
      </w:r>
      <w:r>
        <w:rPr>
          <w:rFonts w:hint="eastAsia" w:ascii="仿宋_GB2312" w:hAnsi="仿宋_GB2312" w:eastAsia="仿宋_GB2312" w:cs="仿宋_GB2312"/>
          <w:szCs w:val="21"/>
          <w:u w:val="single"/>
        </w:rPr>
        <w:t xml:space="preserve">                          </w:t>
      </w:r>
    </w:p>
    <w:p>
      <w:pPr>
        <w:adjustRightInd w:val="0"/>
        <w:snapToGrid w:val="0"/>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年      月      日</w:t>
      </w:r>
      <w:r>
        <w:rPr>
          <w:rFonts w:hint="eastAsia" w:ascii="仿宋_GB2312" w:hAnsi="仿宋_GB2312" w:eastAsia="仿宋_GB2312" w:cs="仿宋_GB2312"/>
          <w:szCs w:val="21"/>
        </w:rPr>
        <w:t xml:space="preserve">      日期：</w:t>
      </w:r>
      <w:r>
        <w:rPr>
          <w:rFonts w:hint="eastAsia" w:ascii="仿宋_GB2312" w:hAnsi="仿宋_GB2312" w:eastAsia="仿宋_GB2312" w:cs="仿宋_GB2312"/>
          <w:szCs w:val="21"/>
          <w:u w:val="single"/>
        </w:rPr>
        <w:t xml:space="preserve">       年      月     日</w:t>
      </w:r>
    </w:p>
    <w:p>
      <w:pPr>
        <w:adjustRightInd w:val="0"/>
        <w:snapToGrid w:val="0"/>
        <w:spacing w:line="360" w:lineRule="auto"/>
        <w:ind w:firstLine="420" w:firstLineChars="200"/>
        <w:rPr>
          <w:rFonts w:hint="eastAsia" w:ascii="仿宋_GB2312" w:hAnsi="仿宋_GB2312" w:eastAsia="仿宋_GB2312" w:cs="仿宋_GB2312"/>
          <w:szCs w:val="21"/>
          <w:u w:val="single"/>
        </w:rPr>
      </w:pPr>
    </w:p>
    <w:p>
      <w:pPr>
        <w:adjustRightInd w:val="0"/>
        <w:snapToGrid w:val="0"/>
        <w:spacing w:line="360" w:lineRule="auto"/>
        <w:rPr>
          <w:rFonts w:hint="eastAsia" w:ascii="仿宋_GB2312" w:hAnsi="仿宋_GB2312" w:eastAsia="仿宋_GB2312" w:cs="仿宋_GB2312"/>
          <w:szCs w:val="21"/>
          <w:u w:val="single"/>
        </w:rPr>
      </w:pPr>
    </w:p>
    <w:p>
      <w:pPr>
        <w:adjustRightInd w:val="0"/>
        <w:snapToGrid w:val="0"/>
        <w:spacing w:line="360" w:lineRule="auto"/>
        <w:jc w:val="right"/>
        <w:rPr>
          <w:rFonts w:hint="eastAsia" w:ascii="仿宋_GB2312" w:hAnsi="仿宋_GB2312" w:eastAsia="仿宋_GB2312" w:cs="仿宋_GB2312"/>
          <w:szCs w:val="21"/>
        </w:rPr>
      </w:pPr>
    </w:p>
    <w:p>
      <w:pPr>
        <w:wordWrap w:val="0"/>
        <w:adjustRightInd w:val="0"/>
        <w:snapToGrid w:val="0"/>
        <w:spacing w:line="360" w:lineRule="auto"/>
        <w:jc w:val="right"/>
        <w:rPr>
          <w:rFonts w:hint="eastAsia" w:ascii="仿宋_GB2312" w:hAnsi="仿宋_GB2312" w:eastAsia="仿宋_GB2312" w:cs="仿宋_GB2312"/>
          <w:szCs w:val="21"/>
        </w:rPr>
      </w:pPr>
    </w:p>
    <w:p>
      <w:pPr>
        <w:wordWrap w:val="0"/>
        <w:adjustRightInd w:val="0"/>
        <w:snapToGrid w:val="0"/>
        <w:spacing w:line="360" w:lineRule="auto"/>
        <w:jc w:val="left"/>
        <w:rPr>
          <w:rFonts w:hint="eastAsia" w:ascii="仿宋_GB2312" w:hAnsi="仿宋_GB2312" w:eastAsia="仿宋_GB2312" w:cs="仿宋_GB2312"/>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56</w:t>
    </w:r>
    <w: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982A8C"/>
    <w:multiLevelType w:val="singleLevel"/>
    <w:tmpl w:val="C4982A8C"/>
    <w:lvl w:ilvl="0" w:tentative="0">
      <w:start w:val="2"/>
      <w:numFmt w:val="decimal"/>
      <w:suff w:val="nothing"/>
      <w:lvlText w:val="%1、"/>
      <w:lvlJc w:val="left"/>
    </w:lvl>
  </w:abstractNum>
  <w:abstractNum w:abstractNumId="1">
    <w:nsid w:val="C53F5920"/>
    <w:multiLevelType w:val="singleLevel"/>
    <w:tmpl w:val="C53F5920"/>
    <w:lvl w:ilvl="0" w:tentative="0">
      <w:start w:val="2"/>
      <w:numFmt w:val="chineseCounting"/>
      <w:suff w:val="nothing"/>
      <w:lvlText w:val="（%1）"/>
      <w:lvlJc w:val="left"/>
      <w:rPr>
        <w:rFonts w:hint="eastAsia"/>
      </w:rPr>
    </w:lvl>
  </w:abstractNum>
  <w:abstractNum w:abstractNumId="2">
    <w:nsid w:val="DA6B491B"/>
    <w:multiLevelType w:val="singleLevel"/>
    <w:tmpl w:val="DA6B491B"/>
    <w:lvl w:ilvl="0" w:tentative="0">
      <w:start w:val="1"/>
      <w:numFmt w:val="chineseCounting"/>
      <w:suff w:val="nothing"/>
      <w:lvlText w:val="%1、"/>
      <w:lvlJc w:val="left"/>
      <w:rPr>
        <w:rFonts w:hint="eastAsia"/>
      </w:rPr>
    </w:lvl>
  </w:abstractNum>
  <w:abstractNum w:abstractNumId="3">
    <w:nsid w:val="E2420D4D"/>
    <w:multiLevelType w:val="singleLevel"/>
    <w:tmpl w:val="E2420D4D"/>
    <w:lvl w:ilvl="0" w:tentative="0">
      <w:start w:val="4"/>
      <w:numFmt w:val="decimal"/>
      <w:suff w:val="nothing"/>
      <w:lvlText w:val="%1、"/>
      <w:lvlJc w:val="left"/>
      <w:pPr>
        <w:ind w:left="210" w:firstLine="0"/>
      </w:pPr>
    </w:lvl>
  </w:abstractNum>
  <w:abstractNum w:abstractNumId="4">
    <w:nsid w:val="F77C3188"/>
    <w:multiLevelType w:val="singleLevel"/>
    <w:tmpl w:val="F77C3188"/>
    <w:lvl w:ilvl="0" w:tentative="0">
      <w:start w:val="2"/>
      <w:numFmt w:val="decimal"/>
      <w:suff w:val="nothing"/>
      <w:lvlText w:val="%1、"/>
      <w:lvlJc w:val="left"/>
    </w:lvl>
  </w:abstractNum>
  <w:abstractNum w:abstractNumId="5">
    <w:nsid w:val="28504A95"/>
    <w:multiLevelType w:val="singleLevel"/>
    <w:tmpl w:val="28504A95"/>
    <w:lvl w:ilvl="0" w:tentative="0">
      <w:start w:val="3"/>
      <w:numFmt w:val="chineseCounting"/>
      <w:suff w:val="space"/>
      <w:lvlText w:val="第%1章"/>
      <w:lvlJc w:val="left"/>
      <w:rPr>
        <w:rFonts w:hint="eastAsia"/>
      </w:rPr>
    </w:lvl>
  </w:abstractNum>
  <w:abstractNum w:abstractNumId="6">
    <w:nsid w:val="420C153B"/>
    <w:multiLevelType w:val="multilevel"/>
    <w:tmpl w:val="420C153B"/>
    <w:lvl w:ilvl="0" w:tentative="0">
      <w:start w:val="1"/>
      <w:numFmt w:val="decimal"/>
      <w:pStyle w:val="3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52F7058B"/>
    <w:multiLevelType w:val="multilevel"/>
    <w:tmpl w:val="52F7058B"/>
    <w:lvl w:ilvl="0" w:tentative="0">
      <w:start w:val="1"/>
      <w:numFmt w:val="decimal"/>
      <w:lvlText w:val="%1."/>
      <w:lvlJc w:val="left"/>
      <w:pPr>
        <w:tabs>
          <w:tab w:val="left" w:pos="830"/>
        </w:tabs>
        <w:ind w:left="830" w:hanging="360"/>
      </w:pPr>
      <w:rPr>
        <w:rFonts w:hint="eastAsia" w:ascii="黑体" w:hAnsi="Times New Roman" w:eastAsia="黑体"/>
        <w:b/>
      </w:rPr>
    </w:lvl>
    <w:lvl w:ilvl="1" w:tentative="0">
      <w:start w:val="1"/>
      <w:numFmt w:val="lowerLetter"/>
      <w:lvlText w:val="%2)"/>
      <w:lvlJc w:val="left"/>
      <w:pPr>
        <w:tabs>
          <w:tab w:val="left" w:pos="1310"/>
        </w:tabs>
        <w:ind w:left="1310" w:hanging="420"/>
      </w:p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07BCB"/>
    <w:rsid w:val="00010ACC"/>
    <w:rsid w:val="00011C8C"/>
    <w:rsid w:val="00011D0D"/>
    <w:rsid w:val="00017861"/>
    <w:rsid w:val="00020305"/>
    <w:rsid w:val="00020B39"/>
    <w:rsid w:val="0002450C"/>
    <w:rsid w:val="00030667"/>
    <w:rsid w:val="0003153D"/>
    <w:rsid w:val="00035830"/>
    <w:rsid w:val="000366EB"/>
    <w:rsid w:val="0003776A"/>
    <w:rsid w:val="000406B4"/>
    <w:rsid w:val="00040886"/>
    <w:rsid w:val="00040B5B"/>
    <w:rsid w:val="00051759"/>
    <w:rsid w:val="0005548C"/>
    <w:rsid w:val="0006626C"/>
    <w:rsid w:val="00083219"/>
    <w:rsid w:val="00087626"/>
    <w:rsid w:val="000909D3"/>
    <w:rsid w:val="000922FC"/>
    <w:rsid w:val="00096194"/>
    <w:rsid w:val="000A3122"/>
    <w:rsid w:val="000A7B6F"/>
    <w:rsid w:val="000B05A5"/>
    <w:rsid w:val="000B1E2F"/>
    <w:rsid w:val="000B69EC"/>
    <w:rsid w:val="000B78F5"/>
    <w:rsid w:val="000C28F9"/>
    <w:rsid w:val="000C66F6"/>
    <w:rsid w:val="000C6DD2"/>
    <w:rsid w:val="000C6F0E"/>
    <w:rsid w:val="000D1545"/>
    <w:rsid w:val="000D2960"/>
    <w:rsid w:val="000D2C1D"/>
    <w:rsid w:val="000E4BB4"/>
    <w:rsid w:val="000E6A7B"/>
    <w:rsid w:val="000F17B2"/>
    <w:rsid w:val="000F4130"/>
    <w:rsid w:val="000F4C20"/>
    <w:rsid w:val="000F5D16"/>
    <w:rsid w:val="00102355"/>
    <w:rsid w:val="00112309"/>
    <w:rsid w:val="0011683B"/>
    <w:rsid w:val="001203EC"/>
    <w:rsid w:val="001249DD"/>
    <w:rsid w:val="00124A13"/>
    <w:rsid w:val="0013083C"/>
    <w:rsid w:val="00130CA0"/>
    <w:rsid w:val="0013158F"/>
    <w:rsid w:val="00132068"/>
    <w:rsid w:val="0013776E"/>
    <w:rsid w:val="0015390E"/>
    <w:rsid w:val="00154CCD"/>
    <w:rsid w:val="00167297"/>
    <w:rsid w:val="001712A2"/>
    <w:rsid w:val="00185BFC"/>
    <w:rsid w:val="00185D8B"/>
    <w:rsid w:val="00187BB0"/>
    <w:rsid w:val="00191F4C"/>
    <w:rsid w:val="00193136"/>
    <w:rsid w:val="001A326D"/>
    <w:rsid w:val="001B0330"/>
    <w:rsid w:val="001B2FBA"/>
    <w:rsid w:val="001B3BA4"/>
    <w:rsid w:val="001B7FCB"/>
    <w:rsid w:val="001E4670"/>
    <w:rsid w:val="001E776C"/>
    <w:rsid w:val="001F423E"/>
    <w:rsid w:val="001F567E"/>
    <w:rsid w:val="001F70A6"/>
    <w:rsid w:val="002005AF"/>
    <w:rsid w:val="00202A79"/>
    <w:rsid w:val="0021042D"/>
    <w:rsid w:val="00213462"/>
    <w:rsid w:val="0021427F"/>
    <w:rsid w:val="00227FDA"/>
    <w:rsid w:val="00232AA3"/>
    <w:rsid w:val="002367F7"/>
    <w:rsid w:val="00237E6D"/>
    <w:rsid w:val="002440B1"/>
    <w:rsid w:val="00264193"/>
    <w:rsid w:val="002706E5"/>
    <w:rsid w:val="00270A5C"/>
    <w:rsid w:val="002742E6"/>
    <w:rsid w:val="002743E6"/>
    <w:rsid w:val="0027524C"/>
    <w:rsid w:val="002908AE"/>
    <w:rsid w:val="002A41DE"/>
    <w:rsid w:val="002B03B5"/>
    <w:rsid w:val="002B08BA"/>
    <w:rsid w:val="002B6DCC"/>
    <w:rsid w:val="002C582E"/>
    <w:rsid w:val="002C58D5"/>
    <w:rsid w:val="002D5694"/>
    <w:rsid w:val="002E5846"/>
    <w:rsid w:val="002F0866"/>
    <w:rsid w:val="002F5921"/>
    <w:rsid w:val="002F6CF7"/>
    <w:rsid w:val="003013EB"/>
    <w:rsid w:val="00302761"/>
    <w:rsid w:val="00324252"/>
    <w:rsid w:val="0032558B"/>
    <w:rsid w:val="00332350"/>
    <w:rsid w:val="0033768B"/>
    <w:rsid w:val="003532A1"/>
    <w:rsid w:val="003577B2"/>
    <w:rsid w:val="003615B4"/>
    <w:rsid w:val="0037130E"/>
    <w:rsid w:val="00374B84"/>
    <w:rsid w:val="00381164"/>
    <w:rsid w:val="0038216F"/>
    <w:rsid w:val="00383A37"/>
    <w:rsid w:val="003A3FBB"/>
    <w:rsid w:val="003A4369"/>
    <w:rsid w:val="003A43C7"/>
    <w:rsid w:val="003A5084"/>
    <w:rsid w:val="003D1064"/>
    <w:rsid w:val="003D5AD5"/>
    <w:rsid w:val="003D5E53"/>
    <w:rsid w:val="003E562B"/>
    <w:rsid w:val="003F1BE6"/>
    <w:rsid w:val="003F346A"/>
    <w:rsid w:val="003F6E87"/>
    <w:rsid w:val="004053E3"/>
    <w:rsid w:val="00415B97"/>
    <w:rsid w:val="00420DC3"/>
    <w:rsid w:val="00424004"/>
    <w:rsid w:val="0042796F"/>
    <w:rsid w:val="00432E48"/>
    <w:rsid w:val="00436CEC"/>
    <w:rsid w:val="00441C13"/>
    <w:rsid w:val="0044288A"/>
    <w:rsid w:val="00443EF4"/>
    <w:rsid w:val="004468DD"/>
    <w:rsid w:val="00450710"/>
    <w:rsid w:val="00453190"/>
    <w:rsid w:val="00454E85"/>
    <w:rsid w:val="0046016B"/>
    <w:rsid w:val="0046167F"/>
    <w:rsid w:val="00462C35"/>
    <w:rsid w:val="00463F1C"/>
    <w:rsid w:val="00466697"/>
    <w:rsid w:val="0047535F"/>
    <w:rsid w:val="0048085C"/>
    <w:rsid w:val="00480B5C"/>
    <w:rsid w:val="00480CFA"/>
    <w:rsid w:val="00482059"/>
    <w:rsid w:val="0048675D"/>
    <w:rsid w:val="00493F6F"/>
    <w:rsid w:val="00495BA7"/>
    <w:rsid w:val="0049755B"/>
    <w:rsid w:val="004A2961"/>
    <w:rsid w:val="004A4274"/>
    <w:rsid w:val="004A58A0"/>
    <w:rsid w:val="004A59F5"/>
    <w:rsid w:val="004B05DF"/>
    <w:rsid w:val="004B31C2"/>
    <w:rsid w:val="004B66AB"/>
    <w:rsid w:val="004C2470"/>
    <w:rsid w:val="004E460D"/>
    <w:rsid w:val="004E5365"/>
    <w:rsid w:val="004E690F"/>
    <w:rsid w:val="004F0D04"/>
    <w:rsid w:val="004F1259"/>
    <w:rsid w:val="004F1FB5"/>
    <w:rsid w:val="00503D81"/>
    <w:rsid w:val="00506175"/>
    <w:rsid w:val="0050625F"/>
    <w:rsid w:val="00511899"/>
    <w:rsid w:val="00512824"/>
    <w:rsid w:val="00512F22"/>
    <w:rsid w:val="00521EE3"/>
    <w:rsid w:val="00523EE1"/>
    <w:rsid w:val="00526A9D"/>
    <w:rsid w:val="00533776"/>
    <w:rsid w:val="00541B72"/>
    <w:rsid w:val="005429BA"/>
    <w:rsid w:val="00542C90"/>
    <w:rsid w:val="00546DC1"/>
    <w:rsid w:val="00547460"/>
    <w:rsid w:val="00550C50"/>
    <w:rsid w:val="00551407"/>
    <w:rsid w:val="005535F8"/>
    <w:rsid w:val="00556D0D"/>
    <w:rsid w:val="00557F0B"/>
    <w:rsid w:val="005636FD"/>
    <w:rsid w:val="00564D0F"/>
    <w:rsid w:val="005659BD"/>
    <w:rsid w:val="0057148B"/>
    <w:rsid w:val="00585B8B"/>
    <w:rsid w:val="005863BC"/>
    <w:rsid w:val="005A38DE"/>
    <w:rsid w:val="005A3C80"/>
    <w:rsid w:val="005A5A53"/>
    <w:rsid w:val="005B2D03"/>
    <w:rsid w:val="005C4242"/>
    <w:rsid w:val="005C4E89"/>
    <w:rsid w:val="005C78DA"/>
    <w:rsid w:val="005E2ABC"/>
    <w:rsid w:val="005E3ED4"/>
    <w:rsid w:val="005E61EE"/>
    <w:rsid w:val="005E6927"/>
    <w:rsid w:val="005F1018"/>
    <w:rsid w:val="005F281B"/>
    <w:rsid w:val="005F7EF8"/>
    <w:rsid w:val="006056FD"/>
    <w:rsid w:val="00607CA9"/>
    <w:rsid w:val="006314DE"/>
    <w:rsid w:val="00633F4D"/>
    <w:rsid w:val="00652313"/>
    <w:rsid w:val="00666732"/>
    <w:rsid w:val="00673701"/>
    <w:rsid w:val="00674519"/>
    <w:rsid w:val="00676449"/>
    <w:rsid w:val="00677DB3"/>
    <w:rsid w:val="006800BB"/>
    <w:rsid w:val="006814F3"/>
    <w:rsid w:val="006873D0"/>
    <w:rsid w:val="00687966"/>
    <w:rsid w:val="00691878"/>
    <w:rsid w:val="006950F5"/>
    <w:rsid w:val="006977FB"/>
    <w:rsid w:val="006A7EF3"/>
    <w:rsid w:val="006B0FE1"/>
    <w:rsid w:val="006C57FF"/>
    <w:rsid w:val="006C617D"/>
    <w:rsid w:val="006C6B21"/>
    <w:rsid w:val="006D0ABD"/>
    <w:rsid w:val="006D7F80"/>
    <w:rsid w:val="006E0811"/>
    <w:rsid w:val="006E0BBE"/>
    <w:rsid w:val="006E50EE"/>
    <w:rsid w:val="006E5B1C"/>
    <w:rsid w:val="006E63CA"/>
    <w:rsid w:val="006F05D7"/>
    <w:rsid w:val="006F19E3"/>
    <w:rsid w:val="006F266B"/>
    <w:rsid w:val="006F28CA"/>
    <w:rsid w:val="006F2AD7"/>
    <w:rsid w:val="006F48FA"/>
    <w:rsid w:val="006F5BB1"/>
    <w:rsid w:val="006F61B6"/>
    <w:rsid w:val="006F696A"/>
    <w:rsid w:val="0070149A"/>
    <w:rsid w:val="00703AF0"/>
    <w:rsid w:val="00713C88"/>
    <w:rsid w:val="00716810"/>
    <w:rsid w:val="00724D2F"/>
    <w:rsid w:val="007260AF"/>
    <w:rsid w:val="00763DAC"/>
    <w:rsid w:val="00775171"/>
    <w:rsid w:val="00781DB0"/>
    <w:rsid w:val="007846B3"/>
    <w:rsid w:val="00786720"/>
    <w:rsid w:val="007A2BB9"/>
    <w:rsid w:val="007A2E17"/>
    <w:rsid w:val="007B248A"/>
    <w:rsid w:val="007B6E36"/>
    <w:rsid w:val="007C0486"/>
    <w:rsid w:val="007C4E10"/>
    <w:rsid w:val="007C5F25"/>
    <w:rsid w:val="007D6551"/>
    <w:rsid w:val="007E5631"/>
    <w:rsid w:val="007E5FCE"/>
    <w:rsid w:val="007F321C"/>
    <w:rsid w:val="00801392"/>
    <w:rsid w:val="00801886"/>
    <w:rsid w:val="00802FF5"/>
    <w:rsid w:val="00807274"/>
    <w:rsid w:val="00807717"/>
    <w:rsid w:val="00811577"/>
    <w:rsid w:val="00813006"/>
    <w:rsid w:val="0081353A"/>
    <w:rsid w:val="008136E9"/>
    <w:rsid w:val="00813C21"/>
    <w:rsid w:val="00820C29"/>
    <w:rsid w:val="00820F82"/>
    <w:rsid w:val="00821256"/>
    <w:rsid w:val="008218BD"/>
    <w:rsid w:val="00823F9E"/>
    <w:rsid w:val="00832548"/>
    <w:rsid w:val="00844AC6"/>
    <w:rsid w:val="00846134"/>
    <w:rsid w:val="008623AC"/>
    <w:rsid w:val="0087266C"/>
    <w:rsid w:val="0087275E"/>
    <w:rsid w:val="00874685"/>
    <w:rsid w:val="00883007"/>
    <w:rsid w:val="00890434"/>
    <w:rsid w:val="008932A6"/>
    <w:rsid w:val="00896983"/>
    <w:rsid w:val="008A6258"/>
    <w:rsid w:val="008B3079"/>
    <w:rsid w:val="008B5895"/>
    <w:rsid w:val="008C1681"/>
    <w:rsid w:val="008C5191"/>
    <w:rsid w:val="008C6C43"/>
    <w:rsid w:val="008D1C7E"/>
    <w:rsid w:val="008D63CA"/>
    <w:rsid w:val="008E472C"/>
    <w:rsid w:val="0090119B"/>
    <w:rsid w:val="00916453"/>
    <w:rsid w:val="009174AF"/>
    <w:rsid w:val="00921D88"/>
    <w:rsid w:val="00927284"/>
    <w:rsid w:val="00935AB5"/>
    <w:rsid w:val="00935B3A"/>
    <w:rsid w:val="00936E4D"/>
    <w:rsid w:val="00937D8B"/>
    <w:rsid w:val="00945196"/>
    <w:rsid w:val="00945810"/>
    <w:rsid w:val="009517C2"/>
    <w:rsid w:val="0096214D"/>
    <w:rsid w:val="00962617"/>
    <w:rsid w:val="009656DA"/>
    <w:rsid w:val="0097457D"/>
    <w:rsid w:val="00977D07"/>
    <w:rsid w:val="00985042"/>
    <w:rsid w:val="009852DE"/>
    <w:rsid w:val="009A097B"/>
    <w:rsid w:val="009A6377"/>
    <w:rsid w:val="009A7A23"/>
    <w:rsid w:val="009B3544"/>
    <w:rsid w:val="009B4C4E"/>
    <w:rsid w:val="009C0378"/>
    <w:rsid w:val="009C2B50"/>
    <w:rsid w:val="009C3EE3"/>
    <w:rsid w:val="009C4A28"/>
    <w:rsid w:val="009C7AA3"/>
    <w:rsid w:val="009C7CDB"/>
    <w:rsid w:val="009F1A84"/>
    <w:rsid w:val="009F6F96"/>
    <w:rsid w:val="009F7113"/>
    <w:rsid w:val="00A00449"/>
    <w:rsid w:val="00A0382C"/>
    <w:rsid w:val="00A05EFA"/>
    <w:rsid w:val="00A20034"/>
    <w:rsid w:val="00A23717"/>
    <w:rsid w:val="00A27C65"/>
    <w:rsid w:val="00A34297"/>
    <w:rsid w:val="00A36DF1"/>
    <w:rsid w:val="00A40C92"/>
    <w:rsid w:val="00A4363D"/>
    <w:rsid w:val="00A44AA0"/>
    <w:rsid w:val="00A60CBA"/>
    <w:rsid w:val="00A60D10"/>
    <w:rsid w:val="00A61331"/>
    <w:rsid w:val="00A67ABF"/>
    <w:rsid w:val="00A73727"/>
    <w:rsid w:val="00A73DB3"/>
    <w:rsid w:val="00A7544E"/>
    <w:rsid w:val="00A759B5"/>
    <w:rsid w:val="00A80E10"/>
    <w:rsid w:val="00A81824"/>
    <w:rsid w:val="00A915D5"/>
    <w:rsid w:val="00A91E1D"/>
    <w:rsid w:val="00A945FE"/>
    <w:rsid w:val="00A96232"/>
    <w:rsid w:val="00AA4B91"/>
    <w:rsid w:val="00AA7CAE"/>
    <w:rsid w:val="00AB20CE"/>
    <w:rsid w:val="00AB21D1"/>
    <w:rsid w:val="00AB516E"/>
    <w:rsid w:val="00AC5D2C"/>
    <w:rsid w:val="00AD167D"/>
    <w:rsid w:val="00AD7A85"/>
    <w:rsid w:val="00AE181B"/>
    <w:rsid w:val="00AF33EA"/>
    <w:rsid w:val="00B01524"/>
    <w:rsid w:val="00B05620"/>
    <w:rsid w:val="00B12B71"/>
    <w:rsid w:val="00B151FA"/>
    <w:rsid w:val="00B164FA"/>
    <w:rsid w:val="00B17A91"/>
    <w:rsid w:val="00B214F2"/>
    <w:rsid w:val="00B21859"/>
    <w:rsid w:val="00B24DEC"/>
    <w:rsid w:val="00B26F29"/>
    <w:rsid w:val="00B35102"/>
    <w:rsid w:val="00B412C7"/>
    <w:rsid w:val="00B4204C"/>
    <w:rsid w:val="00B42957"/>
    <w:rsid w:val="00B42EF1"/>
    <w:rsid w:val="00B45835"/>
    <w:rsid w:val="00B4593D"/>
    <w:rsid w:val="00B45A91"/>
    <w:rsid w:val="00B46895"/>
    <w:rsid w:val="00B67877"/>
    <w:rsid w:val="00B71CFA"/>
    <w:rsid w:val="00B7290F"/>
    <w:rsid w:val="00B73698"/>
    <w:rsid w:val="00B9169C"/>
    <w:rsid w:val="00B93189"/>
    <w:rsid w:val="00B944E9"/>
    <w:rsid w:val="00B9681B"/>
    <w:rsid w:val="00B96AE5"/>
    <w:rsid w:val="00B96C1C"/>
    <w:rsid w:val="00BA4313"/>
    <w:rsid w:val="00BA483E"/>
    <w:rsid w:val="00BA54C9"/>
    <w:rsid w:val="00BA7C61"/>
    <w:rsid w:val="00BB3D9F"/>
    <w:rsid w:val="00BC4F02"/>
    <w:rsid w:val="00BC5A18"/>
    <w:rsid w:val="00BD195F"/>
    <w:rsid w:val="00BD4456"/>
    <w:rsid w:val="00BD4A11"/>
    <w:rsid w:val="00BD6D48"/>
    <w:rsid w:val="00BE189E"/>
    <w:rsid w:val="00BE63EE"/>
    <w:rsid w:val="00BF0415"/>
    <w:rsid w:val="00BF1844"/>
    <w:rsid w:val="00BF2D5F"/>
    <w:rsid w:val="00C007B0"/>
    <w:rsid w:val="00C119E2"/>
    <w:rsid w:val="00C12EE2"/>
    <w:rsid w:val="00C1695F"/>
    <w:rsid w:val="00C26147"/>
    <w:rsid w:val="00C42477"/>
    <w:rsid w:val="00C430E2"/>
    <w:rsid w:val="00C51672"/>
    <w:rsid w:val="00C608B4"/>
    <w:rsid w:val="00C61085"/>
    <w:rsid w:val="00C63B72"/>
    <w:rsid w:val="00C646B5"/>
    <w:rsid w:val="00C707F2"/>
    <w:rsid w:val="00C73630"/>
    <w:rsid w:val="00C73855"/>
    <w:rsid w:val="00C75905"/>
    <w:rsid w:val="00C7798C"/>
    <w:rsid w:val="00C8406F"/>
    <w:rsid w:val="00C873A5"/>
    <w:rsid w:val="00C94AC1"/>
    <w:rsid w:val="00CA011F"/>
    <w:rsid w:val="00CA754E"/>
    <w:rsid w:val="00CB2481"/>
    <w:rsid w:val="00CB2A73"/>
    <w:rsid w:val="00CC52A5"/>
    <w:rsid w:val="00CD3570"/>
    <w:rsid w:val="00CD41FB"/>
    <w:rsid w:val="00CE18D7"/>
    <w:rsid w:val="00CE4031"/>
    <w:rsid w:val="00CF5612"/>
    <w:rsid w:val="00D03771"/>
    <w:rsid w:val="00D12A29"/>
    <w:rsid w:val="00D12A77"/>
    <w:rsid w:val="00D1310D"/>
    <w:rsid w:val="00D15EB3"/>
    <w:rsid w:val="00D16C8E"/>
    <w:rsid w:val="00D20E66"/>
    <w:rsid w:val="00D23683"/>
    <w:rsid w:val="00D2600E"/>
    <w:rsid w:val="00D270B9"/>
    <w:rsid w:val="00D37BB8"/>
    <w:rsid w:val="00D43E5E"/>
    <w:rsid w:val="00D57015"/>
    <w:rsid w:val="00D63F92"/>
    <w:rsid w:val="00D81D78"/>
    <w:rsid w:val="00D83E9F"/>
    <w:rsid w:val="00D86E39"/>
    <w:rsid w:val="00D906D4"/>
    <w:rsid w:val="00D93A7F"/>
    <w:rsid w:val="00D94C88"/>
    <w:rsid w:val="00DA26C6"/>
    <w:rsid w:val="00DA4D1C"/>
    <w:rsid w:val="00DB10A5"/>
    <w:rsid w:val="00DB41F3"/>
    <w:rsid w:val="00DB56FE"/>
    <w:rsid w:val="00DB72A1"/>
    <w:rsid w:val="00DC1547"/>
    <w:rsid w:val="00DC1AA9"/>
    <w:rsid w:val="00DC3333"/>
    <w:rsid w:val="00DC7AD3"/>
    <w:rsid w:val="00DD1DC8"/>
    <w:rsid w:val="00DE39C0"/>
    <w:rsid w:val="00DE6535"/>
    <w:rsid w:val="00DE6CF7"/>
    <w:rsid w:val="00DF6E76"/>
    <w:rsid w:val="00E02CC5"/>
    <w:rsid w:val="00E03D40"/>
    <w:rsid w:val="00E120A5"/>
    <w:rsid w:val="00E1259B"/>
    <w:rsid w:val="00E157A0"/>
    <w:rsid w:val="00E318D6"/>
    <w:rsid w:val="00E33686"/>
    <w:rsid w:val="00E34F59"/>
    <w:rsid w:val="00E46E2C"/>
    <w:rsid w:val="00E47803"/>
    <w:rsid w:val="00E51EAC"/>
    <w:rsid w:val="00E51EEE"/>
    <w:rsid w:val="00E527B6"/>
    <w:rsid w:val="00E532F7"/>
    <w:rsid w:val="00E57717"/>
    <w:rsid w:val="00E763E3"/>
    <w:rsid w:val="00E904B4"/>
    <w:rsid w:val="00EA1D3F"/>
    <w:rsid w:val="00EA20C9"/>
    <w:rsid w:val="00EA6938"/>
    <w:rsid w:val="00EB68F2"/>
    <w:rsid w:val="00ED1893"/>
    <w:rsid w:val="00ED2AD0"/>
    <w:rsid w:val="00ED60F0"/>
    <w:rsid w:val="00ED7B94"/>
    <w:rsid w:val="00EE4B7A"/>
    <w:rsid w:val="00EE696B"/>
    <w:rsid w:val="00EE758F"/>
    <w:rsid w:val="00EF5158"/>
    <w:rsid w:val="00F03D34"/>
    <w:rsid w:val="00F12143"/>
    <w:rsid w:val="00F12D67"/>
    <w:rsid w:val="00F15778"/>
    <w:rsid w:val="00F17C4C"/>
    <w:rsid w:val="00F26065"/>
    <w:rsid w:val="00F26878"/>
    <w:rsid w:val="00F310E3"/>
    <w:rsid w:val="00F32FB8"/>
    <w:rsid w:val="00F40B88"/>
    <w:rsid w:val="00F471F5"/>
    <w:rsid w:val="00F47970"/>
    <w:rsid w:val="00F5029F"/>
    <w:rsid w:val="00F56C87"/>
    <w:rsid w:val="00F6408D"/>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D2D5A"/>
    <w:rsid w:val="00FD55CA"/>
    <w:rsid w:val="00FE0C55"/>
    <w:rsid w:val="00FE6CA1"/>
    <w:rsid w:val="00FE7360"/>
    <w:rsid w:val="00FF62E0"/>
    <w:rsid w:val="00FF76FC"/>
    <w:rsid w:val="01520AA4"/>
    <w:rsid w:val="01633786"/>
    <w:rsid w:val="017734C4"/>
    <w:rsid w:val="019A5532"/>
    <w:rsid w:val="019B0477"/>
    <w:rsid w:val="01E82BE5"/>
    <w:rsid w:val="01EB5EF8"/>
    <w:rsid w:val="02042410"/>
    <w:rsid w:val="0207002B"/>
    <w:rsid w:val="02450450"/>
    <w:rsid w:val="02686A03"/>
    <w:rsid w:val="0277334F"/>
    <w:rsid w:val="02897978"/>
    <w:rsid w:val="02972AD7"/>
    <w:rsid w:val="02987D19"/>
    <w:rsid w:val="0299720E"/>
    <w:rsid w:val="02A11128"/>
    <w:rsid w:val="02B91F96"/>
    <w:rsid w:val="02D469DF"/>
    <w:rsid w:val="02DE7FB0"/>
    <w:rsid w:val="02E755A0"/>
    <w:rsid w:val="02FA30D3"/>
    <w:rsid w:val="0331785C"/>
    <w:rsid w:val="034616C7"/>
    <w:rsid w:val="03B119F6"/>
    <w:rsid w:val="04036274"/>
    <w:rsid w:val="042F7701"/>
    <w:rsid w:val="045B5F48"/>
    <w:rsid w:val="047E231D"/>
    <w:rsid w:val="048C542A"/>
    <w:rsid w:val="04945078"/>
    <w:rsid w:val="049D267D"/>
    <w:rsid w:val="04AC72EC"/>
    <w:rsid w:val="05190704"/>
    <w:rsid w:val="05270DB5"/>
    <w:rsid w:val="052817BB"/>
    <w:rsid w:val="0580226C"/>
    <w:rsid w:val="05917C5F"/>
    <w:rsid w:val="05DA7AA4"/>
    <w:rsid w:val="05EF3C7F"/>
    <w:rsid w:val="06750C66"/>
    <w:rsid w:val="06A7319D"/>
    <w:rsid w:val="06D346D6"/>
    <w:rsid w:val="06D90DFE"/>
    <w:rsid w:val="07107252"/>
    <w:rsid w:val="07116147"/>
    <w:rsid w:val="0712691E"/>
    <w:rsid w:val="0714742B"/>
    <w:rsid w:val="072C6AB1"/>
    <w:rsid w:val="07520836"/>
    <w:rsid w:val="075E76FE"/>
    <w:rsid w:val="077D7634"/>
    <w:rsid w:val="07EE43C6"/>
    <w:rsid w:val="084353F9"/>
    <w:rsid w:val="084362F9"/>
    <w:rsid w:val="08524FDB"/>
    <w:rsid w:val="0855720F"/>
    <w:rsid w:val="08592CF3"/>
    <w:rsid w:val="087B5711"/>
    <w:rsid w:val="088D5F5C"/>
    <w:rsid w:val="08B71729"/>
    <w:rsid w:val="093C026C"/>
    <w:rsid w:val="095A7210"/>
    <w:rsid w:val="09705641"/>
    <w:rsid w:val="097E0D00"/>
    <w:rsid w:val="0997077C"/>
    <w:rsid w:val="09B5328F"/>
    <w:rsid w:val="0A231A27"/>
    <w:rsid w:val="0A260FC3"/>
    <w:rsid w:val="0A2B585A"/>
    <w:rsid w:val="0A4E254C"/>
    <w:rsid w:val="0A8C009B"/>
    <w:rsid w:val="0A8E562B"/>
    <w:rsid w:val="0A96124A"/>
    <w:rsid w:val="0ACA4546"/>
    <w:rsid w:val="0ACC4AB7"/>
    <w:rsid w:val="0B290A93"/>
    <w:rsid w:val="0B966F45"/>
    <w:rsid w:val="0BA525D8"/>
    <w:rsid w:val="0BAE2534"/>
    <w:rsid w:val="0BD50CE3"/>
    <w:rsid w:val="0BD917DB"/>
    <w:rsid w:val="0BEE2901"/>
    <w:rsid w:val="0C2E29A6"/>
    <w:rsid w:val="0C2F6006"/>
    <w:rsid w:val="0C5B37C6"/>
    <w:rsid w:val="0C8352C9"/>
    <w:rsid w:val="0C88726E"/>
    <w:rsid w:val="0C935D9D"/>
    <w:rsid w:val="0C98437D"/>
    <w:rsid w:val="0D12601B"/>
    <w:rsid w:val="0D455427"/>
    <w:rsid w:val="0D5616A6"/>
    <w:rsid w:val="0D5E5DCC"/>
    <w:rsid w:val="0D7E5707"/>
    <w:rsid w:val="0DC72578"/>
    <w:rsid w:val="0DD324AD"/>
    <w:rsid w:val="0DF94501"/>
    <w:rsid w:val="0E32720B"/>
    <w:rsid w:val="0E473521"/>
    <w:rsid w:val="0E7864B7"/>
    <w:rsid w:val="0E7F4010"/>
    <w:rsid w:val="0EBC7032"/>
    <w:rsid w:val="0EDA4061"/>
    <w:rsid w:val="0F1F5B6A"/>
    <w:rsid w:val="0F465E03"/>
    <w:rsid w:val="0F501B00"/>
    <w:rsid w:val="0F5951D3"/>
    <w:rsid w:val="0F673144"/>
    <w:rsid w:val="0F681E22"/>
    <w:rsid w:val="0F6A040A"/>
    <w:rsid w:val="0F8447FC"/>
    <w:rsid w:val="0F922E87"/>
    <w:rsid w:val="0F9262E5"/>
    <w:rsid w:val="0FD005A4"/>
    <w:rsid w:val="10390CED"/>
    <w:rsid w:val="10680058"/>
    <w:rsid w:val="10752CF3"/>
    <w:rsid w:val="108D7FEC"/>
    <w:rsid w:val="10973028"/>
    <w:rsid w:val="10B70ADD"/>
    <w:rsid w:val="10EB0A61"/>
    <w:rsid w:val="10F96CD3"/>
    <w:rsid w:val="11230728"/>
    <w:rsid w:val="112B1DC1"/>
    <w:rsid w:val="11714A01"/>
    <w:rsid w:val="117E3EBF"/>
    <w:rsid w:val="11A63895"/>
    <w:rsid w:val="11A7034A"/>
    <w:rsid w:val="11AA0E33"/>
    <w:rsid w:val="11B42F34"/>
    <w:rsid w:val="11D465DE"/>
    <w:rsid w:val="12356713"/>
    <w:rsid w:val="124E6914"/>
    <w:rsid w:val="127734CA"/>
    <w:rsid w:val="12AA6CF7"/>
    <w:rsid w:val="12AC5FDF"/>
    <w:rsid w:val="12B476A3"/>
    <w:rsid w:val="12BC0338"/>
    <w:rsid w:val="12DE4113"/>
    <w:rsid w:val="12F51579"/>
    <w:rsid w:val="13042B7A"/>
    <w:rsid w:val="1338631F"/>
    <w:rsid w:val="13537206"/>
    <w:rsid w:val="135F5EFF"/>
    <w:rsid w:val="13B124D5"/>
    <w:rsid w:val="13F9694A"/>
    <w:rsid w:val="140712E6"/>
    <w:rsid w:val="14247A10"/>
    <w:rsid w:val="14253380"/>
    <w:rsid w:val="14333776"/>
    <w:rsid w:val="14384589"/>
    <w:rsid w:val="144F6715"/>
    <w:rsid w:val="14742001"/>
    <w:rsid w:val="148C1071"/>
    <w:rsid w:val="14AA5797"/>
    <w:rsid w:val="14B71172"/>
    <w:rsid w:val="14BF6F57"/>
    <w:rsid w:val="14D15CCE"/>
    <w:rsid w:val="155468AA"/>
    <w:rsid w:val="15667555"/>
    <w:rsid w:val="156C70F5"/>
    <w:rsid w:val="15C01D2D"/>
    <w:rsid w:val="16150220"/>
    <w:rsid w:val="1618628E"/>
    <w:rsid w:val="161F09ED"/>
    <w:rsid w:val="164342FA"/>
    <w:rsid w:val="164E497A"/>
    <w:rsid w:val="165D035E"/>
    <w:rsid w:val="168D2142"/>
    <w:rsid w:val="16A22BEB"/>
    <w:rsid w:val="16B966B9"/>
    <w:rsid w:val="16CB645F"/>
    <w:rsid w:val="16F86A08"/>
    <w:rsid w:val="171820A2"/>
    <w:rsid w:val="17571001"/>
    <w:rsid w:val="17F972C4"/>
    <w:rsid w:val="181270D8"/>
    <w:rsid w:val="181D3BED"/>
    <w:rsid w:val="183A7AB3"/>
    <w:rsid w:val="184335AA"/>
    <w:rsid w:val="185C4B83"/>
    <w:rsid w:val="18805700"/>
    <w:rsid w:val="18DC1263"/>
    <w:rsid w:val="18E757E1"/>
    <w:rsid w:val="18F23575"/>
    <w:rsid w:val="19A71B6C"/>
    <w:rsid w:val="1A26730A"/>
    <w:rsid w:val="1AB1115C"/>
    <w:rsid w:val="1ADD1051"/>
    <w:rsid w:val="1AFE6723"/>
    <w:rsid w:val="1B170F6C"/>
    <w:rsid w:val="1B200CF6"/>
    <w:rsid w:val="1B2E05FE"/>
    <w:rsid w:val="1B804CE5"/>
    <w:rsid w:val="1B8448B7"/>
    <w:rsid w:val="1B8813C8"/>
    <w:rsid w:val="1BF17A20"/>
    <w:rsid w:val="1C69716C"/>
    <w:rsid w:val="1CA7647F"/>
    <w:rsid w:val="1CB1569A"/>
    <w:rsid w:val="1CB313F6"/>
    <w:rsid w:val="1CD30593"/>
    <w:rsid w:val="1CEC75C1"/>
    <w:rsid w:val="1D320622"/>
    <w:rsid w:val="1D344347"/>
    <w:rsid w:val="1D503F50"/>
    <w:rsid w:val="1D6C4B3B"/>
    <w:rsid w:val="1D825650"/>
    <w:rsid w:val="1DF719E4"/>
    <w:rsid w:val="1E1C5E73"/>
    <w:rsid w:val="1E3D5BFF"/>
    <w:rsid w:val="1E5B585E"/>
    <w:rsid w:val="1E8563ED"/>
    <w:rsid w:val="1EA0459D"/>
    <w:rsid w:val="1EB21D4C"/>
    <w:rsid w:val="1ED42809"/>
    <w:rsid w:val="1F2B6DFB"/>
    <w:rsid w:val="1F30448B"/>
    <w:rsid w:val="1F492E83"/>
    <w:rsid w:val="1F6A2CF4"/>
    <w:rsid w:val="1F715EA6"/>
    <w:rsid w:val="1F9A33AE"/>
    <w:rsid w:val="1FCD4688"/>
    <w:rsid w:val="1FFD6FC8"/>
    <w:rsid w:val="202279CC"/>
    <w:rsid w:val="20441B19"/>
    <w:rsid w:val="20663493"/>
    <w:rsid w:val="206935B6"/>
    <w:rsid w:val="208E4DB7"/>
    <w:rsid w:val="20A6481A"/>
    <w:rsid w:val="20B87A68"/>
    <w:rsid w:val="20BF45FE"/>
    <w:rsid w:val="20C70459"/>
    <w:rsid w:val="20F327F1"/>
    <w:rsid w:val="2102069D"/>
    <w:rsid w:val="211D5C24"/>
    <w:rsid w:val="21472146"/>
    <w:rsid w:val="215F78EC"/>
    <w:rsid w:val="21660BC9"/>
    <w:rsid w:val="21F11A78"/>
    <w:rsid w:val="22160B82"/>
    <w:rsid w:val="222E4ADC"/>
    <w:rsid w:val="225752BF"/>
    <w:rsid w:val="22596F3A"/>
    <w:rsid w:val="22633CAD"/>
    <w:rsid w:val="22643E0F"/>
    <w:rsid w:val="227E3E5A"/>
    <w:rsid w:val="229F23A9"/>
    <w:rsid w:val="22D26F9A"/>
    <w:rsid w:val="22F234E2"/>
    <w:rsid w:val="230F44D7"/>
    <w:rsid w:val="231678A1"/>
    <w:rsid w:val="233733AC"/>
    <w:rsid w:val="237C6391"/>
    <w:rsid w:val="23B12896"/>
    <w:rsid w:val="23C00A75"/>
    <w:rsid w:val="23F316BB"/>
    <w:rsid w:val="241C5182"/>
    <w:rsid w:val="246210AD"/>
    <w:rsid w:val="248A7D5E"/>
    <w:rsid w:val="24963225"/>
    <w:rsid w:val="24994A73"/>
    <w:rsid w:val="24A4104D"/>
    <w:rsid w:val="24EC4414"/>
    <w:rsid w:val="24F25805"/>
    <w:rsid w:val="25377C12"/>
    <w:rsid w:val="25A008DD"/>
    <w:rsid w:val="25B0273C"/>
    <w:rsid w:val="25B86354"/>
    <w:rsid w:val="25D45C3E"/>
    <w:rsid w:val="25DB33D1"/>
    <w:rsid w:val="25DD61F7"/>
    <w:rsid w:val="25E56367"/>
    <w:rsid w:val="26355776"/>
    <w:rsid w:val="263F56EE"/>
    <w:rsid w:val="264F6C0E"/>
    <w:rsid w:val="267B761D"/>
    <w:rsid w:val="26AC4400"/>
    <w:rsid w:val="271F3084"/>
    <w:rsid w:val="276E7580"/>
    <w:rsid w:val="277070EA"/>
    <w:rsid w:val="278D7F5C"/>
    <w:rsid w:val="279E1806"/>
    <w:rsid w:val="279F27E3"/>
    <w:rsid w:val="281E11E4"/>
    <w:rsid w:val="285D4024"/>
    <w:rsid w:val="288C5A63"/>
    <w:rsid w:val="2896493F"/>
    <w:rsid w:val="28B92147"/>
    <w:rsid w:val="293407FF"/>
    <w:rsid w:val="29D26BE3"/>
    <w:rsid w:val="2A19597B"/>
    <w:rsid w:val="2A4F4A98"/>
    <w:rsid w:val="2A6C2D68"/>
    <w:rsid w:val="2A7439F6"/>
    <w:rsid w:val="2AEA69C9"/>
    <w:rsid w:val="2AFF1738"/>
    <w:rsid w:val="2B0C3C98"/>
    <w:rsid w:val="2B371124"/>
    <w:rsid w:val="2B376F2C"/>
    <w:rsid w:val="2B417276"/>
    <w:rsid w:val="2B51291E"/>
    <w:rsid w:val="2B5A5895"/>
    <w:rsid w:val="2B97643D"/>
    <w:rsid w:val="2BA702B7"/>
    <w:rsid w:val="2BAF326F"/>
    <w:rsid w:val="2BBE765A"/>
    <w:rsid w:val="2BEB442D"/>
    <w:rsid w:val="2C245A81"/>
    <w:rsid w:val="2C4F787A"/>
    <w:rsid w:val="2C764B59"/>
    <w:rsid w:val="2C852F06"/>
    <w:rsid w:val="2C9214D0"/>
    <w:rsid w:val="2C9A44E5"/>
    <w:rsid w:val="2C9F53AF"/>
    <w:rsid w:val="2CBA641B"/>
    <w:rsid w:val="2CFB4920"/>
    <w:rsid w:val="2D3F5EA6"/>
    <w:rsid w:val="2D635697"/>
    <w:rsid w:val="2D982E0B"/>
    <w:rsid w:val="2DA20924"/>
    <w:rsid w:val="2DA466E5"/>
    <w:rsid w:val="2DC51DEE"/>
    <w:rsid w:val="2DEE5C16"/>
    <w:rsid w:val="2E072654"/>
    <w:rsid w:val="2E4F3D9B"/>
    <w:rsid w:val="2E7A3BDF"/>
    <w:rsid w:val="2EAC24EC"/>
    <w:rsid w:val="2EB6719F"/>
    <w:rsid w:val="2EE83DED"/>
    <w:rsid w:val="2F0D3659"/>
    <w:rsid w:val="2F216627"/>
    <w:rsid w:val="2F2E122B"/>
    <w:rsid w:val="2F341753"/>
    <w:rsid w:val="2F6333F4"/>
    <w:rsid w:val="2F6659BE"/>
    <w:rsid w:val="2F9075F6"/>
    <w:rsid w:val="2FB860F9"/>
    <w:rsid w:val="2FEC4779"/>
    <w:rsid w:val="30494F5E"/>
    <w:rsid w:val="304F32F8"/>
    <w:rsid w:val="307B4A76"/>
    <w:rsid w:val="309A09B8"/>
    <w:rsid w:val="30B41B88"/>
    <w:rsid w:val="30E37A78"/>
    <w:rsid w:val="31011E8B"/>
    <w:rsid w:val="31587869"/>
    <w:rsid w:val="317F3D7D"/>
    <w:rsid w:val="31B60DCF"/>
    <w:rsid w:val="31BC0D04"/>
    <w:rsid w:val="31CD0C24"/>
    <w:rsid w:val="31F0559B"/>
    <w:rsid w:val="31F30198"/>
    <w:rsid w:val="322963D4"/>
    <w:rsid w:val="32487285"/>
    <w:rsid w:val="32824BAC"/>
    <w:rsid w:val="32A01606"/>
    <w:rsid w:val="32C94A9C"/>
    <w:rsid w:val="32DA4848"/>
    <w:rsid w:val="32EF15C9"/>
    <w:rsid w:val="32EF7972"/>
    <w:rsid w:val="332D454F"/>
    <w:rsid w:val="334E1463"/>
    <w:rsid w:val="33573F06"/>
    <w:rsid w:val="33D231F8"/>
    <w:rsid w:val="33F85559"/>
    <w:rsid w:val="34157A58"/>
    <w:rsid w:val="343B0D4E"/>
    <w:rsid w:val="34431331"/>
    <w:rsid w:val="344920A7"/>
    <w:rsid w:val="34954276"/>
    <w:rsid w:val="34983E85"/>
    <w:rsid w:val="34A07D70"/>
    <w:rsid w:val="34B5590B"/>
    <w:rsid w:val="34CC35F4"/>
    <w:rsid w:val="34F03F21"/>
    <w:rsid w:val="353E331F"/>
    <w:rsid w:val="354C1DF6"/>
    <w:rsid w:val="3577140D"/>
    <w:rsid w:val="3591737C"/>
    <w:rsid w:val="359F0741"/>
    <w:rsid w:val="35A63D95"/>
    <w:rsid w:val="35AB3B2B"/>
    <w:rsid w:val="35B11597"/>
    <w:rsid w:val="360B3E62"/>
    <w:rsid w:val="362E479C"/>
    <w:rsid w:val="363B36EF"/>
    <w:rsid w:val="367F29FE"/>
    <w:rsid w:val="36CD31A6"/>
    <w:rsid w:val="36D01C1A"/>
    <w:rsid w:val="36D72917"/>
    <w:rsid w:val="36E41E01"/>
    <w:rsid w:val="370E4390"/>
    <w:rsid w:val="373A697A"/>
    <w:rsid w:val="3744619F"/>
    <w:rsid w:val="375115B8"/>
    <w:rsid w:val="375724D3"/>
    <w:rsid w:val="376F2B4C"/>
    <w:rsid w:val="37797AAB"/>
    <w:rsid w:val="37965565"/>
    <w:rsid w:val="379A7963"/>
    <w:rsid w:val="37B70A92"/>
    <w:rsid w:val="38195423"/>
    <w:rsid w:val="38332BFF"/>
    <w:rsid w:val="38F367C6"/>
    <w:rsid w:val="3917195A"/>
    <w:rsid w:val="39192682"/>
    <w:rsid w:val="3971655D"/>
    <w:rsid w:val="397A5637"/>
    <w:rsid w:val="397B07A1"/>
    <w:rsid w:val="3A2705DA"/>
    <w:rsid w:val="3A496DD4"/>
    <w:rsid w:val="3A5971A0"/>
    <w:rsid w:val="3A812C6F"/>
    <w:rsid w:val="3A8525FC"/>
    <w:rsid w:val="3AAC1548"/>
    <w:rsid w:val="3AC91B59"/>
    <w:rsid w:val="3AD4225A"/>
    <w:rsid w:val="3AFE0553"/>
    <w:rsid w:val="3B0E6A79"/>
    <w:rsid w:val="3B265EE6"/>
    <w:rsid w:val="3B2958E9"/>
    <w:rsid w:val="3B4330B3"/>
    <w:rsid w:val="3B8371A7"/>
    <w:rsid w:val="3B9153A8"/>
    <w:rsid w:val="3BB450D2"/>
    <w:rsid w:val="3BB866DB"/>
    <w:rsid w:val="3BE81CD4"/>
    <w:rsid w:val="3C016259"/>
    <w:rsid w:val="3C06218F"/>
    <w:rsid w:val="3C0C648C"/>
    <w:rsid w:val="3C412EAA"/>
    <w:rsid w:val="3C4C0B6D"/>
    <w:rsid w:val="3C5534AB"/>
    <w:rsid w:val="3C7E186B"/>
    <w:rsid w:val="3C806348"/>
    <w:rsid w:val="3C8C1D3C"/>
    <w:rsid w:val="3CC00BB7"/>
    <w:rsid w:val="3CEA3AD7"/>
    <w:rsid w:val="3D11205B"/>
    <w:rsid w:val="3D3D55B3"/>
    <w:rsid w:val="3D3F29A4"/>
    <w:rsid w:val="3DAC5982"/>
    <w:rsid w:val="3DC75DD3"/>
    <w:rsid w:val="3DF57717"/>
    <w:rsid w:val="3E1B0D12"/>
    <w:rsid w:val="3E2A2B34"/>
    <w:rsid w:val="3E50198E"/>
    <w:rsid w:val="3E87586E"/>
    <w:rsid w:val="3F0A7424"/>
    <w:rsid w:val="3F12480E"/>
    <w:rsid w:val="3F416DEB"/>
    <w:rsid w:val="3F50722A"/>
    <w:rsid w:val="3F547CFB"/>
    <w:rsid w:val="3F645D9C"/>
    <w:rsid w:val="3F8B5C98"/>
    <w:rsid w:val="3F8D2A9F"/>
    <w:rsid w:val="3FA4200D"/>
    <w:rsid w:val="3FB341CD"/>
    <w:rsid w:val="3FDD54B1"/>
    <w:rsid w:val="3FE168EF"/>
    <w:rsid w:val="400B7D6B"/>
    <w:rsid w:val="4017102C"/>
    <w:rsid w:val="40566491"/>
    <w:rsid w:val="405A34BE"/>
    <w:rsid w:val="40681E08"/>
    <w:rsid w:val="40822AFC"/>
    <w:rsid w:val="40B251CA"/>
    <w:rsid w:val="40BC217C"/>
    <w:rsid w:val="40D12F9B"/>
    <w:rsid w:val="40D50F73"/>
    <w:rsid w:val="40E765BD"/>
    <w:rsid w:val="40EF4250"/>
    <w:rsid w:val="40F577A9"/>
    <w:rsid w:val="414E6719"/>
    <w:rsid w:val="417A46D4"/>
    <w:rsid w:val="417C0BB4"/>
    <w:rsid w:val="419345E1"/>
    <w:rsid w:val="41940CDA"/>
    <w:rsid w:val="41BB7F90"/>
    <w:rsid w:val="41CF0BCF"/>
    <w:rsid w:val="41D427C4"/>
    <w:rsid w:val="41E04248"/>
    <w:rsid w:val="42042CCA"/>
    <w:rsid w:val="42EA1278"/>
    <w:rsid w:val="430E2E86"/>
    <w:rsid w:val="431437FB"/>
    <w:rsid w:val="432253F9"/>
    <w:rsid w:val="432969BD"/>
    <w:rsid w:val="433C6D75"/>
    <w:rsid w:val="43482809"/>
    <w:rsid w:val="43727FC7"/>
    <w:rsid w:val="43794BD1"/>
    <w:rsid w:val="43962EE7"/>
    <w:rsid w:val="43AE289B"/>
    <w:rsid w:val="43C439B5"/>
    <w:rsid w:val="43F11169"/>
    <w:rsid w:val="443B6090"/>
    <w:rsid w:val="44716743"/>
    <w:rsid w:val="44781099"/>
    <w:rsid w:val="448D3228"/>
    <w:rsid w:val="449C0BA5"/>
    <w:rsid w:val="44D70159"/>
    <w:rsid w:val="44F8685E"/>
    <w:rsid w:val="4553238D"/>
    <w:rsid w:val="456C43D6"/>
    <w:rsid w:val="458F25CF"/>
    <w:rsid w:val="45C134D5"/>
    <w:rsid w:val="45D60266"/>
    <w:rsid w:val="45E47C60"/>
    <w:rsid w:val="461A78A6"/>
    <w:rsid w:val="46580445"/>
    <w:rsid w:val="46750922"/>
    <w:rsid w:val="469C0D40"/>
    <w:rsid w:val="46A301C2"/>
    <w:rsid w:val="46B215A3"/>
    <w:rsid w:val="46C36755"/>
    <w:rsid w:val="46D027AA"/>
    <w:rsid w:val="46D16AA8"/>
    <w:rsid w:val="4705172D"/>
    <w:rsid w:val="471B27D2"/>
    <w:rsid w:val="47440ED2"/>
    <w:rsid w:val="475700FA"/>
    <w:rsid w:val="476D59B2"/>
    <w:rsid w:val="47723768"/>
    <w:rsid w:val="479D6455"/>
    <w:rsid w:val="47D14699"/>
    <w:rsid w:val="47D65792"/>
    <w:rsid w:val="47D9353C"/>
    <w:rsid w:val="47FB70B2"/>
    <w:rsid w:val="483219A8"/>
    <w:rsid w:val="48516B09"/>
    <w:rsid w:val="485F0E48"/>
    <w:rsid w:val="487116DE"/>
    <w:rsid w:val="48875C49"/>
    <w:rsid w:val="48B42737"/>
    <w:rsid w:val="48B5112D"/>
    <w:rsid w:val="48BA1ECA"/>
    <w:rsid w:val="48D61C1C"/>
    <w:rsid w:val="48DD2962"/>
    <w:rsid w:val="48F75EF7"/>
    <w:rsid w:val="49340CA0"/>
    <w:rsid w:val="49413270"/>
    <w:rsid w:val="4942032F"/>
    <w:rsid w:val="49490BB1"/>
    <w:rsid w:val="49692915"/>
    <w:rsid w:val="49EF1F42"/>
    <w:rsid w:val="49F54794"/>
    <w:rsid w:val="4A0355CE"/>
    <w:rsid w:val="4A1A1CDC"/>
    <w:rsid w:val="4A3847B0"/>
    <w:rsid w:val="4A3F772C"/>
    <w:rsid w:val="4A6603DD"/>
    <w:rsid w:val="4A6E7668"/>
    <w:rsid w:val="4A771F2A"/>
    <w:rsid w:val="4AAE2EEE"/>
    <w:rsid w:val="4AE81E2D"/>
    <w:rsid w:val="4B976D28"/>
    <w:rsid w:val="4B992729"/>
    <w:rsid w:val="4B9A4FBC"/>
    <w:rsid w:val="4BAB7C29"/>
    <w:rsid w:val="4BE80D6A"/>
    <w:rsid w:val="4BF14E5C"/>
    <w:rsid w:val="4C1916D1"/>
    <w:rsid w:val="4C3A3D0D"/>
    <w:rsid w:val="4C556FA5"/>
    <w:rsid w:val="4CE21286"/>
    <w:rsid w:val="4CE4545C"/>
    <w:rsid w:val="4D2301A6"/>
    <w:rsid w:val="4D397E04"/>
    <w:rsid w:val="4D750D7E"/>
    <w:rsid w:val="4DA237EC"/>
    <w:rsid w:val="4DD1007C"/>
    <w:rsid w:val="4DD80FF0"/>
    <w:rsid w:val="4DF37665"/>
    <w:rsid w:val="4E6434DF"/>
    <w:rsid w:val="4EBC4081"/>
    <w:rsid w:val="4ED175C7"/>
    <w:rsid w:val="4EEE09CE"/>
    <w:rsid w:val="4F706460"/>
    <w:rsid w:val="4F96706C"/>
    <w:rsid w:val="4F982BE8"/>
    <w:rsid w:val="4FA060F5"/>
    <w:rsid w:val="4FB0492F"/>
    <w:rsid w:val="4FB97BF4"/>
    <w:rsid w:val="4FC915F8"/>
    <w:rsid w:val="4FCA77BD"/>
    <w:rsid w:val="50026152"/>
    <w:rsid w:val="50227DCE"/>
    <w:rsid w:val="503F4144"/>
    <w:rsid w:val="504E4277"/>
    <w:rsid w:val="506F3038"/>
    <w:rsid w:val="50F07683"/>
    <w:rsid w:val="5122746C"/>
    <w:rsid w:val="5141571D"/>
    <w:rsid w:val="51650159"/>
    <w:rsid w:val="516C70A1"/>
    <w:rsid w:val="519C25A2"/>
    <w:rsid w:val="51AE2414"/>
    <w:rsid w:val="51F81FB4"/>
    <w:rsid w:val="52002EB5"/>
    <w:rsid w:val="525C4143"/>
    <w:rsid w:val="528C2526"/>
    <w:rsid w:val="528D1CB0"/>
    <w:rsid w:val="52907286"/>
    <w:rsid w:val="52B85D86"/>
    <w:rsid w:val="53066A39"/>
    <w:rsid w:val="53084074"/>
    <w:rsid w:val="53217231"/>
    <w:rsid w:val="5325507F"/>
    <w:rsid w:val="53296229"/>
    <w:rsid w:val="532A04C8"/>
    <w:rsid w:val="534B0C47"/>
    <w:rsid w:val="535359BC"/>
    <w:rsid w:val="5360776D"/>
    <w:rsid w:val="537261AA"/>
    <w:rsid w:val="53DD63C6"/>
    <w:rsid w:val="53E37B30"/>
    <w:rsid w:val="53E411F3"/>
    <w:rsid w:val="53E7314D"/>
    <w:rsid w:val="54103240"/>
    <w:rsid w:val="54205240"/>
    <w:rsid w:val="543E0321"/>
    <w:rsid w:val="54653E39"/>
    <w:rsid w:val="54733964"/>
    <w:rsid w:val="5489388D"/>
    <w:rsid w:val="54B20F58"/>
    <w:rsid w:val="54E01D58"/>
    <w:rsid w:val="551032A1"/>
    <w:rsid w:val="55326A62"/>
    <w:rsid w:val="55341492"/>
    <w:rsid w:val="558B0EF2"/>
    <w:rsid w:val="55A654FA"/>
    <w:rsid w:val="55C8689E"/>
    <w:rsid w:val="56195DC5"/>
    <w:rsid w:val="562D782B"/>
    <w:rsid w:val="564473AD"/>
    <w:rsid w:val="56473F5F"/>
    <w:rsid w:val="5671771B"/>
    <w:rsid w:val="56B26734"/>
    <w:rsid w:val="56C4138E"/>
    <w:rsid w:val="56CF42A3"/>
    <w:rsid w:val="56D21446"/>
    <w:rsid w:val="56D25E29"/>
    <w:rsid w:val="56D4166D"/>
    <w:rsid w:val="56D918DF"/>
    <w:rsid w:val="572A056F"/>
    <w:rsid w:val="572F2122"/>
    <w:rsid w:val="57513E3C"/>
    <w:rsid w:val="575E71D1"/>
    <w:rsid w:val="577379DD"/>
    <w:rsid w:val="57780285"/>
    <w:rsid w:val="579272E0"/>
    <w:rsid w:val="57BD2B55"/>
    <w:rsid w:val="57CB7122"/>
    <w:rsid w:val="57DE0364"/>
    <w:rsid w:val="57EC63B3"/>
    <w:rsid w:val="57ED093C"/>
    <w:rsid w:val="583F6544"/>
    <w:rsid w:val="58705983"/>
    <w:rsid w:val="589B3689"/>
    <w:rsid w:val="58B51E2F"/>
    <w:rsid w:val="58C67724"/>
    <w:rsid w:val="58D2007B"/>
    <w:rsid w:val="58EF2AD7"/>
    <w:rsid w:val="58F74373"/>
    <w:rsid w:val="592B2BC8"/>
    <w:rsid w:val="5945570A"/>
    <w:rsid w:val="598A1022"/>
    <w:rsid w:val="5A03634B"/>
    <w:rsid w:val="5A070314"/>
    <w:rsid w:val="5A5538A1"/>
    <w:rsid w:val="5A935923"/>
    <w:rsid w:val="5AA20FEB"/>
    <w:rsid w:val="5AE570C3"/>
    <w:rsid w:val="5B5267B9"/>
    <w:rsid w:val="5B5F034D"/>
    <w:rsid w:val="5B64318C"/>
    <w:rsid w:val="5B696965"/>
    <w:rsid w:val="5BC05588"/>
    <w:rsid w:val="5BC237E2"/>
    <w:rsid w:val="5BE21F66"/>
    <w:rsid w:val="5BFB37A6"/>
    <w:rsid w:val="5C003F3A"/>
    <w:rsid w:val="5C240C7B"/>
    <w:rsid w:val="5C3172D8"/>
    <w:rsid w:val="5C483AC9"/>
    <w:rsid w:val="5CA52AF5"/>
    <w:rsid w:val="5CCE1A7B"/>
    <w:rsid w:val="5CE509CB"/>
    <w:rsid w:val="5CFE68E7"/>
    <w:rsid w:val="5D30075B"/>
    <w:rsid w:val="5D364E5E"/>
    <w:rsid w:val="5D42415C"/>
    <w:rsid w:val="5D73146B"/>
    <w:rsid w:val="5DA35F0B"/>
    <w:rsid w:val="5DB973CA"/>
    <w:rsid w:val="5DDE2965"/>
    <w:rsid w:val="5DF93621"/>
    <w:rsid w:val="5DFF13CA"/>
    <w:rsid w:val="5E0B635A"/>
    <w:rsid w:val="5E586955"/>
    <w:rsid w:val="5E8E1990"/>
    <w:rsid w:val="5EA11D24"/>
    <w:rsid w:val="5EAA0207"/>
    <w:rsid w:val="5EC67E8E"/>
    <w:rsid w:val="5ED92AEC"/>
    <w:rsid w:val="5F081D11"/>
    <w:rsid w:val="5F372A1F"/>
    <w:rsid w:val="5F450AC7"/>
    <w:rsid w:val="5F460C39"/>
    <w:rsid w:val="5F5F1B50"/>
    <w:rsid w:val="5F8B191C"/>
    <w:rsid w:val="5FA13619"/>
    <w:rsid w:val="5FED30E0"/>
    <w:rsid w:val="60210B27"/>
    <w:rsid w:val="605B7E8A"/>
    <w:rsid w:val="607B06DD"/>
    <w:rsid w:val="609E675C"/>
    <w:rsid w:val="60A6410B"/>
    <w:rsid w:val="60B00C54"/>
    <w:rsid w:val="60B9631D"/>
    <w:rsid w:val="60BC7A45"/>
    <w:rsid w:val="60E03C58"/>
    <w:rsid w:val="60E45F26"/>
    <w:rsid w:val="610B3038"/>
    <w:rsid w:val="613B6F0D"/>
    <w:rsid w:val="615156EA"/>
    <w:rsid w:val="6157463B"/>
    <w:rsid w:val="6194649D"/>
    <w:rsid w:val="61B11A34"/>
    <w:rsid w:val="61BA3C54"/>
    <w:rsid w:val="61C979F2"/>
    <w:rsid w:val="61D95E93"/>
    <w:rsid w:val="61E84DE5"/>
    <w:rsid w:val="61E91867"/>
    <w:rsid w:val="6200172D"/>
    <w:rsid w:val="62012E19"/>
    <w:rsid w:val="620C4DF8"/>
    <w:rsid w:val="62396880"/>
    <w:rsid w:val="62946B22"/>
    <w:rsid w:val="62B11F77"/>
    <w:rsid w:val="62D2414E"/>
    <w:rsid w:val="62FE72D8"/>
    <w:rsid w:val="630036CA"/>
    <w:rsid w:val="63431ADD"/>
    <w:rsid w:val="634D2D5C"/>
    <w:rsid w:val="635B293C"/>
    <w:rsid w:val="63643970"/>
    <w:rsid w:val="63686109"/>
    <w:rsid w:val="63856413"/>
    <w:rsid w:val="639A4ED2"/>
    <w:rsid w:val="63D201A3"/>
    <w:rsid w:val="63D83E90"/>
    <w:rsid w:val="64003D27"/>
    <w:rsid w:val="640F08FE"/>
    <w:rsid w:val="646E04C5"/>
    <w:rsid w:val="64704295"/>
    <w:rsid w:val="64773012"/>
    <w:rsid w:val="647D78F9"/>
    <w:rsid w:val="64A13996"/>
    <w:rsid w:val="64AD388C"/>
    <w:rsid w:val="64AD62C1"/>
    <w:rsid w:val="64B60830"/>
    <w:rsid w:val="64EB60D2"/>
    <w:rsid w:val="653122C2"/>
    <w:rsid w:val="65734859"/>
    <w:rsid w:val="657E6542"/>
    <w:rsid w:val="658657D3"/>
    <w:rsid w:val="66291EF4"/>
    <w:rsid w:val="66756145"/>
    <w:rsid w:val="668F231C"/>
    <w:rsid w:val="66C66E69"/>
    <w:rsid w:val="66D962DA"/>
    <w:rsid w:val="67115471"/>
    <w:rsid w:val="67660B91"/>
    <w:rsid w:val="67834728"/>
    <w:rsid w:val="67972079"/>
    <w:rsid w:val="67E623F7"/>
    <w:rsid w:val="68102598"/>
    <w:rsid w:val="681253D0"/>
    <w:rsid w:val="68531F59"/>
    <w:rsid w:val="685A6D95"/>
    <w:rsid w:val="689166A8"/>
    <w:rsid w:val="68AF10F7"/>
    <w:rsid w:val="68B05E45"/>
    <w:rsid w:val="68DC740A"/>
    <w:rsid w:val="68E15E4A"/>
    <w:rsid w:val="68F2680E"/>
    <w:rsid w:val="69271690"/>
    <w:rsid w:val="698F289D"/>
    <w:rsid w:val="69BA03A8"/>
    <w:rsid w:val="69C55233"/>
    <w:rsid w:val="69CD78F2"/>
    <w:rsid w:val="69DE7098"/>
    <w:rsid w:val="69EB0D20"/>
    <w:rsid w:val="69FB5F53"/>
    <w:rsid w:val="69FB747C"/>
    <w:rsid w:val="6A1C22CC"/>
    <w:rsid w:val="6A436251"/>
    <w:rsid w:val="6A477C6E"/>
    <w:rsid w:val="6A5935AC"/>
    <w:rsid w:val="6ADC50AC"/>
    <w:rsid w:val="6AE866A8"/>
    <w:rsid w:val="6AF619D0"/>
    <w:rsid w:val="6B051D29"/>
    <w:rsid w:val="6B106310"/>
    <w:rsid w:val="6B200B0E"/>
    <w:rsid w:val="6B2E1248"/>
    <w:rsid w:val="6B445E6A"/>
    <w:rsid w:val="6B703D33"/>
    <w:rsid w:val="6B711B7A"/>
    <w:rsid w:val="6B7C07EC"/>
    <w:rsid w:val="6B825209"/>
    <w:rsid w:val="6BE8725E"/>
    <w:rsid w:val="6C152647"/>
    <w:rsid w:val="6C231EE1"/>
    <w:rsid w:val="6C2F6077"/>
    <w:rsid w:val="6C6608D6"/>
    <w:rsid w:val="6CA64834"/>
    <w:rsid w:val="6CD65D0D"/>
    <w:rsid w:val="6CF665AA"/>
    <w:rsid w:val="6D290059"/>
    <w:rsid w:val="6D4226CE"/>
    <w:rsid w:val="6D722C89"/>
    <w:rsid w:val="6D7633B3"/>
    <w:rsid w:val="6D8D7A35"/>
    <w:rsid w:val="6DDB69F4"/>
    <w:rsid w:val="6E4F523E"/>
    <w:rsid w:val="6E5729A2"/>
    <w:rsid w:val="6E583A1F"/>
    <w:rsid w:val="6E6534D4"/>
    <w:rsid w:val="6E797201"/>
    <w:rsid w:val="6E904C77"/>
    <w:rsid w:val="6EAB742B"/>
    <w:rsid w:val="6EB0558D"/>
    <w:rsid w:val="6EC26B05"/>
    <w:rsid w:val="6EC6113E"/>
    <w:rsid w:val="6EF814C0"/>
    <w:rsid w:val="6F170E2C"/>
    <w:rsid w:val="6F1D20DD"/>
    <w:rsid w:val="6F525975"/>
    <w:rsid w:val="6F710B56"/>
    <w:rsid w:val="6FB64BC1"/>
    <w:rsid w:val="70103DD3"/>
    <w:rsid w:val="70531535"/>
    <w:rsid w:val="705D3226"/>
    <w:rsid w:val="70672A43"/>
    <w:rsid w:val="70695E17"/>
    <w:rsid w:val="70715556"/>
    <w:rsid w:val="70BF0D6E"/>
    <w:rsid w:val="70E01DD1"/>
    <w:rsid w:val="71027CA7"/>
    <w:rsid w:val="71483D3D"/>
    <w:rsid w:val="71597165"/>
    <w:rsid w:val="717D26FC"/>
    <w:rsid w:val="71820A5A"/>
    <w:rsid w:val="718544F1"/>
    <w:rsid w:val="71976AED"/>
    <w:rsid w:val="71F60334"/>
    <w:rsid w:val="720B7DE1"/>
    <w:rsid w:val="721F1D01"/>
    <w:rsid w:val="725D4C71"/>
    <w:rsid w:val="7267179D"/>
    <w:rsid w:val="727C3FA9"/>
    <w:rsid w:val="72830348"/>
    <w:rsid w:val="72983E5C"/>
    <w:rsid w:val="72AE1298"/>
    <w:rsid w:val="72BB09E0"/>
    <w:rsid w:val="72C2124A"/>
    <w:rsid w:val="72C62EAF"/>
    <w:rsid w:val="72F35FC5"/>
    <w:rsid w:val="730A3594"/>
    <w:rsid w:val="73123BDD"/>
    <w:rsid w:val="731F79AD"/>
    <w:rsid w:val="7341102A"/>
    <w:rsid w:val="73A17E6A"/>
    <w:rsid w:val="73C74156"/>
    <w:rsid w:val="73D46903"/>
    <w:rsid w:val="73E16D57"/>
    <w:rsid w:val="744043D7"/>
    <w:rsid w:val="745C3615"/>
    <w:rsid w:val="746049BA"/>
    <w:rsid w:val="74874E5A"/>
    <w:rsid w:val="74A2568B"/>
    <w:rsid w:val="74BB1708"/>
    <w:rsid w:val="74D142ED"/>
    <w:rsid w:val="74FB165A"/>
    <w:rsid w:val="753A234E"/>
    <w:rsid w:val="75D343BB"/>
    <w:rsid w:val="76021882"/>
    <w:rsid w:val="761617BE"/>
    <w:rsid w:val="762B6181"/>
    <w:rsid w:val="766574D1"/>
    <w:rsid w:val="767C3DB4"/>
    <w:rsid w:val="76D0390B"/>
    <w:rsid w:val="76DE1045"/>
    <w:rsid w:val="77AF2483"/>
    <w:rsid w:val="77D40866"/>
    <w:rsid w:val="77D64484"/>
    <w:rsid w:val="77E92124"/>
    <w:rsid w:val="77E922B4"/>
    <w:rsid w:val="78237AE9"/>
    <w:rsid w:val="786258A4"/>
    <w:rsid w:val="78AF7EA4"/>
    <w:rsid w:val="78C13124"/>
    <w:rsid w:val="78D731DC"/>
    <w:rsid w:val="78E63711"/>
    <w:rsid w:val="78F0082E"/>
    <w:rsid w:val="7928350F"/>
    <w:rsid w:val="79330AE4"/>
    <w:rsid w:val="7969405B"/>
    <w:rsid w:val="797343AF"/>
    <w:rsid w:val="798B1783"/>
    <w:rsid w:val="79B2108A"/>
    <w:rsid w:val="79B85AD5"/>
    <w:rsid w:val="7A417E6A"/>
    <w:rsid w:val="7A7F6D5D"/>
    <w:rsid w:val="7A98347A"/>
    <w:rsid w:val="7AA222D1"/>
    <w:rsid w:val="7AC7641E"/>
    <w:rsid w:val="7B2C0F71"/>
    <w:rsid w:val="7B647A4A"/>
    <w:rsid w:val="7B691169"/>
    <w:rsid w:val="7B6C692E"/>
    <w:rsid w:val="7B8B77FD"/>
    <w:rsid w:val="7BC71689"/>
    <w:rsid w:val="7BE20360"/>
    <w:rsid w:val="7BE67290"/>
    <w:rsid w:val="7C274813"/>
    <w:rsid w:val="7C3E7408"/>
    <w:rsid w:val="7C6228EF"/>
    <w:rsid w:val="7C78688F"/>
    <w:rsid w:val="7C8F5DAC"/>
    <w:rsid w:val="7C982D50"/>
    <w:rsid w:val="7CE76251"/>
    <w:rsid w:val="7D21376C"/>
    <w:rsid w:val="7D3943CC"/>
    <w:rsid w:val="7D7C4A81"/>
    <w:rsid w:val="7D8A049A"/>
    <w:rsid w:val="7D8B198E"/>
    <w:rsid w:val="7DC11F47"/>
    <w:rsid w:val="7DFC7E2B"/>
    <w:rsid w:val="7E2F3CFD"/>
    <w:rsid w:val="7E404331"/>
    <w:rsid w:val="7E955D77"/>
    <w:rsid w:val="7EB34175"/>
    <w:rsid w:val="7EB97E89"/>
    <w:rsid w:val="7ED72C8B"/>
    <w:rsid w:val="7F183048"/>
    <w:rsid w:val="7F8B1A78"/>
    <w:rsid w:val="7FA418D8"/>
    <w:rsid w:val="7FA92784"/>
    <w:rsid w:val="7FA966C6"/>
    <w:rsid w:val="7FD7418E"/>
    <w:rsid w:val="7FDD570F"/>
    <w:rsid w:val="7FE858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7"/>
    <w:qFormat/>
    <w:uiPriority w:val="0"/>
    <w:pPr>
      <w:keepNext/>
      <w:keepLines/>
      <w:spacing w:before="260" w:after="260" w:line="413" w:lineRule="auto"/>
      <w:outlineLvl w:val="1"/>
    </w:pPr>
    <w:rPr>
      <w:rFonts w:ascii="Arial" w:hAnsi="Arial" w:eastAsia="黑体"/>
      <w:b/>
      <w:sz w:val="32"/>
    </w:rPr>
  </w:style>
  <w:style w:type="paragraph" w:styleId="4">
    <w:name w:val="heading 4"/>
    <w:basedOn w:val="1"/>
    <w:next w:val="1"/>
    <w:qFormat/>
    <w:uiPriority w:val="0"/>
    <w:pPr>
      <w:keepNext/>
      <w:keepLines/>
      <w:outlineLvl w:val="3"/>
    </w:pPr>
    <w:rPr>
      <w:rFonts w:ascii="Arial" w:hAnsi="Arial" w:eastAsia="黑体"/>
      <w:bCs/>
      <w:kern w:val="0"/>
      <w:sz w:val="24"/>
      <w:szCs w:val="28"/>
    </w:rPr>
  </w:style>
  <w:style w:type="character" w:default="1" w:styleId="18">
    <w:name w:val="Default Paragraph Font"/>
    <w:unhideWhenUsed/>
    <w:uiPriority w:val="1"/>
  </w:style>
  <w:style w:type="table" w:default="1" w:styleId="16">
    <w:name w:val="Normal Table"/>
    <w:unhideWhenUsed/>
    <w:qFormat/>
    <w:uiPriority w:val="99"/>
    <w:tblPr>
      <w:tblStyle w:val="16"/>
      <w:tblCellMar>
        <w:top w:w="0" w:type="dxa"/>
        <w:left w:w="108" w:type="dxa"/>
        <w:bottom w:w="0" w:type="dxa"/>
        <w:right w:w="108" w:type="dxa"/>
      </w:tblCellMar>
    </w:tblPr>
  </w:style>
  <w:style w:type="paragraph" w:styleId="5">
    <w:name w:val="annotation text"/>
    <w:basedOn w:val="1"/>
    <w:link w:val="23"/>
    <w:unhideWhenUsed/>
    <w:qFormat/>
    <w:uiPriority w:val="99"/>
    <w:pPr>
      <w:jc w:val="left"/>
    </w:pPr>
  </w:style>
  <w:style w:type="paragraph" w:styleId="6">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szCs w:val="22"/>
    </w:rPr>
  </w:style>
  <w:style w:type="paragraph" w:styleId="7">
    <w:name w:val="Plain Text"/>
    <w:basedOn w:val="1"/>
    <w:link w:val="28"/>
    <w:qFormat/>
    <w:uiPriority w:val="99"/>
    <w:rPr>
      <w:rFonts w:ascii="宋体" w:hAnsi="Courier New" w:cs="Courier New"/>
      <w:szCs w:val="21"/>
    </w:rPr>
  </w:style>
  <w:style w:type="paragraph" w:styleId="8">
    <w:name w:val="Date"/>
    <w:basedOn w:val="1"/>
    <w:next w:val="1"/>
    <w:link w:val="22"/>
    <w:uiPriority w:val="0"/>
    <w:pPr>
      <w:ind w:left="100" w:leftChars="2500"/>
    </w:pPr>
  </w:style>
  <w:style w:type="paragraph" w:styleId="9">
    <w:name w:val="Balloon Text"/>
    <w:basedOn w:val="1"/>
    <w:link w:val="24"/>
    <w:uiPriority w:val="0"/>
    <w:rPr>
      <w:sz w:val="18"/>
      <w:szCs w:val="18"/>
    </w:rPr>
  </w:style>
  <w:style w:type="paragraph" w:styleId="10">
    <w:name w:val="footer"/>
    <w:basedOn w:val="1"/>
    <w:link w:val="26"/>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5">
    <w:name w:val="annotation subject"/>
    <w:basedOn w:val="5"/>
    <w:next w:val="5"/>
    <w:link w:val="25"/>
    <w:uiPriority w:val="0"/>
    <w:rPr>
      <w:b/>
      <w:bCs/>
    </w:rPr>
  </w:style>
  <w:style w:type="table" w:styleId="17">
    <w:name w:val="Table Grid"/>
    <w:basedOn w:val="16"/>
    <w:qFormat/>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rPr>
  </w:style>
  <w:style w:type="character" w:styleId="20">
    <w:name w:val="Hyperlink"/>
    <w:qFormat/>
    <w:uiPriority w:val="99"/>
    <w:rPr>
      <w:color w:val="0000FF"/>
      <w:u w:val="single"/>
    </w:rPr>
  </w:style>
  <w:style w:type="character" w:styleId="21">
    <w:name w:val="annotation reference"/>
    <w:unhideWhenUsed/>
    <w:qFormat/>
    <w:uiPriority w:val="99"/>
    <w:rPr>
      <w:sz w:val="21"/>
      <w:szCs w:val="21"/>
    </w:rPr>
  </w:style>
  <w:style w:type="character" w:customStyle="1" w:styleId="22">
    <w:name w:val="日期 字符"/>
    <w:link w:val="8"/>
    <w:uiPriority w:val="0"/>
    <w:rPr>
      <w:rFonts w:ascii="Calibri" w:hAnsi="Calibri" w:eastAsia="宋体" w:cs="Times New Roman"/>
      <w:kern w:val="2"/>
      <w:sz w:val="21"/>
      <w:szCs w:val="24"/>
    </w:rPr>
  </w:style>
  <w:style w:type="character" w:customStyle="1" w:styleId="23">
    <w:name w:val="批注文字 字符"/>
    <w:link w:val="5"/>
    <w:uiPriority w:val="99"/>
    <w:rPr>
      <w:rFonts w:ascii="Calibri" w:hAnsi="Calibri" w:eastAsia="宋体" w:cs="Times New Roman"/>
      <w:kern w:val="2"/>
      <w:sz w:val="21"/>
      <w:szCs w:val="24"/>
    </w:rPr>
  </w:style>
  <w:style w:type="character" w:customStyle="1" w:styleId="24">
    <w:name w:val="批注框文本 字符"/>
    <w:link w:val="9"/>
    <w:uiPriority w:val="0"/>
    <w:rPr>
      <w:rFonts w:ascii="Calibri" w:hAnsi="Calibri" w:eastAsia="宋体" w:cs="Times New Roman"/>
      <w:kern w:val="2"/>
      <w:sz w:val="18"/>
      <w:szCs w:val="18"/>
    </w:rPr>
  </w:style>
  <w:style w:type="character" w:customStyle="1" w:styleId="25">
    <w:name w:val="批注主题 字符"/>
    <w:link w:val="15"/>
    <w:uiPriority w:val="0"/>
    <w:rPr>
      <w:rFonts w:ascii="Calibri" w:hAnsi="Calibri" w:eastAsia="宋体" w:cs="Times New Roman"/>
      <w:b/>
      <w:bCs/>
      <w:kern w:val="2"/>
      <w:sz w:val="21"/>
      <w:szCs w:val="24"/>
    </w:rPr>
  </w:style>
  <w:style w:type="character" w:customStyle="1" w:styleId="26">
    <w:name w:val="页脚 字符"/>
    <w:link w:val="10"/>
    <w:uiPriority w:val="99"/>
    <w:rPr>
      <w:kern w:val="2"/>
      <w:sz w:val="18"/>
      <w:szCs w:val="24"/>
    </w:rPr>
  </w:style>
  <w:style w:type="character" w:customStyle="1" w:styleId="27">
    <w:name w:val="标题 2 字符"/>
    <w:link w:val="3"/>
    <w:uiPriority w:val="0"/>
    <w:rPr>
      <w:rFonts w:ascii="Arial" w:hAnsi="Arial" w:eastAsia="黑体"/>
      <w:b/>
      <w:kern w:val="2"/>
      <w:sz w:val="32"/>
      <w:szCs w:val="24"/>
    </w:rPr>
  </w:style>
  <w:style w:type="character" w:customStyle="1" w:styleId="28">
    <w:name w:val="纯文本 字符"/>
    <w:link w:val="7"/>
    <w:uiPriority w:val="99"/>
    <w:rPr>
      <w:rFonts w:ascii="宋体" w:hAnsi="Courier New" w:eastAsia="宋体" w:cs="Courier New"/>
      <w:kern w:val="2"/>
      <w:sz w:val="21"/>
      <w:szCs w:val="21"/>
    </w:rPr>
  </w:style>
  <w:style w:type="paragraph" w:customStyle="1" w:styleId="29">
    <w:name w:val="列出段落11"/>
    <w:basedOn w:val="1"/>
    <w:qFormat/>
    <w:uiPriority w:val="34"/>
    <w:pPr>
      <w:ind w:firstLine="420" w:firstLineChars="200"/>
    </w:pPr>
    <w:rPr>
      <w:rFonts w:ascii="Calibri" w:hAnsi="Calibri" w:eastAsia="宋体" w:cs="Times New Roman"/>
      <w:szCs w:val="22"/>
      <w:lang w:val="zh-CN"/>
    </w:rPr>
  </w:style>
  <w:style w:type="paragraph" w:styleId="30">
    <w:name w:val="List Paragraph"/>
    <w:basedOn w:val="1"/>
    <w:qFormat/>
    <w:uiPriority w:val="34"/>
    <w:pPr>
      <w:ind w:firstLine="420" w:firstLineChars="200"/>
    </w:pPr>
  </w:style>
  <w:style w:type="paragraph" w:styleId="31">
    <w:name w:val=""/>
    <w:basedOn w:val="2"/>
    <w:next w:val="1"/>
    <w:qFormat/>
    <w:uiPriority w:val="39"/>
    <w:pPr>
      <w:widowControl/>
      <w:spacing w:before="480" w:after="0" w:line="276" w:lineRule="auto"/>
      <w:jc w:val="left"/>
      <w:outlineLvl w:val="9"/>
    </w:pPr>
    <w:rPr>
      <w:rFonts w:ascii="Calibri Light" w:hAnsi="Calibri Light" w:eastAsia="宋体" w:cs="Times New Roman"/>
      <w:bCs/>
      <w:color w:val="2E74B5"/>
      <w:kern w:val="0"/>
      <w:sz w:val="28"/>
      <w:szCs w:val="28"/>
    </w:rPr>
  </w:style>
  <w:style w:type="paragraph" w:customStyle="1" w:styleId="32">
    <w:name w:val="样式1"/>
    <w:basedOn w:val="1"/>
    <w:qFormat/>
    <w:uiPriority w:val="0"/>
    <w:pPr>
      <w:numPr>
        <w:ilvl w:val="0"/>
        <w:numId w:val="1"/>
      </w:numPr>
      <w:adjustRightInd w:val="0"/>
      <w:textAlignment w:val="baseline"/>
    </w:pPr>
    <w:rPr>
      <w:rFonts w:ascii="宋体" w:hAnsi="宋体"/>
      <w:kern w:val="0"/>
      <w:szCs w:val="21"/>
    </w:rPr>
  </w:style>
  <w:style w:type="paragraph" w:styleId="33">
    <w:name w:val=""/>
    <w:unhideWhenUsed/>
    <w:uiPriority w:val="99"/>
    <w:rPr>
      <w:kern w:val="2"/>
      <w:sz w:val="21"/>
      <w:szCs w:val="24"/>
      <w:lang w:val="en-US" w:eastAsia="zh-CN" w:bidi="ar-SA"/>
    </w:rPr>
  </w:style>
  <w:style w:type="paragraph" w:customStyle="1" w:styleId="34">
    <w:name w:val="WPSOffice手动目录 1"/>
    <w:uiPriority w:val="0"/>
    <w:rPr>
      <w:lang w:val="en-US" w:eastAsia="zh-CN" w:bidi="ar-SA"/>
    </w:rPr>
  </w:style>
  <w:style w:type="paragraph" w:customStyle="1" w:styleId="35">
    <w:name w:val="样式"/>
    <w:qFormat/>
    <w:uiPriority w:val="0"/>
    <w:pPr>
      <w:widowControl w:val="0"/>
      <w:autoSpaceDE w:val="0"/>
      <w:autoSpaceDN w:val="0"/>
      <w:adjustRightInd w:val="0"/>
    </w:pPr>
    <w:rPr>
      <w:rFonts w:ascii="宋体" w:hAnsi="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5355</Words>
  <Characters>30530</Characters>
  <Lines>254</Lines>
  <Paragraphs>71</Paragraphs>
  <TotalTime>1</TotalTime>
  <ScaleCrop>false</ScaleCrop>
  <LinksUpToDate>false</LinksUpToDate>
  <CharactersWithSpaces>35814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2018-12-23T06:56:00Z</dcterms:created>
  <dc:creator>meimei</dc:creator>
  <cp:lastModifiedBy>Administrator</cp:lastModifiedBy>
  <cp:lastPrinted>2019-12-27T06:13:00Z</cp:lastPrinted>
  <dcterms:modified xsi:type="dcterms:W3CDTF">2022-06-13T07:35:22Z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463A840514484FE6B4894458E9C2A84D</vt:lpwstr>
  </property>
</Properties>
</file>