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eastAsia="仿宋"/>
          <w:sz w:val="52"/>
          <w:szCs w:val="52"/>
          <w:lang w:eastAsia="zh-CN"/>
        </w:rPr>
      </w:pPr>
      <w:bookmarkStart w:id="0" w:name="_GoBack"/>
      <w:bookmarkEnd w:id="0"/>
      <w:r>
        <w:rPr>
          <w:rFonts w:hint="eastAsia"/>
          <w:sz w:val="52"/>
          <w:szCs w:val="52"/>
          <w:lang w:eastAsia="zh-CN"/>
        </w:rPr>
        <w:t>项目需求</w:t>
      </w:r>
    </w:p>
    <w:p>
      <w:pPr>
        <w:pStyle w:val="2"/>
      </w:pPr>
      <w:r>
        <w:t>项目名称</w:t>
      </w:r>
    </w:p>
    <w:p>
      <w:pPr>
        <w:pStyle w:val="7"/>
        <w:ind w:firstLine="480"/>
      </w:pPr>
      <w:r>
        <w:rPr>
          <w:rFonts w:hint="eastAsia"/>
        </w:rPr>
        <w:t>营口市医疗保障事务中心一体机采购</w:t>
      </w:r>
    </w:p>
    <w:p>
      <w:pPr>
        <w:pStyle w:val="2"/>
      </w:pPr>
      <w:r>
        <w:rPr>
          <w:rFonts w:hint="eastAsia"/>
        </w:rPr>
        <w:t>项目预算</w:t>
      </w:r>
    </w:p>
    <w:p>
      <w:pPr>
        <w:pStyle w:val="7"/>
        <w:ind w:left="420" w:firstLine="0" w:firstLineChars="0"/>
      </w:pPr>
      <w:r>
        <w:rPr>
          <w:rFonts w:hint="eastAsia"/>
        </w:rPr>
        <w:t>本项目预算人民币</w:t>
      </w:r>
      <w:r>
        <w:t>36</w:t>
      </w:r>
      <w:r>
        <w:rPr>
          <w:rFonts w:hint="eastAsia"/>
        </w:rPr>
        <w:t>万元。</w:t>
      </w:r>
    </w:p>
    <w:p>
      <w:pPr>
        <w:pStyle w:val="2"/>
      </w:pPr>
      <w:r>
        <w:t>付款方式</w:t>
      </w:r>
    </w:p>
    <w:p>
      <w:pPr>
        <w:pStyle w:val="7"/>
        <w:ind w:firstLine="480"/>
      </w:pPr>
      <w:r>
        <w:rPr>
          <w:rFonts w:hint="eastAsia"/>
        </w:rPr>
        <w:t>合同签订后一个月内付给中标人合同总额</w:t>
      </w:r>
      <w:r>
        <w:t>50%；项目验收合格后一个月内，付给中标人合同总金额50%。</w:t>
      </w:r>
    </w:p>
    <w:p>
      <w:pPr>
        <w:pStyle w:val="2"/>
      </w:pPr>
      <w:r>
        <w:rPr>
          <w:rFonts w:hint="eastAsia"/>
        </w:rPr>
        <w:t>投标入围要求</w:t>
      </w:r>
    </w:p>
    <w:p>
      <w:pPr>
        <w:pStyle w:val="7"/>
        <w:ind w:firstLine="480"/>
      </w:pPr>
      <w:r>
        <w:t>投标人承诺做到以下</w:t>
      </w:r>
      <w:r>
        <w:rPr>
          <w:rFonts w:hint="eastAsia"/>
        </w:rPr>
        <w:t>：</w:t>
      </w:r>
    </w:p>
    <w:p>
      <w:pPr>
        <w:pStyle w:val="7"/>
        <w:ind w:firstLine="480"/>
      </w:pPr>
      <w:r>
        <w:rPr>
          <w:rFonts w:hint="eastAsia"/>
        </w:rPr>
        <w:t>1.具有独立承担民事责任的能力；</w:t>
      </w:r>
    </w:p>
    <w:p>
      <w:pPr>
        <w:pStyle w:val="7"/>
        <w:ind w:firstLine="480"/>
      </w:pPr>
      <w:r>
        <w:t>2.</w:t>
      </w:r>
      <w:r>
        <w:rPr>
          <w:rFonts w:hint="eastAsia"/>
        </w:rPr>
        <w:t>具有良好的商业信誉和健全的财务会计制度；</w:t>
      </w:r>
    </w:p>
    <w:p>
      <w:pPr>
        <w:pStyle w:val="7"/>
        <w:ind w:firstLine="480"/>
      </w:pPr>
      <w:r>
        <w:t>3.</w:t>
      </w:r>
      <w:r>
        <w:rPr>
          <w:rFonts w:hint="eastAsia"/>
        </w:rPr>
        <w:t>具有履行合同所必需的设备和专业技术能力；</w:t>
      </w:r>
    </w:p>
    <w:p>
      <w:pPr>
        <w:pStyle w:val="7"/>
        <w:ind w:firstLine="480"/>
      </w:pPr>
      <w:r>
        <w:t>4.</w:t>
      </w:r>
      <w:r>
        <w:rPr>
          <w:rFonts w:hint="eastAsia"/>
        </w:rPr>
        <w:t>有依法缴纳税收和社会保障资金的良好记录；</w:t>
      </w:r>
    </w:p>
    <w:p>
      <w:pPr>
        <w:pStyle w:val="7"/>
        <w:ind w:firstLine="480"/>
      </w:pPr>
      <w:r>
        <w:t>5.</w:t>
      </w:r>
      <w:r>
        <w:rPr>
          <w:rFonts w:hint="eastAsia"/>
        </w:rPr>
        <w:t>参加本次招标活动前 3 年内，在经营活动中没有重大违法记录；</w:t>
      </w:r>
    </w:p>
    <w:p>
      <w:pPr>
        <w:pStyle w:val="7"/>
        <w:ind w:firstLine="480"/>
      </w:pPr>
      <w:r>
        <w:t>6.</w:t>
      </w:r>
      <w:r>
        <w:rPr>
          <w:rFonts w:hint="eastAsia"/>
        </w:rPr>
        <w:t>法律、行政法规规定的其他条件：</w:t>
      </w:r>
    </w:p>
    <w:p>
      <w:pPr>
        <w:pStyle w:val="7"/>
        <w:ind w:firstLine="480"/>
      </w:pPr>
      <w:r>
        <w:rPr>
          <w:rFonts w:hint="eastAsia"/>
        </w:rPr>
        <w:t>①与采购人存在利害关系可能影响招标公正性的法人、其他组织或者个人，不得参与本项目；</w:t>
      </w:r>
    </w:p>
    <w:p>
      <w:pPr>
        <w:pStyle w:val="7"/>
        <w:ind w:firstLine="480"/>
      </w:pPr>
      <w:r>
        <w:rPr>
          <w:rFonts w:hint="eastAsia"/>
        </w:rPr>
        <w:t>②单位负责人为同一人或者存在控股、管理关系的不同单位，不得参加同一项目投标；隶属同一集团下的子公司不得同时作为独立投标人参与本项目</w:t>
      </w:r>
    </w:p>
    <w:p>
      <w:pPr>
        <w:pStyle w:val="7"/>
        <w:ind w:firstLine="480"/>
      </w:pPr>
      <w:r>
        <w:t>7.本项目不接受联合体投标</w:t>
      </w:r>
      <w:r>
        <w:rPr>
          <w:rFonts w:hint="eastAsia"/>
        </w:rPr>
        <w:t>。</w:t>
      </w:r>
    </w:p>
    <w:p>
      <w:pPr>
        <w:pStyle w:val="2"/>
      </w:pPr>
      <w:r>
        <w:rPr>
          <w:rFonts w:hint="eastAsia"/>
        </w:rPr>
        <w:t>项目背景</w:t>
      </w:r>
    </w:p>
    <w:p>
      <w:pPr>
        <w:ind w:firstLine="640"/>
      </w:pPr>
      <w:r>
        <w:rPr>
          <w:rFonts w:hint="eastAsia"/>
        </w:rPr>
        <w:t>党的十八大以来，以习近平同志为核心的党中央高度重视以信息化推进国家治理体系和治理能力现代化，强调要加快推动电子政务，打通信息壁垒，构建全流程一体化在线服务平台，助力建设人民满意的服务型政府。2018年6月10日，国务院办公厅关于印发《进一步深化“互联网+政务服务”推进政务服务“一网、一门、一次”改革实施方案的通知》，进一步深化“互联网+政务服务”，充分运用信息化手段解决企业和群众反映强烈的办事难、办事慢、办事繁的问题，是党中央、国务院作出的重大决策部署。</w:t>
      </w:r>
    </w:p>
    <w:p>
      <w:pPr>
        <w:ind w:firstLine="640"/>
      </w:pPr>
      <w:r>
        <w:rPr>
          <w:rFonts w:hint="eastAsia"/>
        </w:rPr>
        <w:t>医疗保障是关系人民健康的重要民生工程，党中央、国务院高度关注医保事业发展，要坚持以人民为中心，不断推进医疗保障事业高质量发展。随着医保业务量的不断增长，业务大厅的业务经办量在逐步的上升，虽然业务系统的性能在逐步的提升，单一业务经办速度已经得到了很好的提高，但是由于医保业务的复杂性，以及在经办过程中涉及的各种材料审核、规范流程操作、数据确认等业务环节的必要性，业务经办大厅仍处于繁忙的状态：一方面业务经办人员加班加点的工作，另一方面，参保人员可能仍需要排队等待、提前预约、多次往返的情况才能办好业务。</w:t>
      </w:r>
    </w:p>
    <w:p>
      <w:pPr>
        <w:ind w:firstLine="640"/>
      </w:pPr>
      <w:r>
        <w:rPr>
          <w:rFonts w:hint="eastAsia"/>
        </w:rPr>
        <w:t>面对这些不便，需要建立新的服务渠道，开辟更符合实际的业务场景，将医保自助服务送到百姓身边。方便百姓就近办理医保查询、经办业务，有效较少经办大厅排队等候现象、提升医保业务经办效率。通过自助服务一体机延伸医疗保障服务，为人民群众提供更加高效、便捷的医保自助服务。</w:t>
      </w:r>
    </w:p>
    <w:p>
      <w:pPr>
        <w:ind w:firstLine="0" w:firstLineChars="0"/>
      </w:pPr>
      <w:r>
        <w:rPr>
          <w:rFonts w:hint="eastAsia"/>
        </w:rPr>
        <w:t>同时国家医疗保障局《关于医疗保障信息化工作的指导意见》（医保发〔2019〕1号）指出，各地依据全国统一的技术标准、业务标准、业务规范和国家对医疗保障信息平台建设的要求，按“统一建设、协同建设、分别自建”三种方式构建本地医疗保障信息支撑平台及信息系统。2019年6月，国家医疗保障局发布《医疗保障信息平台建设指南》，指导和规范各地医疗保障信息化建设，提出了按照标准全国统一、数据两级集中、平台分级部署、网络全面覆盖的医疗保障信息化建设要求，依托省级平台与国家平台之间的协作联通，初步实现便捷可及“大服务”、规范高效“大经办”、智能精准“大治理”、融合共享“大协作”、在线可用“大数据”、安全可靠“大支撑”的医疗保障信息化建设目标。</w:t>
      </w:r>
    </w:p>
    <w:p>
      <w:pPr>
        <w:pStyle w:val="2"/>
      </w:pPr>
      <w:r>
        <w:rPr>
          <w:rFonts w:hint="eastAsia"/>
        </w:rPr>
        <w:t>建设目标</w:t>
      </w:r>
    </w:p>
    <w:p>
      <w:pPr>
        <w:ind w:firstLine="640"/>
      </w:pPr>
      <w:r>
        <w:t>发挥信息化的引领创新作用和信息资源的综合服务优势，基于“互联网+”理念，整合多种服务手段和渠道，探索、创新</w:t>
      </w:r>
      <w:r>
        <w:rPr>
          <w:rFonts w:hint="eastAsia"/>
        </w:rPr>
        <w:t>医保</w:t>
      </w:r>
      <w:r>
        <w:t>公共服务模式，建立高效、便捷的</w:t>
      </w:r>
      <w:r>
        <w:rPr>
          <w:rFonts w:hint="eastAsia"/>
        </w:rPr>
        <w:t>医保</w:t>
      </w:r>
      <w:r>
        <w:t>服务体系。要持续优化服务流程，发展线上线下结合的综合服务能力，提供全天候、个性化、智能精细的</w:t>
      </w:r>
      <w:r>
        <w:rPr>
          <w:rFonts w:hint="eastAsia"/>
        </w:rPr>
        <w:t>医保自助办理</w:t>
      </w:r>
      <w:r>
        <w:t>服务，</w:t>
      </w:r>
      <w:r>
        <w:rPr>
          <w:rFonts w:hint="eastAsia"/>
        </w:rPr>
        <w:t>并</w:t>
      </w:r>
      <w:r>
        <w:t>进一步拓宽服务渠道，</w:t>
      </w:r>
      <w:r>
        <w:rPr>
          <w:bCs/>
        </w:rPr>
        <w:t>构建网上办事服务与便民自助服务相结合的一体化自助服务体系</w:t>
      </w:r>
      <w:r>
        <w:t>，通过</w:t>
      </w:r>
      <w:r>
        <w:rPr>
          <w:rFonts w:hint="eastAsia"/>
        </w:rPr>
        <w:t>医保一体机</w:t>
      </w:r>
      <w:r>
        <w:t>平台提供的</w:t>
      </w:r>
      <w:r>
        <w:rPr>
          <w:rFonts w:hint="eastAsia"/>
        </w:rPr>
        <w:t>身份证登录、社保卡登录以及医保电子凭证登录</w:t>
      </w:r>
      <w:r>
        <w:t>等方面的能力支撑，提供</w:t>
      </w:r>
      <w:r>
        <w:rPr>
          <w:rFonts w:hint="eastAsia"/>
        </w:rPr>
        <w:t>医保</w:t>
      </w:r>
      <w:r>
        <w:t>业务的</w:t>
      </w:r>
      <w:r>
        <w:rPr>
          <w:rFonts w:hint="eastAsia"/>
        </w:rPr>
        <w:t>自助</w:t>
      </w:r>
      <w:r>
        <w:t>查询、自助办理、自助认证和自助打印等功能，全面构建足不出户或就近就便的</w:t>
      </w:r>
      <w:r>
        <w:rPr>
          <w:rFonts w:hint="eastAsia"/>
        </w:rPr>
        <w:t>医保</w:t>
      </w:r>
      <w:r>
        <w:t>自助服务体系，实现“让信息多跑路、让群众少跑腿、不跑腿”的惠民便民服务目标。</w:t>
      </w:r>
    </w:p>
    <w:p>
      <w:pPr>
        <w:ind w:firstLine="640"/>
      </w:pPr>
      <w:r>
        <w:rPr>
          <w:rFonts w:hint="eastAsia"/>
        </w:rPr>
        <w:t>本</w:t>
      </w:r>
      <w:r>
        <w:t>项目为营口市医疗保障</w:t>
      </w:r>
      <w:r>
        <w:rPr>
          <w:rFonts w:hint="eastAsia"/>
        </w:rPr>
        <w:t>事务中心一体机</w:t>
      </w:r>
      <w:r>
        <w:t>采购。</w:t>
      </w:r>
      <w:r>
        <w:rPr>
          <w:rFonts w:hint="eastAsia"/>
        </w:rPr>
        <w:t>本</w:t>
      </w:r>
      <w:r>
        <w:t>项目</w:t>
      </w:r>
      <w:r>
        <w:rPr>
          <w:rFonts w:hint="eastAsia"/>
        </w:rPr>
        <w:t>一体机通过专线与医保信息平台互联最终</w:t>
      </w:r>
      <w:r>
        <w:t>实现</w:t>
      </w:r>
      <w:r>
        <w:rPr>
          <w:rFonts w:hint="eastAsia"/>
        </w:rPr>
        <w:t>群众通过社保卡</w:t>
      </w:r>
      <w:r>
        <w:t>，身份证或者</w:t>
      </w:r>
      <w:r>
        <w:rPr>
          <w:rFonts w:hint="eastAsia"/>
        </w:rPr>
        <w:t>扫描医保电子凭证方式</w:t>
      </w:r>
      <w:r>
        <w:t>进行登录，通过读取</w:t>
      </w:r>
      <w:r>
        <w:rPr>
          <w:rFonts w:hint="eastAsia"/>
        </w:rPr>
        <w:t>个</w:t>
      </w:r>
      <w:r>
        <w:t>人信息</w:t>
      </w:r>
      <w:r>
        <w:rPr>
          <w:rFonts w:hint="eastAsia"/>
        </w:rPr>
        <w:t>进而可进行个人信息查询、公共信息查询、定点</w:t>
      </w:r>
      <w:r>
        <w:t>医疗机构查询，</w:t>
      </w:r>
      <w:r>
        <w:rPr>
          <w:rFonts w:hint="eastAsia"/>
        </w:rPr>
        <w:t>缴费</w:t>
      </w:r>
      <w:r>
        <w:t>明细</w:t>
      </w:r>
      <w:r>
        <w:rPr>
          <w:rFonts w:hint="eastAsia"/>
        </w:rPr>
        <w:t>查询</w:t>
      </w:r>
      <w:r>
        <w:t>，</w:t>
      </w:r>
      <w:r>
        <w:rPr>
          <w:rFonts w:hint="eastAsia"/>
        </w:rPr>
        <w:t>打印参保凭证等业务结合公共服务实际业务需求拓展功能。同时须符合国家及省市医保局《关于加强医保业务综合服务终端管理工作通知》和《医保业务综合服务终端技术规范》等相关规范及要求。</w:t>
      </w:r>
    </w:p>
    <w:p>
      <w:pPr>
        <w:ind w:firstLine="640"/>
      </w:pPr>
      <w:r>
        <w:rPr>
          <w:rFonts w:hint="eastAsia"/>
        </w:rPr>
        <w:t>本项目应该遵循以下原则：</w:t>
      </w:r>
    </w:p>
    <w:p>
      <w:pPr>
        <w:ind w:firstLine="640"/>
      </w:pPr>
      <w:r>
        <w:rPr>
          <w:rFonts w:hint="eastAsia"/>
        </w:rPr>
        <w:t>1.在技术上应采用业界先进、成熟的软件开发技术，面向对象的设计方法，面向对象的开发工具。采用浏览器/服务器体系结构以支持网络环境下的分布式应用。</w:t>
      </w:r>
    </w:p>
    <w:p>
      <w:pPr>
        <w:ind w:firstLine="640"/>
      </w:pPr>
      <w:r>
        <w:rPr>
          <w:rFonts w:hint="eastAsia"/>
        </w:rPr>
        <w:t>2.必须做到系统使用易学、易用、实用，方便广大民众和各级政府部门相关人员的使用。</w:t>
      </w:r>
    </w:p>
    <w:p>
      <w:pPr>
        <w:ind w:firstLine="640"/>
      </w:pPr>
      <w:r>
        <w:rPr>
          <w:rFonts w:hint="eastAsia"/>
        </w:rPr>
        <w:t>3.保证系统设计的规范性，包括系统内部程序设计的规范、系统内部与外部的规范和系统用户界面的规范，以便于同其它系统进行信息交互。</w:t>
      </w:r>
    </w:p>
    <w:p>
      <w:pPr>
        <w:ind w:firstLine="640"/>
      </w:pPr>
      <w:r>
        <w:rPr>
          <w:rFonts w:hint="eastAsia"/>
        </w:rPr>
        <w:t>4.预留发展空间，避免重复建设，节约投资，少花钱多办事。</w:t>
      </w:r>
    </w:p>
    <w:p>
      <w:pPr>
        <w:ind w:firstLine="640"/>
      </w:pPr>
      <w:r>
        <w:rPr>
          <w:rFonts w:hint="eastAsia"/>
        </w:rPr>
        <w:t>5.符合国家法律法规要求；采取全面的安全防护措施，系统开发层面，避免安全漏洞和隐患，做好用户隐私的保护和防泄漏。</w:t>
      </w:r>
    </w:p>
    <w:p>
      <w:pPr>
        <w:ind w:firstLine="640"/>
      </w:pPr>
      <w:r>
        <w:rPr>
          <w:rFonts w:hint="eastAsia"/>
        </w:rPr>
        <w:t>6.采取尽可能模块化、组件化，以适应将来的发展，系统应提供配置模块和客户化工具，通过一系列的组件和工具，使应用系统可灵活配置，优化流程，适应不同的情况；数据库的设计尽可能考虑到将来发展的需要，支持招标方指定的数据库。</w:t>
      </w:r>
    </w:p>
    <w:p>
      <w:pPr>
        <w:ind w:firstLine="640"/>
      </w:pPr>
      <w:r>
        <w:rPr>
          <w:rFonts w:hint="eastAsia"/>
        </w:rPr>
        <w:t>7.项目建设</w:t>
      </w:r>
      <w:r>
        <w:t>公司需要</w:t>
      </w:r>
      <w:r>
        <w:rPr>
          <w:rFonts w:hint="eastAsia"/>
        </w:rPr>
        <w:t>具备完备的质量管理体系认证，有能力保障项目科学管理和顺利实施。</w:t>
      </w:r>
    </w:p>
    <w:p>
      <w:pPr>
        <w:ind w:firstLine="640"/>
      </w:pPr>
      <w:r>
        <w:rPr>
          <w:rFonts w:hint="eastAsia"/>
        </w:rPr>
        <w:t>8.项目</w:t>
      </w:r>
      <w:r>
        <w:t>建设公司具有完善的售后服务体系，保障设备的质量和售后服务。</w:t>
      </w:r>
    </w:p>
    <w:p>
      <w:pPr>
        <w:pStyle w:val="2"/>
      </w:pPr>
      <w:r>
        <w:rPr>
          <w:rFonts w:hint="eastAsia"/>
        </w:rPr>
        <w:t>项目建设主要内容</w:t>
      </w:r>
    </w:p>
    <w:p>
      <w:pPr>
        <w:numPr>
          <w:ilvl w:val="0"/>
          <w:numId w:val="1"/>
        </w:numPr>
        <w:ind w:firstLineChars="0"/>
      </w:pPr>
      <w:r>
        <w:rPr>
          <w:rFonts w:hint="eastAsia"/>
        </w:rPr>
        <w:t>建设内容：营口市</w:t>
      </w:r>
      <w:r>
        <w:t>医疗保障事务中心自助一体机采购。</w:t>
      </w:r>
    </w:p>
    <w:p>
      <w:pPr>
        <w:numPr>
          <w:ilvl w:val="0"/>
          <w:numId w:val="1"/>
        </w:numPr>
        <w:ind w:firstLineChars="0"/>
      </w:pPr>
      <w:r>
        <w:t>货物数量</w:t>
      </w:r>
      <w:r>
        <w:rPr>
          <w:rFonts w:hint="eastAsia"/>
        </w:rPr>
        <w:t>：</w:t>
      </w:r>
      <w:r>
        <w:t>9台</w:t>
      </w:r>
      <w:r>
        <w:rPr>
          <w:rFonts w:hint="eastAsia"/>
        </w:rPr>
        <w:t>。</w:t>
      </w:r>
    </w:p>
    <w:p>
      <w:pPr>
        <w:numPr>
          <w:ilvl w:val="0"/>
          <w:numId w:val="1"/>
        </w:numPr>
        <w:ind w:firstLineChars="0"/>
      </w:pPr>
      <w:r>
        <w:t>履约期限</w:t>
      </w:r>
      <w:r>
        <w:rPr>
          <w:rFonts w:hint="eastAsia"/>
        </w:rPr>
        <w:t>：</w:t>
      </w:r>
      <w:r>
        <w:t>签订合同后</w:t>
      </w:r>
      <w:r>
        <w:rPr>
          <w:rFonts w:hint="eastAsia"/>
        </w:rPr>
        <w:t>30工作日。</w:t>
      </w:r>
    </w:p>
    <w:p>
      <w:pPr>
        <w:numPr>
          <w:ilvl w:val="0"/>
          <w:numId w:val="1"/>
        </w:numPr>
        <w:ind w:firstLineChars="0"/>
      </w:pPr>
      <w:r>
        <w:t>交货地点</w:t>
      </w:r>
      <w:r>
        <w:rPr>
          <w:rFonts w:hint="eastAsia"/>
        </w:rPr>
        <w:t>：</w:t>
      </w:r>
      <w:r>
        <w:t>营口</w:t>
      </w:r>
      <w:r>
        <w:rPr>
          <w:rFonts w:hint="eastAsia"/>
        </w:rPr>
        <w:t>。</w:t>
      </w:r>
    </w:p>
    <w:p>
      <w:pPr>
        <w:numPr>
          <w:ilvl w:val="0"/>
          <w:numId w:val="1"/>
        </w:numPr>
        <w:ind w:firstLineChars="0"/>
      </w:pPr>
      <w:r>
        <w:rPr>
          <w:rFonts w:hint="eastAsia"/>
        </w:rPr>
        <w:t>软件开发：开发医保自助服务终端应用系统。</w:t>
      </w:r>
    </w:p>
    <w:p>
      <w:pPr>
        <w:pStyle w:val="2"/>
      </w:pPr>
      <w:r>
        <w:rPr>
          <w:rFonts w:hint="eastAsia"/>
        </w:rPr>
        <w:t>项目具体要求</w:t>
      </w:r>
    </w:p>
    <w:p>
      <w:pPr>
        <w:pStyle w:val="3"/>
      </w:pPr>
      <w:r>
        <w:rPr>
          <w:rFonts w:hint="eastAsia"/>
        </w:rPr>
        <w:t>1.硬件设备要求</w:t>
      </w:r>
    </w:p>
    <w:p>
      <w:pPr>
        <w:pStyle w:val="4"/>
      </w:pPr>
      <w:r>
        <w:rPr>
          <w:rFonts w:hint="eastAsia"/>
        </w:rPr>
        <w:t>1.1设备总体要求</w:t>
      </w:r>
    </w:p>
    <w:p>
      <w:pPr>
        <w:ind w:firstLine="640"/>
      </w:pPr>
      <w:r>
        <w:rPr>
          <w:rFonts w:hint="eastAsia"/>
        </w:rPr>
        <w:t>（</w:t>
      </w:r>
      <w:r>
        <w:t>1</w:t>
      </w:r>
      <w:r>
        <w:rPr>
          <w:rFonts w:hint="eastAsia"/>
        </w:rPr>
        <w:t>）投标人所提供的设备是能够满足招标方业务和应用系统要求的设备，厂商提供的设备应为市场主流成熟型号。</w:t>
      </w:r>
    </w:p>
    <w:p>
      <w:pPr>
        <w:ind w:firstLine="640"/>
      </w:pPr>
      <w:r>
        <w:rPr>
          <w:rFonts w:hint="eastAsia"/>
        </w:rPr>
        <w:t>（</w:t>
      </w:r>
      <w:r>
        <w:t>2</w:t>
      </w:r>
      <w:r>
        <w:rPr>
          <w:rFonts w:hint="eastAsia"/>
        </w:rPr>
        <w:t>）投标人所提供的设备全新、未使用过的，技术是先进的、设备是可靠的、质量是优质的，且符合国家相关</w:t>
      </w:r>
      <w:r>
        <w:t>标准</w:t>
      </w:r>
      <w:r>
        <w:rPr>
          <w:rFonts w:hint="eastAsia"/>
        </w:rPr>
        <w:t>。</w:t>
      </w:r>
    </w:p>
    <w:p>
      <w:pPr>
        <w:ind w:firstLine="640"/>
      </w:pPr>
      <w:r>
        <w:rPr>
          <w:rFonts w:hint="eastAsia"/>
        </w:rPr>
        <w:t>（</w:t>
      </w:r>
      <w:r>
        <w:t>3</w:t>
      </w:r>
      <w:r>
        <w:rPr>
          <w:rFonts w:hint="eastAsia"/>
        </w:rPr>
        <w:t>）设备整机免费质保期为设备安装调试完成并正式交付使用后2年。</w:t>
      </w:r>
    </w:p>
    <w:p>
      <w:pPr>
        <w:ind w:firstLine="640"/>
      </w:pPr>
      <w:r>
        <w:rPr>
          <w:rFonts w:hint="eastAsia"/>
        </w:rPr>
        <w:t>（4）所投设备核心部件主机需具备相关节能产品认证。</w:t>
      </w:r>
    </w:p>
    <w:p>
      <w:pPr>
        <w:ind w:firstLine="640"/>
      </w:pPr>
      <w:r>
        <w:rPr>
          <w:rFonts w:hint="eastAsia"/>
        </w:rPr>
        <w:t>（5）所投产品应为采购单位核心产品。</w:t>
      </w:r>
    </w:p>
    <w:p>
      <w:pPr>
        <w:pStyle w:val="4"/>
      </w:pPr>
      <w:r>
        <w:rPr>
          <w:rFonts w:hint="eastAsia"/>
        </w:rPr>
        <w:t>1.2设备具体参数要求</w:t>
      </w:r>
    </w:p>
    <w:tbl>
      <w:tblPr>
        <w:tblStyle w:val="5"/>
        <w:tblW w:w="8075" w:type="dxa"/>
        <w:tblInd w:w="113" w:type="dxa"/>
        <w:tblLayout w:type="autofit"/>
        <w:tblCellMar>
          <w:top w:w="0" w:type="dxa"/>
          <w:left w:w="108" w:type="dxa"/>
          <w:bottom w:w="0" w:type="dxa"/>
          <w:right w:w="108" w:type="dxa"/>
        </w:tblCellMar>
      </w:tblPr>
      <w:tblGrid>
        <w:gridCol w:w="2260"/>
        <w:gridCol w:w="5815"/>
      </w:tblGrid>
      <w:tr>
        <w:tblPrEx>
          <w:tblCellMar>
            <w:top w:w="0" w:type="dxa"/>
            <w:left w:w="108" w:type="dxa"/>
            <w:bottom w:w="0" w:type="dxa"/>
            <w:right w:w="108" w:type="dxa"/>
          </w:tblCellMar>
        </w:tblPrEx>
        <w:trPr>
          <w:trHeight w:val="420" w:hRule="atLeast"/>
        </w:trPr>
        <w:tc>
          <w:tcPr>
            <w:tcW w:w="2260" w:type="dxa"/>
            <w:tcBorders>
              <w:top w:val="single" w:color="auto" w:sz="4" w:space="0"/>
              <w:left w:val="single" w:color="auto" w:sz="4" w:space="0"/>
              <w:bottom w:val="single" w:color="auto" w:sz="4" w:space="0"/>
              <w:right w:val="single" w:color="auto" w:sz="4" w:space="0"/>
            </w:tcBorders>
            <w:shd w:val="clear" w:color="000000" w:fill="C4BD97"/>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功能模块</w:t>
            </w:r>
          </w:p>
        </w:tc>
        <w:tc>
          <w:tcPr>
            <w:tcW w:w="5815" w:type="dxa"/>
            <w:tcBorders>
              <w:top w:val="single" w:color="auto" w:sz="4" w:space="0"/>
              <w:left w:val="nil"/>
              <w:bottom w:val="single" w:color="auto" w:sz="4" w:space="0"/>
              <w:right w:val="single" w:color="auto" w:sz="4" w:space="0"/>
            </w:tcBorders>
            <w:shd w:val="clear" w:color="000000" w:fill="C4BD97"/>
            <w:noWrap w:val="0"/>
            <w:vAlign w:val="center"/>
          </w:tcPr>
          <w:p>
            <w:pPr>
              <w:widowControl/>
              <w:spacing w:line="240" w:lineRule="auto"/>
              <w:ind w:firstLine="0" w:firstLineChars="0"/>
              <w:jc w:val="left"/>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配置要求</w:t>
            </w:r>
          </w:p>
        </w:tc>
      </w:tr>
      <w:tr>
        <w:tblPrEx>
          <w:tblCellMar>
            <w:top w:w="0" w:type="dxa"/>
            <w:left w:w="108" w:type="dxa"/>
            <w:bottom w:w="0" w:type="dxa"/>
            <w:right w:w="108" w:type="dxa"/>
          </w:tblCellMar>
        </w:tblPrEx>
        <w:trPr>
          <w:trHeight w:val="1860"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工控主机</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Intel CPU I3/工控4代以上主板/内存4G/固态硬盘不小于120G／电源不小于1</w:t>
            </w:r>
            <w:r>
              <w:rPr>
                <w:rFonts w:ascii="微软雅黑" w:hAnsi="微软雅黑" w:eastAsia="微软雅黑" w:cs="宋体"/>
                <w:color w:val="000000"/>
                <w:kern w:val="0"/>
                <w:sz w:val="21"/>
                <w:szCs w:val="21"/>
              </w:rPr>
              <w:t>0</w:t>
            </w:r>
            <w:r>
              <w:rPr>
                <w:rFonts w:hint="eastAsia" w:ascii="微软雅黑" w:hAnsi="微软雅黑" w:eastAsia="微软雅黑" w:cs="宋体"/>
                <w:color w:val="000000"/>
                <w:kern w:val="0"/>
                <w:sz w:val="21"/>
                <w:szCs w:val="21"/>
              </w:rPr>
              <w:t>0W/集成网卡、显卡/接口部分：USB口≥8个；网络100/1000M口≥1个；</w:t>
            </w:r>
          </w:p>
        </w:tc>
      </w:tr>
      <w:tr>
        <w:tblPrEx>
          <w:tblCellMar>
            <w:top w:w="0" w:type="dxa"/>
            <w:left w:w="108" w:type="dxa"/>
            <w:bottom w:w="0" w:type="dxa"/>
            <w:right w:w="108" w:type="dxa"/>
          </w:tblCellMar>
        </w:tblPrEx>
        <w:trPr>
          <w:trHeight w:val="1080" w:hRule="atLeast"/>
        </w:trPr>
        <w:tc>
          <w:tcPr>
            <w:tcW w:w="226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触摸显一体屏</w:t>
            </w:r>
          </w:p>
        </w:tc>
        <w:tc>
          <w:tcPr>
            <w:tcW w:w="5815"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≥21．5寸液晶屏，显示比例16:9或4:3标准屏; 最大分辨率≥</w:t>
            </w:r>
            <w:r>
              <w:rPr>
                <w:rFonts w:ascii="微软雅黑" w:hAnsi="微软雅黑" w:eastAsia="微软雅黑" w:cs="宋体"/>
                <w:color w:val="000000"/>
                <w:kern w:val="0"/>
                <w:sz w:val="21"/>
                <w:szCs w:val="21"/>
              </w:rPr>
              <w:t>1280</w:t>
            </w:r>
            <w:r>
              <w:rPr>
                <w:rFonts w:hint="eastAsia" w:ascii="微软雅黑" w:hAnsi="微软雅黑" w:eastAsia="微软雅黑" w:cs="宋体"/>
                <w:color w:val="000000"/>
                <w:kern w:val="0"/>
                <w:sz w:val="21"/>
                <w:szCs w:val="21"/>
              </w:rPr>
              <w:t>*10</w:t>
            </w:r>
            <w:r>
              <w:rPr>
                <w:rFonts w:ascii="微软雅黑" w:hAnsi="微软雅黑" w:eastAsia="微软雅黑" w:cs="宋体"/>
                <w:color w:val="000000"/>
                <w:kern w:val="0"/>
                <w:sz w:val="21"/>
                <w:szCs w:val="21"/>
              </w:rPr>
              <w:t>24</w:t>
            </w:r>
            <w:r>
              <w:rPr>
                <w:rFonts w:hint="eastAsia" w:ascii="微软雅黑" w:hAnsi="微软雅黑" w:eastAsia="微软雅黑" w:cs="宋体"/>
                <w:color w:val="000000"/>
                <w:kern w:val="0"/>
                <w:sz w:val="21"/>
                <w:szCs w:val="21"/>
              </w:rPr>
              <w:t>，21．5寸电容式（10点）触摸屏, 防尘、防漂移,免维护,单点触摸≥5000万次；感应时间：&lt;15ms 透光率：&gt;85%；分辨率：4096*4096</w:t>
            </w:r>
          </w:p>
        </w:tc>
      </w:tr>
      <w:tr>
        <w:tblPrEx>
          <w:tblCellMar>
            <w:top w:w="0" w:type="dxa"/>
            <w:left w:w="108" w:type="dxa"/>
            <w:bottom w:w="0" w:type="dxa"/>
            <w:right w:w="108" w:type="dxa"/>
          </w:tblCellMar>
        </w:tblPrEx>
        <w:trPr>
          <w:trHeight w:val="1140" w:hRule="atLeast"/>
        </w:trPr>
        <w:tc>
          <w:tcPr>
            <w:tcW w:w="22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b/>
                <w:bCs/>
                <w:color w:val="000000"/>
                <w:kern w:val="0"/>
                <w:sz w:val="21"/>
                <w:szCs w:val="21"/>
              </w:rPr>
            </w:pPr>
          </w:p>
        </w:tc>
        <w:tc>
          <w:tcPr>
            <w:tcW w:w="58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p>
        </w:tc>
      </w:tr>
      <w:tr>
        <w:tblPrEx>
          <w:tblCellMar>
            <w:top w:w="0" w:type="dxa"/>
            <w:left w:w="108" w:type="dxa"/>
            <w:bottom w:w="0" w:type="dxa"/>
            <w:right w:w="108" w:type="dxa"/>
          </w:tblCellMar>
        </w:tblPrEx>
        <w:trPr>
          <w:trHeight w:val="3555" w:hRule="atLeast"/>
        </w:trPr>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摄像头</w:t>
            </w:r>
          </w:p>
        </w:tc>
        <w:tc>
          <w:tcPr>
            <w:tcW w:w="58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Baseline：40mm、深度范围：30cm~100cm、相对精度（81%FOV）：±1mm@300mm ±2mm@600mm ±4mm@1000mm、平均功耗：＜1.2W/5V、深度图分辨率：480*640@30fps、彩色图分辨率：960*1280@30fps、480*640@30fps、D2C分辨率：480*640@30fps、深度FOV：H 54°±2°V68°±3°、彩色FOV：H 54°±2°V68°±3°、D2C FOV：H 54°±2°V68°±3°、数据传输：USB2.0、支持操作系统：Windows 7/10/Android4.4~9.0、供电方式：Micro USB/I-PEX、工作环境温度：-10℃~50℃、安全性：CLASS 1</w:t>
            </w:r>
          </w:p>
        </w:tc>
      </w:tr>
      <w:tr>
        <w:tblPrEx>
          <w:tblCellMar>
            <w:top w:w="0" w:type="dxa"/>
            <w:left w:w="108" w:type="dxa"/>
            <w:bottom w:w="0" w:type="dxa"/>
            <w:right w:w="108" w:type="dxa"/>
          </w:tblCellMar>
        </w:tblPrEx>
        <w:trPr>
          <w:trHeight w:val="585" w:hRule="atLeast"/>
        </w:trPr>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键盘</w:t>
            </w:r>
          </w:p>
        </w:tc>
        <w:tc>
          <w:tcPr>
            <w:tcW w:w="58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USB键盘、即插即用</w:t>
            </w:r>
          </w:p>
        </w:tc>
      </w:tr>
      <w:tr>
        <w:tblPrEx>
          <w:tblCellMar>
            <w:top w:w="0" w:type="dxa"/>
            <w:left w:w="108" w:type="dxa"/>
            <w:bottom w:w="0" w:type="dxa"/>
            <w:right w:w="108" w:type="dxa"/>
          </w:tblCellMar>
        </w:tblPrEx>
        <w:trPr>
          <w:trHeight w:val="1185" w:hRule="atLeast"/>
        </w:trPr>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二维扫码模块</w:t>
            </w:r>
          </w:p>
        </w:tc>
        <w:tc>
          <w:tcPr>
            <w:tcW w:w="581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自动感应触发、图像尺寸≥640*400像素，视场角：水平≥45度，垂直≥28度，扫描角度左右±65度，前后±55度，转动360度，</w:t>
            </w:r>
          </w:p>
        </w:tc>
      </w:tr>
      <w:tr>
        <w:tblPrEx>
          <w:tblCellMar>
            <w:top w:w="0" w:type="dxa"/>
            <w:left w:w="108" w:type="dxa"/>
            <w:bottom w:w="0" w:type="dxa"/>
            <w:right w:w="108" w:type="dxa"/>
          </w:tblCellMar>
        </w:tblPrEx>
        <w:trPr>
          <w:trHeight w:val="1590" w:hRule="atLeast"/>
        </w:trPr>
        <w:tc>
          <w:tcPr>
            <w:tcW w:w="22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社保卡读卡器</w:t>
            </w:r>
          </w:p>
        </w:tc>
        <w:tc>
          <w:tcPr>
            <w:tcW w:w="5815" w:type="dxa"/>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支持接触式IC卡（符合ISO7816标准）；支持ISO 7816 CPU卡； 可读取符合国家人社部规范的社会保障卡，支持读写卡功能；可读取金融接触IC卡(银行卡)。</w:t>
            </w:r>
          </w:p>
        </w:tc>
      </w:tr>
      <w:tr>
        <w:tblPrEx>
          <w:tblCellMar>
            <w:top w:w="0" w:type="dxa"/>
            <w:left w:w="108" w:type="dxa"/>
            <w:bottom w:w="0" w:type="dxa"/>
            <w:right w:w="108" w:type="dxa"/>
          </w:tblCellMar>
        </w:tblPrEx>
        <w:trPr>
          <w:trHeight w:val="3180" w:hRule="atLeast"/>
        </w:trPr>
        <w:tc>
          <w:tcPr>
            <w:tcW w:w="226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二代硬解码身份阅读器</w:t>
            </w:r>
          </w:p>
        </w:tc>
        <w:tc>
          <w:tcPr>
            <w:tcW w:w="5815" w:type="dxa"/>
            <w:tcBorders>
              <w:top w:val="single" w:color="auto" w:sz="4" w:space="0"/>
              <w:left w:val="nil"/>
              <w:bottom w:val="single" w:color="auto" w:sz="4" w:space="0"/>
              <w:right w:val="single" w:color="auto" w:sz="4" w:space="0"/>
            </w:tcBorders>
            <w:shd w:val="clear" w:color="000000" w:fill="FFFFFF"/>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公安部认证模块支持卡型：符合ISO/IEC 14443 TYPE B 标准的非接触卡；工作频率：13.56MHz ；通讯速率：106Kbps ；校验：循环冗余校验（CRC）；天线尺寸：≥60*72mm ；感应距离： 0-3cm ；传输速率：USB接口 12Mbps ；软件接口：支持VC、VB、DELPHI、PB等 ；电源：计算机供电（USB接口）；工作电流：500mA/DC ；平均无故障工作时间：大于等于10000小时。</w:t>
            </w:r>
          </w:p>
        </w:tc>
      </w:tr>
      <w:tr>
        <w:tblPrEx>
          <w:tblCellMar>
            <w:top w:w="0" w:type="dxa"/>
            <w:left w:w="108" w:type="dxa"/>
            <w:bottom w:w="0" w:type="dxa"/>
            <w:right w:w="108" w:type="dxa"/>
          </w:tblCellMar>
        </w:tblPrEx>
        <w:trPr>
          <w:trHeight w:val="3525"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医保自助专用终端机柜</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kern w:val="0"/>
                <w:sz w:val="21"/>
                <w:szCs w:val="21"/>
              </w:rPr>
            </w:pPr>
            <w:r>
              <w:rPr>
                <w:rFonts w:hint="eastAsia" w:ascii="微软雅黑" w:hAnsi="微软雅黑" w:eastAsia="微软雅黑" w:cs="宋体"/>
                <w:b/>
                <w:bCs/>
                <w:kern w:val="0"/>
                <w:sz w:val="21"/>
                <w:szCs w:val="21"/>
              </w:rPr>
              <w:t>外部材料</w:t>
            </w:r>
            <w:r>
              <w:rPr>
                <w:rFonts w:hint="eastAsia" w:ascii="微软雅黑" w:hAnsi="微软雅黑" w:eastAsia="微软雅黑" w:cs="宋体"/>
                <w:kern w:val="0"/>
                <w:sz w:val="21"/>
                <w:szCs w:val="21"/>
              </w:rPr>
              <w:t>：优质全钢机柜，坚硬厚实，不易变形，新颖美观、尊贵；/表层处理：表层全部采用优质金属户外塑粉喷涂，防水、防锈防腐、耐磨、防磁、防静电功能，不易沾污损坏；/内部结构：模块定位采用轨道拖拉式，布线规范整齐；多级分层结构，可放置多种设备；/外部结构：各部件模块与机柜结合紧密，整机符合人体工程学设计，布局合理，工艺精细。/整机外壳：包含机柜、后门、挖手、插卡口、地脚、门锁相关的接插件；</w:t>
            </w:r>
          </w:p>
        </w:tc>
      </w:tr>
      <w:tr>
        <w:tblPrEx>
          <w:tblCellMar>
            <w:top w:w="0" w:type="dxa"/>
            <w:left w:w="108" w:type="dxa"/>
            <w:bottom w:w="0" w:type="dxa"/>
            <w:right w:w="108" w:type="dxa"/>
          </w:tblCellMar>
        </w:tblPrEx>
        <w:trPr>
          <w:trHeight w:val="2880"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激光打印机</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支持A4或以下纸张的，黑白打印机，打印速度：≥38ppm。最高分辨率：≥</w:t>
            </w:r>
            <w:r>
              <w:rPr>
                <w:rFonts w:ascii="微软雅黑" w:hAnsi="微软雅黑" w:eastAsia="微软雅黑" w:cs="宋体"/>
                <w:color w:val="000000"/>
                <w:kern w:val="0"/>
                <w:sz w:val="21"/>
                <w:szCs w:val="21"/>
              </w:rPr>
              <w:t>600</w:t>
            </w:r>
            <w:r>
              <w:rPr>
                <w:rFonts w:hint="eastAsia" w:ascii="微软雅黑" w:hAnsi="微软雅黑" w:eastAsia="微软雅黑" w:cs="宋体"/>
                <w:color w:val="000000"/>
                <w:kern w:val="0"/>
                <w:sz w:val="21"/>
                <w:szCs w:val="21"/>
              </w:rPr>
              <w:t>×</w:t>
            </w:r>
            <w:r>
              <w:rPr>
                <w:rFonts w:ascii="微软雅黑" w:hAnsi="微软雅黑" w:eastAsia="微软雅黑" w:cs="宋体"/>
                <w:color w:val="000000"/>
                <w:kern w:val="0"/>
                <w:sz w:val="21"/>
                <w:szCs w:val="21"/>
              </w:rPr>
              <w:t>6</w:t>
            </w:r>
            <w:r>
              <w:rPr>
                <w:rFonts w:hint="eastAsia" w:ascii="微软雅黑" w:hAnsi="微软雅黑" w:eastAsia="微软雅黑" w:cs="宋体"/>
                <w:color w:val="000000"/>
                <w:kern w:val="0"/>
                <w:sz w:val="21"/>
                <w:szCs w:val="21"/>
              </w:rPr>
              <w:t>00dpi；标准进纸盒250页；就绪模式打印时间：</w:t>
            </w:r>
            <w:r>
              <w:rPr>
                <w:rFonts w:hint="eastAsia" w:ascii="微软雅黑" w:hAnsi="微软雅黑" w:eastAsia="微软雅黑" w:cs="宋体"/>
                <w:color w:val="000000"/>
                <w:kern w:val="0"/>
                <w:sz w:val="20"/>
                <w:szCs w:val="20"/>
              </w:rPr>
              <w:t>小于7.2s；</w:t>
            </w:r>
          </w:p>
        </w:tc>
      </w:tr>
      <w:tr>
        <w:tblPrEx>
          <w:tblCellMar>
            <w:top w:w="0" w:type="dxa"/>
            <w:left w:w="108" w:type="dxa"/>
            <w:bottom w:w="0" w:type="dxa"/>
            <w:right w:w="108" w:type="dxa"/>
          </w:tblCellMar>
        </w:tblPrEx>
        <w:trPr>
          <w:trHeight w:val="2985"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热敏凭条打印机80mm宽度</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打印方式：行式热敏；打印密度</w:t>
            </w:r>
            <w:r>
              <w:rPr>
                <w:rFonts w:hint="eastAsia" w:ascii="微软雅黑" w:hAnsi="微软雅黑" w:eastAsia="微软雅黑" w:cs="宋体"/>
                <w:kern w:val="0"/>
                <w:sz w:val="21"/>
                <w:szCs w:val="21"/>
              </w:rPr>
              <w:t>：8点/mm;打</w:t>
            </w:r>
            <w:r>
              <w:rPr>
                <w:rFonts w:hint="eastAsia" w:ascii="微软雅黑" w:hAnsi="微软雅黑" w:eastAsia="微软雅黑" w:cs="宋体"/>
                <w:color w:val="000000"/>
                <w:kern w:val="0"/>
                <w:sz w:val="21"/>
                <w:szCs w:val="21"/>
              </w:rPr>
              <w:t xml:space="preserve">印速度 </w:t>
            </w:r>
            <w:r>
              <w:rPr>
                <w:rFonts w:hint="eastAsia" w:ascii="微软雅黑" w:hAnsi="微软雅黑" w:eastAsia="微软雅黑" w:cs="宋体"/>
                <w:kern w:val="0"/>
                <w:sz w:val="21"/>
                <w:szCs w:val="21"/>
              </w:rPr>
              <w:t>Max.150mm/s；介质宽度 79.5±0.5 mm；有效打印宽度：72mm;纸仓宽度：80mm；行宽：3.75mm; 纸处理方式：自动切纸；切刀寿命最高可达到100 万次；打印头寿命不低于100km。工作温</w:t>
            </w:r>
            <w:r>
              <w:rPr>
                <w:rFonts w:hint="eastAsia" w:ascii="微软雅黑" w:hAnsi="微软雅黑" w:eastAsia="微软雅黑" w:cs="宋体"/>
                <w:color w:val="000000"/>
                <w:kern w:val="0"/>
                <w:sz w:val="21"/>
                <w:szCs w:val="21"/>
              </w:rPr>
              <w:t xml:space="preserve">度：0～50°C; </w:t>
            </w:r>
            <w:r>
              <w:rPr>
                <w:rFonts w:hint="eastAsia" w:ascii="微软雅黑" w:hAnsi="微软雅黑" w:eastAsia="微软雅黑" w:cs="宋体"/>
                <w:kern w:val="0"/>
                <w:sz w:val="21"/>
                <w:szCs w:val="21"/>
              </w:rPr>
              <w:t>防堵功能。</w:t>
            </w:r>
            <w:r>
              <w:rPr>
                <w:rFonts w:hint="eastAsia" w:ascii="微软雅黑" w:hAnsi="微软雅黑" w:eastAsia="微软雅黑" w:cs="宋体"/>
                <w:color w:val="000000"/>
                <w:kern w:val="0"/>
                <w:sz w:val="21"/>
                <w:szCs w:val="21"/>
              </w:rPr>
              <w:t xml:space="preserve"> </w:t>
            </w:r>
          </w:p>
        </w:tc>
      </w:tr>
      <w:tr>
        <w:tblPrEx>
          <w:tblCellMar>
            <w:top w:w="0" w:type="dxa"/>
            <w:left w:w="108" w:type="dxa"/>
            <w:bottom w:w="0" w:type="dxa"/>
            <w:right w:w="108" w:type="dxa"/>
          </w:tblCellMar>
        </w:tblPrEx>
        <w:trPr>
          <w:trHeight w:val="1425"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文件扫描高拍仪</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拍摄范围：最大支持A4,分辨率≥</w:t>
            </w:r>
            <w:r>
              <w:rPr>
                <w:rFonts w:ascii="微软雅黑" w:hAnsi="微软雅黑" w:eastAsia="微软雅黑" w:cs="宋体"/>
                <w:color w:val="000000"/>
                <w:kern w:val="0"/>
                <w:sz w:val="21"/>
                <w:szCs w:val="21"/>
              </w:rPr>
              <w:t>2592</w:t>
            </w:r>
            <w:r>
              <w:rPr>
                <w:rFonts w:hint="eastAsia" w:ascii="微软雅黑" w:hAnsi="微软雅黑" w:eastAsia="微软雅黑" w:cs="宋体"/>
                <w:color w:val="000000"/>
                <w:kern w:val="0"/>
                <w:sz w:val="21"/>
                <w:szCs w:val="21"/>
              </w:rPr>
              <w:t>*</w:t>
            </w:r>
            <w:r>
              <w:rPr>
                <w:rFonts w:ascii="微软雅黑" w:hAnsi="微软雅黑" w:eastAsia="微软雅黑" w:cs="宋体"/>
                <w:color w:val="000000"/>
                <w:kern w:val="0"/>
                <w:sz w:val="21"/>
                <w:szCs w:val="21"/>
              </w:rPr>
              <w:t>1944</w:t>
            </w:r>
            <w:r>
              <w:rPr>
                <w:rFonts w:hint="eastAsia" w:ascii="微软雅黑" w:hAnsi="微软雅黑" w:eastAsia="微软雅黑" w:cs="宋体"/>
                <w:color w:val="000000"/>
                <w:kern w:val="0"/>
                <w:sz w:val="21"/>
                <w:szCs w:val="21"/>
              </w:rPr>
              <w:t>，拍摄速度：1秒，扫描介质：票据/单据/文件/资料/立体实物等</w:t>
            </w:r>
          </w:p>
        </w:tc>
      </w:tr>
      <w:tr>
        <w:tblPrEx>
          <w:tblCellMar>
            <w:top w:w="0" w:type="dxa"/>
            <w:left w:w="108" w:type="dxa"/>
            <w:bottom w:w="0" w:type="dxa"/>
            <w:right w:w="108" w:type="dxa"/>
          </w:tblCellMar>
        </w:tblPrEx>
        <w:trPr>
          <w:trHeight w:val="690"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color w:val="000000"/>
                <w:kern w:val="0"/>
                <w:sz w:val="21"/>
                <w:szCs w:val="21"/>
              </w:rPr>
            </w:pPr>
            <w:r>
              <w:rPr>
                <w:rFonts w:hint="eastAsia" w:ascii="微软雅黑" w:hAnsi="微软雅黑" w:eastAsia="微软雅黑" w:cs="宋体"/>
                <w:b/>
                <w:bCs/>
                <w:color w:val="000000"/>
                <w:kern w:val="0"/>
                <w:sz w:val="21"/>
                <w:szCs w:val="21"/>
              </w:rPr>
              <w:t>定时开关机模块</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设置工控主机</w:t>
            </w:r>
            <w:r>
              <w:rPr>
                <w:rFonts w:hint="eastAsia" w:ascii="微软雅黑" w:hAnsi="微软雅黑" w:eastAsia="微软雅黑" w:cs="宋体"/>
                <w:kern w:val="0"/>
                <w:sz w:val="21"/>
                <w:szCs w:val="21"/>
              </w:rPr>
              <w:t>定时开关机</w:t>
            </w:r>
            <w:r>
              <w:rPr>
                <w:rFonts w:hint="eastAsia" w:ascii="微软雅黑" w:hAnsi="微软雅黑" w:eastAsia="微软雅黑" w:cs="宋体"/>
                <w:color w:val="000000"/>
                <w:kern w:val="0"/>
                <w:sz w:val="21"/>
                <w:szCs w:val="21"/>
              </w:rPr>
              <w:t>功能，改变了传统的手动开关机；具有省电、安全、提高机器使用寿命功能。</w:t>
            </w:r>
          </w:p>
        </w:tc>
      </w:tr>
      <w:tr>
        <w:tblPrEx>
          <w:tblCellMar>
            <w:top w:w="0" w:type="dxa"/>
            <w:left w:w="108" w:type="dxa"/>
            <w:bottom w:w="0" w:type="dxa"/>
            <w:right w:w="108" w:type="dxa"/>
          </w:tblCellMar>
        </w:tblPrEx>
        <w:trPr>
          <w:trHeight w:val="330"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操作系统</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2"/>
                <w:szCs w:val="22"/>
              </w:rPr>
            </w:pPr>
            <w:r>
              <w:rPr>
                <w:rFonts w:ascii="微软雅黑" w:hAnsi="微软雅黑" w:eastAsia="微软雅黑" w:cs="宋体"/>
                <w:color w:val="000000"/>
                <w:kern w:val="0"/>
                <w:sz w:val="22"/>
                <w:szCs w:val="22"/>
              </w:rPr>
              <w:t>Win7旗舰版</w:t>
            </w:r>
            <w:r>
              <w:rPr>
                <w:rFonts w:hint="eastAsia" w:ascii="微软雅黑" w:hAnsi="微软雅黑" w:eastAsia="微软雅黑" w:cs="宋体"/>
                <w:color w:val="000000"/>
                <w:kern w:val="0"/>
                <w:sz w:val="22"/>
                <w:szCs w:val="22"/>
              </w:rPr>
              <w:t>，</w:t>
            </w:r>
            <w:r>
              <w:rPr>
                <w:rFonts w:ascii="微软雅黑" w:hAnsi="微软雅黑" w:eastAsia="微软雅黑" w:cs="宋体"/>
                <w:color w:val="000000"/>
                <w:kern w:val="0"/>
                <w:sz w:val="22"/>
                <w:szCs w:val="22"/>
              </w:rPr>
              <w:t>W</w:t>
            </w:r>
            <w:r>
              <w:rPr>
                <w:rFonts w:hint="eastAsia" w:ascii="微软雅黑" w:hAnsi="微软雅黑" w:eastAsia="微软雅黑" w:cs="宋体"/>
                <w:color w:val="000000"/>
                <w:kern w:val="0"/>
                <w:sz w:val="22"/>
                <w:szCs w:val="22"/>
              </w:rPr>
              <w:t>in10企业版</w:t>
            </w:r>
          </w:p>
        </w:tc>
      </w:tr>
      <w:tr>
        <w:tblPrEx>
          <w:tblCellMar>
            <w:top w:w="0" w:type="dxa"/>
            <w:left w:w="108" w:type="dxa"/>
            <w:bottom w:w="0" w:type="dxa"/>
            <w:right w:w="108" w:type="dxa"/>
          </w:tblCellMar>
        </w:tblPrEx>
        <w:trPr>
          <w:trHeight w:val="690" w:hRule="atLeast"/>
        </w:trPr>
        <w:tc>
          <w:tcPr>
            <w:tcW w:w="2260" w:type="dxa"/>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ascii="微软雅黑" w:hAnsi="微软雅黑" w:eastAsia="微软雅黑" w:cs="宋体"/>
                <w:b/>
                <w:bCs/>
                <w:color w:val="000000"/>
                <w:kern w:val="0"/>
                <w:sz w:val="21"/>
                <w:szCs w:val="21"/>
              </w:rPr>
            </w:pPr>
            <w:r>
              <w:rPr>
                <w:rFonts w:hint="eastAsia" w:ascii="微软雅黑" w:hAnsi="微软雅黑" w:eastAsia="微软雅黑" w:cs="宋体"/>
                <w:b/>
                <w:bCs/>
                <w:color w:val="000000"/>
                <w:kern w:val="0"/>
                <w:sz w:val="21"/>
                <w:szCs w:val="21"/>
              </w:rPr>
              <w:t>其它附件</w:t>
            </w:r>
          </w:p>
        </w:tc>
        <w:tc>
          <w:tcPr>
            <w:tcW w:w="5815" w:type="dxa"/>
            <w:tcBorders>
              <w:top w:val="nil"/>
              <w:left w:val="nil"/>
              <w:bottom w:val="single" w:color="auto" w:sz="4" w:space="0"/>
              <w:right w:val="single" w:color="auto" w:sz="4" w:space="0"/>
            </w:tcBorders>
            <w:noWrap w:val="0"/>
            <w:vAlign w:val="center"/>
          </w:tcPr>
          <w:p>
            <w:pPr>
              <w:widowControl/>
              <w:spacing w:line="240" w:lineRule="auto"/>
              <w:ind w:firstLine="0" w:firstLineChars="0"/>
              <w:jc w:val="left"/>
              <w:rPr>
                <w:rFonts w:ascii="微软雅黑" w:hAnsi="微软雅黑" w:eastAsia="微软雅黑" w:cs="宋体"/>
                <w:color w:val="000000"/>
                <w:kern w:val="0"/>
                <w:sz w:val="21"/>
                <w:szCs w:val="21"/>
              </w:rPr>
            </w:pPr>
            <w:r>
              <w:rPr>
                <w:rFonts w:hint="eastAsia" w:ascii="微软雅黑" w:hAnsi="微软雅黑" w:eastAsia="微软雅黑" w:cs="宋体"/>
                <w:color w:val="000000"/>
                <w:kern w:val="0"/>
                <w:sz w:val="21"/>
                <w:szCs w:val="21"/>
              </w:rPr>
              <w:t>音响：8Ω、5W*2只/多功能电源插座/线材符合国家3c标准，电源线和数据线等零部件/丝网印刷医保局及银行LOGO/全封闭安全运输纸箱或木箱包装</w:t>
            </w:r>
          </w:p>
        </w:tc>
      </w:tr>
    </w:tbl>
    <w:p>
      <w:pPr>
        <w:ind w:left="320" w:firstLine="0" w:firstLineChars="0"/>
      </w:pPr>
    </w:p>
    <w:p>
      <w:pPr>
        <w:pStyle w:val="3"/>
        <w:numPr>
          <w:ilvl w:val="0"/>
          <w:numId w:val="2"/>
        </w:numPr>
      </w:pPr>
      <w:r>
        <w:rPr>
          <w:rFonts w:hint="eastAsia"/>
        </w:rPr>
        <w:t>设备软件要求</w:t>
      </w:r>
    </w:p>
    <w:p>
      <w:pPr>
        <w:pStyle w:val="4"/>
      </w:pPr>
      <w:r>
        <w:rPr>
          <w:rFonts w:hint="eastAsia"/>
        </w:rPr>
        <w:t>2.1自助</w:t>
      </w:r>
      <w:r>
        <w:t>一体机</w:t>
      </w:r>
      <w:r>
        <w:rPr>
          <w:rFonts w:hint="eastAsia"/>
        </w:rPr>
        <w:t>软件总体要求</w:t>
      </w:r>
    </w:p>
    <w:p>
      <w:pPr>
        <w:ind w:firstLine="640"/>
      </w:pPr>
      <w:r>
        <w:rPr>
          <w:rFonts w:hint="eastAsia"/>
        </w:rPr>
        <w:t>实现招标所陈述的功能，具备相关医保查询和打印功能。可满足身份证和社保卡登录，能够实现医保业务查询和打印等相关功能需求。</w:t>
      </w:r>
    </w:p>
    <w:p>
      <w:pPr>
        <w:ind w:firstLine="640"/>
      </w:pPr>
      <w:r>
        <w:rPr>
          <w:rFonts w:hint="eastAsia"/>
        </w:rPr>
        <w:t>（</w:t>
      </w:r>
      <w:r>
        <w:t>1</w:t>
      </w:r>
      <w:r>
        <w:rPr>
          <w:rFonts w:hint="eastAsia"/>
        </w:rPr>
        <w:t>）投标人须免费完成其所提供的自助设备端与招标方应用端系统的连接测试。</w:t>
      </w:r>
    </w:p>
    <w:p>
      <w:pPr>
        <w:ind w:firstLine="640"/>
      </w:pPr>
      <w:r>
        <w:rPr>
          <w:rFonts w:hint="eastAsia"/>
        </w:rPr>
        <w:t>（</w:t>
      </w:r>
      <w:r>
        <w:t>2</w:t>
      </w:r>
      <w:r>
        <w:rPr>
          <w:rFonts w:hint="eastAsia"/>
        </w:rPr>
        <w:t>）投标人须免费协助招标人完成测试、安装和升级。</w:t>
      </w:r>
    </w:p>
    <w:p>
      <w:pPr>
        <w:ind w:firstLine="640"/>
      </w:pPr>
      <w:r>
        <w:rPr>
          <w:rFonts w:hint="eastAsia"/>
        </w:rPr>
        <w:t>（</w:t>
      </w:r>
      <w:r>
        <w:t>3</w:t>
      </w:r>
      <w:r>
        <w:rPr>
          <w:rFonts w:hint="eastAsia"/>
        </w:rPr>
        <w:t>）联网协议须支持</w:t>
      </w:r>
      <w:r>
        <w:t>TCP/IP</w:t>
      </w:r>
      <w:r>
        <w:rPr>
          <w:rFonts w:hint="eastAsia"/>
        </w:rPr>
        <w:t>等多种通讯协议，必须提供支持系统连接的所有物理网络。</w:t>
      </w:r>
    </w:p>
    <w:p>
      <w:pPr>
        <w:ind w:firstLine="640"/>
      </w:pPr>
      <w:r>
        <w:rPr>
          <w:rFonts w:hint="eastAsia"/>
        </w:rPr>
        <w:t>（</w:t>
      </w:r>
      <w:r>
        <w:t>4</w:t>
      </w:r>
      <w:r>
        <w:rPr>
          <w:rFonts w:hint="eastAsia"/>
        </w:rPr>
        <w:t>）免费提供相应的技术培训服务。</w:t>
      </w:r>
    </w:p>
    <w:p>
      <w:pPr>
        <w:ind w:firstLine="640"/>
      </w:pPr>
      <w:r>
        <w:rPr>
          <w:rFonts w:hint="eastAsia"/>
        </w:rPr>
        <w:t>（</w:t>
      </w:r>
      <w:r>
        <w:t>5</w:t>
      </w:r>
      <w:r>
        <w:rPr>
          <w:rFonts w:hint="eastAsia"/>
        </w:rPr>
        <w:t>）在设备生命周期内，按照招标方未来系统业务要求，积极配合进行与设备相关的软件开发、升级和联通调试工作。</w:t>
      </w:r>
    </w:p>
    <w:p>
      <w:pPr>
        <w:ind w:firstLine="640"/>
      </w:pPr>
      <w:r>
        <w:rPr>
          <w:rFonts w:hint="eastAsia"/>
        </w:rPr>
        <w:t>（</w:t>
      </w:r>
      <w:r>
        <w:t>6</w:t>
      </w:r>
      <w:r>
        <w:rPr>
          <w:rFonts w:hint="eastAsia"/>
        </w:rPr>
        <w:t>）软件免费维护服务期为软件正式交付使用后2年。</w:t>
      </w:r>
    </w:p>
    <w:p>
      <w:pPr>
        <w:pStyle w:val="4"/>
      </w:pPr>
      <w:r>
        <w:rPr>
          <w:rFonts w:hint="eastAsia"/>
        </w:rPr>
        <w:t>2</w:t>
      </w:r>
      <w:r>
        <w:t>.2</w:t>
      </w:r>
      <w:r>
        <w:rPr>
          <w:rFonts w:hint="eastAsia"/>
        </w:rPr>
        <w:t>软件功能</w:t>
      </w:r>
      <w:r>
        <w:t>要求。</w:t>
      </w:r>
    </w:p>
    <w:tbl>
      <w:tblPr>
        <w:tblStyle w:val="5"/>
        <w:tblW w:w="507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01"/>
        <w:gridCol w:w="1011"/>
        <w:gridCol w:w="2314"/>
        <w:gridCol w:w="4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blHeader/>
          <w:jc w:val="center"/>
        </w:trPr>
        <w:tc>
          <w:tcPr>
            <w:tcW w:w="592" w:type="pct"/>
            <w:tcBorders>
              <w:top w:val="single" w:color="auto" w:sz="12" w:space="0"/>
              <w:bottom w:val="single" w:color="auto" w:sz="4" w:space="0"/>
            </w:tcBorders>
            <w:shd w:val="clear" w:color="auto" w:fill="D9D9D9"/>
            <w:noWrap/>
            <w:vAlign w:val="center"/>
          </w:tcPr>
          <w:p>
            <w:pPr>
              <w:widowControl/>
              <w:adjustRightInd w:val="0"/>
              <w:snapToGrid w:val="0"/>
              <w:spacing w:after="60" w:line="240" w:lineRule="auto"/>
              <w:ind w:firstLine="0" w:firstLineChars="0"/>
              <w:jc w:val="center"/>
              <w:rPr>
                <w:rFonts w:ascii="宋体" w:hAnsi="宋体" w:eastAsia="宋体"/>
                <w:b/>
                <w:bCs/>
                <w:snapToGrid w:val="0"/>
                <w:kern w:val="0"/>
                <w:sz w:val="21"/>
                <w:szCs w:val="21"/>
              </w:rPr>
            </w:pPr>
            <w:r>
              <w:rPr>
                <w:rFonts w:hint="eastAsia" w:ascii="宋体" w:hAnsi="宋体" w:eastAsia="宋体"/>
                <w:b/>
                <w:bCs/>
                <w:snapToGrid w:val="0"/>
                <w:kern w:val="0"/>
                <w:sz w:val="21"/>
                <w:szCs w:val="21"/>
              </w:rPr>
              <w:t>分类</w:t>
            </w:r>
          </w:p>
        </w:tc>
        <w:tc>
          <w:tcPr>
            <w:tcW w:w="598" w:type="pct"/>
            <w:tcBorders>
              <w:top w:val="single" w:color="auto" w:sz="12" w:space="0"/>
              <w:bottom w:val="single" w:color="auto" w:sz="4" w:space="0"/>
            </w:tcBorders>
            <w:shd w:val="clear" w:color="auto" w:fill="D9D9D9"/>
            <w:noWrap/>
            <w:vAlign w:val="center"/>
          </w:tcPr>
          <w:p>
            <w:pPr>
              <w:widowControl/>
              <w:wordWrap w:val="0"/>
              <w:adjustRightInd w:val="0"/>
              <w:snapToGrid w:val="0"/>
              <w:spacing w:after="60" w:line="240" w:lineRule="auto"/>
              <w:ind w:firstLine="0" w:firstLineChars="0"/>
              <w:jc w:val="center"/>
              <w:rPr>
                <w:rFonts w:ascii="宋体" w:hAnsi="宋体" w:eastAsia="宋体"/>
                <w:b/>
                <w:bCs/>
                <w:snapToGrid w:val="0"/>
                <w:kern w:val="0"/>
                <w:sz w:val="21"/>
                <w:szCs w:val="21"/>
              </w:rPr>
            </w:pPr>
            <w:r>
              <w:rPr>
                <w:rFonts w:hint="eastAsia" w:ascii="宋体" w:hAnsi="宋体" w:eastAsia="宋体"/>
                <w:b/>
                <w:bCs/>
                <w:snapToGrid w:val="0"/>
                <w:kern w:val="0"/>
                <w:sz w:val="21"/>
                <w:szCs w:val="21"/>
              </w:rPr>
              <w:t>业务类型</w:t>
            </w:r>
          </w:p>
        </w:tc>
        <w:tc>
          <w:tcPr>
            <w:tcW w:w="1369" w:type="pct"/>
            <w:tcBorders>
              <w:top w:val="single" w:color="auto" w:sz="12" w:space="0"/>
              <w:bottom w:val="single" w:color="auto" w:sz="4" w:space="0"/>
            </w:tcBorders>
            <w:shd w:val="clear" w:color="auto" w:fill="D9D9D9"/>
            <w:noWrap/>
            <w:vAlign w:val="center"/>
          </w:tcPr>
          <w:p>
            <w:pPr>
              <w:widowControl/>
              <w:wordWrap w:val="0"/>
              <w:adjustRightInd w:val="0"/>
              <w:snapToGrid w:val="0"/>
              <w:spacing w:after="60" w:line="240" w:lineRule="auto"/>
              <w:ind w:firstLine="0" w:firstLineChars="0"/>
              <w:jc w:val="center"/>
              <w:rPr>
                <w:rFonts w:ascii="宋体" w:hAnsi="宋体" w:eastAsia="宋体"/>
                <w:b/>
                <w:bCs/>
                <w:snapToGrid w:val="0"/>
                <w:kern w:val="0"/>
                <w:sz w:val="21"/>
                <w:szCs w:val="21"/>
              </w:rPr>
            </w:pPr>
            <w:r>
              <w:rPr>
                <w:rFonts w:hint="eastAsia" w:ascii="宋体" w:hAnsi="宋体" w:eastAsia="宋体"/>
                <w:b/>
                <w:bCs/>
                <w:snapToGrid w:val="0"/>
                <w:kern w:val="0"/>
                <w:sz w:val="21"/>
                <w:szCs w:val="21"/>
              </w:rPr>
              <w:t>功能名称</w:t>
            </w:r>
          </w:p>
        </w:tc>
        <w:tc>
          <w:tcPr>
            <w:tcW w:w="2441" w:type="pct"/>
            <w:tcBorders>
              <w:top w:val="single" w:color="auto" w:sz="12" w:space="0"/>
              <w:bottom w:val="single" w:color="auto" w:sz="4" w:space="0"/>
            </w:tcBorders>
            <w:shd w:val="clear" w:color="auto" w:fill="D9D9D9"/>
            <w:noWrap/>
            <w:vAlign w:val="center"/>
          </w:tcPr>
          <w:p>
            <w:pPr>
              <w:widowControl/>
              <w:wordWrap w:val="0"/>
              <w:adjustRightInd w:val="0"/>
              <w:snapToGrid w:val="0"/>
              <w:spacing w:after="60" w:line="240" w:lineRule="auto"/>
              <w:ind w:firstLine="0" w:firstLineChars="0"/>
              <w:jc w:val="center"/>
              <w:rPr>
                <w:rFonts w:ascii="宋体" w:hAnsi="宋体" w:eastAsia="宋体"/>
                <w:b/>
                <w:bCs/>
                <w:snapToGrid w:val="0"/>
                <w:kern w:val="0"/>
                <w:sz w:val="21"/>
                <w:szCs w:val="21"/>
              </w:rPr>
            </w:pPr>
            <w:r>
              <w:rPr>
                <w:rFonts w:hint="eastAsia" w:ascii="宋体" w:hAnsi="宋体" w:eastAsia="宋体"/>
                <w:b/>
                <w:bCs/>
                <w:snapToGrid w:val="0"/>
                <w:kern w:val="0"/>
                <w:sz w:val="21"/>
                <w:szCs w:val="21"/>
              </w:rPr>
              <w:t>功能简述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88" w:hRule="atLeast"/>
          <w:jc w:val="center"/>
        </w:trPr>
        <w:tc>
          <w:tcPr>
            <w:tcW w:w="592" w:type="pct"/>
            <w:vMerge w:val="restar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身份认证</w:t>
            </w:r>
          </w:p>
        </w:tc>
        <w:tc>
          <w:tcPr>
            <w:tcW w:w="598" w:type="pct"/>
            <w:vMerge w:val="restar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登录</w:t>
            </w:r>
          </w:p>
        </w:tc>
        <w:tc>
          <w:tcPr>
            <w:tcW w:w="1369" w:type="pc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身份证登录</w:t>
            </w:r>
          </w:p>
        </w:tc>
        <w:tc>
          <w:tcPr>
            <w:tcW w:w="2441" w:type="pct"/>
            <w:tcBorders>
              <w:top w:val="single" w:color="auto" w:sz="4" w:space="0"/>
            </w:tcBorders>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通过识别身份证读取身份信息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96" w:hRule="atLeast"/>
          <w:jc w:val="center"/>
        </w:trPr>
        <w:tc>
          <w:tcPr>
            <w:tcW w:w="592" w:type="pct"/>
            <w:vMerge w:val="continue"/>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社保卡登录</w:t>
            </w:r>
          </w:p>
        </w:tc>
        <w:tc>
          <w:tcPr>
            <w:tcW w:w="2441" w:type="pct"/>
            <w:tcBorders>
              <w:top w:val="single" w:color="auto" w:sz="4" w:space="0"/>
            </w:tcBorders>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通过识别社保卡读取身份信息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restar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公共业务</w:t>
            </w:r>
          </w:p>
        </w:tc>
        <w:tc>
          <w:tcPr>
            <w:tcW w:w="598" w:type="pct"/>
            <w:vMerge w:val="restar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查询类</w:t>
            </w:r>
          </w:p>
        </w:tc>
        <w:tc>
          <w:tcPr>
            <w:tcW w:w="1369" w:type="pct"/>
            <w:tcBorders>
              <w:top w:val="single" w:color="auto" w:sz="4" w:space="0"/>
            </w:tcBorders>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定点医院信息</w:t>
            </w:r>
          </w:p>
        </w:tc>
        <w:tc>
          <w:tcPr>
            <w:tcW w:w="2441" w:type="pct"/>
            <w:tcBorders>
              <w:top w:val="single" w:color="auto" w:sz="4" w:space="0"/>
            </w:tcBorders>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查询统筹区内、外定点医疗机构信息，含统筹区异地就医开通情况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定点药店信息</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查询统筹区内、外零售药店信息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经办机构信息</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查询统筹区内、外经办机构信息（名称、地址、联系方式等）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医保药品信息</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查询医保药品目录信息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诊疗目录信息</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查询医保诊疗目录信息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医用耗材信息</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查询医保医用耗材目录信息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restar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个人业务</w:t>
            </w:r>
          </w:p>
        </w:tc>
        <w:tc>
          <w:tcPr>
            <w:tcW w:w="598" w:type="pct"/>
            <w:vMerge w:val="restar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事项管理</w:t>
            </w: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待审核事项信息查询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查询个人待审核事项信息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已审核数据信息查询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查询个人已审核事项信息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满意度评价</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个人对已办理事项进行好差评操作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restar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查询类</w:t>
            </w: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个人基本信息查询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查询参保人基本信息，包括姓名、联系方式、户籍、家庭住址、银行账户等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个人参保信息查询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根据个人身份信息，对传入的人员参保信息进行查询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职工缴费明细查询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根据个人身份信息，对传入的人员职工缴纳信息查询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居民缴费信息查询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根据个人身份信息，对传入的人员居民缴纳信息查询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个人消费信息查询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根据个人身份信息，对传入的人员个人账户医疗消费信息查询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个人就医信息查询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根据个人身份信息，对传入的人员个人就医信息进行查询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个人账户查询</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根据个人身份信息，查询账户余额、入账明细、出账明细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跨省关系转移接续查询</w:t>
            </w:r>
          </w:p>
        </w:tc>
        <w:tc>
          <w:tcPr>
            <w:tcW w:w="2441" w:type="pct"/>
            <w:noWrap w:val="0"/>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查询个人跨省关系转移接续信息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个人门诊信息查询</w:t>
            </w:r>
          </w:p>
        </w:tc>
        <w:tc>
          <w:tcPr>
            <w:tcW w:w="2441" w:type="pct"/>
            <w:noWrap w:val="0"/>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查询个人门诊就医详情信息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个人住院信息查询</w:t>
            </w:r>
          </w:p>
        </w:tc>
        <w:tc>
          <w:tcPr>
            <w:tcW w:w="2441" w:type="pct"/>
            <w:noWrap w:val="0"/>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查询个人住院就医详情信息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药店购药信息查询</w:t>
            </w:r>
          </w:p>
        </w:tc>
        <w:tc>
          <w:tcPr>
            <w:tcW w:w="2441" w:type="pct"/>
            <w:noWrap w:val="0"/>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查询个人（亲情账户）药店购药明细信息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restar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经办类</w:t>
            </w: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个人基本信息变更</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上传相关材料，按流程变更个人基本信息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跨省异地就医备案申请</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上传有效证件等资料，按流程提交异地就医备案申请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城乡居民参保登记</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针对城乡居民可通过自助机进行新参保、续保业务的办理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灵活就业人员参保登记</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针对灵活就业人员可通过自助机进行新参保、续保业务的办理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灵活就业人员停保</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针对灵活就业人员可通过自助机进行暂停缴纳医保费用的业务办理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跨省转移接续转入申请</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上传相关材料，自助办理跨省转移接续转入申请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跨省转移接续转出申请</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上传相关材料，自助办理跨省转移接续转出申请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720" w:hRule="atLeas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restar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打印类</w:t>
            </w: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个人权益记录打印</w:t>
            </w:r>
          </w:p>
        </w:tc>
        <w:tc>
          <w:tcPr>
            <w:tcW w:w="2441" w:type="pct"/>
            <w:noWrap/>
            <w:vAlign w:val="center"/>
          </w:tcPr>
          <w:p>
            <w:pPr>
              <w:widowControl/>
              <w:adjustRightInd w:val="0"/>
              <w:snapToGrid w:val="0"/>
              <w:spacing w:after="60"/>
              <w:ind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根据个人身份信息，打印个人参保、缴费、账户等信息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270" w:hRule="atLeast"/>
          <w:jc w:val="center"/>
        </w:trPr>
        <w:tc>
          <w:tcPr>
            <w:tcW w:w="592" w:type="pct"/>
            <w:vMerge w:val="continue"/>
            <w:noWrap w:val="0"/>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598" w:type="pct"/>
            <w:vMerge w:val="continue"/>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p>
        </w:tc>
        <w:tc>
          <w:tcPr>
            <w:tcW w:w="1369" w:type="pct"/>
            <w:noWrap/>
            <w:vAlign w:val="center"/>
          </w:tcPr>
          <w:p>
            <w:pPr>
              <w:widowControl/>
              <w:adjustRightInd w:val="0"/>
              <w:snapToGrid w:val="0"/>
              <w:spacing w:after="60"/>
              <w:ind w:firstLine="0" w:firstLineChars="0"/>
              <w:jc w:val="center"/>
              <w:rPr>
                <w:rFonts w:ascii="宋体" w:hAnsi="宋体" w:eastAsia="宋体"/>
                <w:snapToGrid w:val="0"/>
                <w:kern w:val="0"/>
                <w:sz w:val="21"/>
                <w:szCs w:val="21"/>
              </w:rPr>
            </w:pPr>
            <w:r>
              <w:rPr>
                <w:rFonts w:hint="eastAsia" w:ascii="宋体" w:hAnsi="宋体" w:eastAsia="宋体"/>
                <w:snapToGrid w:val="0"/>
                <w:kern w:val="0"/>
                <w:sz w:val="21"/>
                <w:szCs w:val="21"/>
              </w:rPr>
              <w:t>个人报销单据打印</w:t>
            </w:r>
          </w:p>
        </w:tc>
        <w:tc>
          <w:tcPr>
            <w:tcW w:w="2441" w:type="pct"/>
            <w:noWrap/>
            <w:vAlign w:val="center"/>
          </w:tcPr>
          <w:p>
            <w:pPr>
              <w:widowControl/>
              <w:adjustRightInd w:val="0"/>
              <w:snapToGrid w:val="0"/>
              <w:spacing w:after="60"/>
              <w:ind w:left="2" w:leftChars="1" w:firstLine="0" w:firstLineChars="0"/>
              <w:rPr>
                <w:rFonts w:ascii="宋体" w:hAnsi="宋体" w:eastAsia="宋体"/>
                <w:snapToGrid w:val="0"/>
                <w:kern w:val="0"/>
                <w:sz w:val="21"/>
                <w:szCs w:val="21"/>
              </w:rPr>
            </w:pPr>
            <w:r>
              <w:rPr>
                <w:rFonts w:hint="eastAsia" w:ascii="宋体" w:hAnsi="宋体" w:eastAsia="宋体"/>
                <w:snapToGrid w:val="0"/>
                <w:kern w:val="0"/>
                <w:sz w:val="21"/>
                <w:szCs w:val="21"/>
              </w:rPr>
              <w:t>根据个人身份信息，查询并打印生育、门诊、住院、零星报销等单据</w:t>
            </w:r>
          </w:p>
        </w:tc>
      </w:tr>
    </w:tbl>
    <w:p>
      <w:pPr>
        <w:pStyle w:val="3"/>
      </w:pPr>
      <w:r>
        <w:rPr>
          <w:rFonts w:hint="eastAsia"/>
        </w:rPr>
        <w:t>3.设备安装调试和验收要求</w:t>
      </w:r>
    </w:p>
    <w:p>
      <w:pPr>
        <w:ind w:firstLine="640"/>
      </w:pPr>
      <w:r>
        <w:rPr>
          <w:rFonts w:hint="eastAsia"/>
        </w:rPr>
        <w:t>（</w:t>
      </w:r>
      <w:r>
        <w:t>1</w:t>
      </w:r>
      <w:r>
        <w:rPr>
          <w:rFonts w:hint="eastAsia"/>
        </w:rPr>
        <w:t>）投标人提出项目</w:t>
      </w:r>
      <w:r>
        <w:t>所需</w:t>
      </w:r>
      <w:r>
        <w:rPr>
          <w:rFonts w:hint="eastAsia"/>
        </w:rPr>
        <w:t>硬件的验收方式和验收标准并提供</w:t>
      </w:r>
      <w:r>
        <w:t>完善的调试和验收方案</w:t>
      </w:r>
      <w:r>
        <w:rPr>
          <w:rFonts w:hint="eastAsia"/>
        </w:rPr>
        <w:t>。</w:t>
      </w:r>
    </w:p>
    <w:p>
      <w:pPr>
        <w:ind w:firstLine="640"/>
      </w:pPr>
      <w:r>
        <w:rPr>
          <w:rFonts w:hint="eastAsia"/>
        </w:rPr>
        <w:t>（2）投标人提出设备安装的环境标准要求，以及在安装过程中需要甲方人员配合的工作内容。</w:t>
      </w:r>
    </w:p>
    <w:p>
      <w:pPr>
        <w:ind w:firstLine="640"/>
      </w:pPr>
      <w:r>
        <w:rPr>
          <w:rFonts w:hint="eastAsia"/>
        </w:rPr>
        <w:t>（3）投标人负责相关软件的客户化修改、升级和联通调试工作。</w:t>
      </w:r>
    </w:p>
    <w:p>
      <w:pPr>
        <w:ind w:firstLine="640"/>
      </w:pPr>
      <w:r>
        <w:rPr>
          <w:rFonts w:hint="eastAsia"/>
        </w:rPr>
        <w:t>（4）在安装调试中，投标人负责安装调试过程中所有损坏零部件的更换。</w:t>
      </w:r>
    </w:p>
    <w:p>
      <w:pPr>
        <w:ind w:firstLine="640"/>
      </w:pPr>
      <w:r>
        <w:rPr>
          <w:rFonts w:hint="eastAsia"/>
        </w:rPr>
        <w:t>（5）投标人的价格中已包含投标人工作人员费用等安装调试费用和其他投标人承诺的安装调试工作相关的费用。</w:t>
      </w:r>
    </w:p>
    <w:p>
      <w:pPr>
        <w:pStyle w:val="3"/>
      </w:pPr>
      <w:r>
        <w:rPr>
          <w:rFonts w:hint="eastAsia"/>
        </w:rPr>
        <w:t>4.保修期内的维护服务要求</w:t>
      </w:r>
    </w:p>
    <w:p>
      <w:pPr>
        <w:ind w:firstLine="640"/>
      </w:pPr>
      <w:r>
        <w:rPr>
          <w:rFonts w:hint="eastAsia"/>
        </w:rPr>
        <w:t>（</w:t>
      </w:r>
      <w:r>
        <w:t>1</w:t>
      </w:r>
      <w:r>
        <w:rPr>
          <w:rFonts w:hint="eastAsia"/>
        </w:rPr>
        <w:t>）本次招标的设备和软件保修期均为验收合格之日起2年。</w:t>
      </w:r>
    </w:p>
    <w:p>
      <w:pPr>
        <w:ind w:firstLine="640"/>
      </w:pPr>
      <w:r>
        <w:rPr>
          <w:rFonts w:hint="eastAsia"/>
        </w:rPr>
        <w:t>（</w:t>
      </w:r>
      <w:r>
        <w:t>2</w:t>
      </w:r>
      <w:r>
        <w:rPr>
          <w:rFonts w:hint="eastAsia"/>
        </w:rPr>
        <w:t>）在保修期内，如甲方系统进行升级改造，中标人须积极配合软件升级及改造工作。</w:t>
      </w:r>
    </w:p>
    <w:p>
      <w:pPr>
        <w:ind w:firstLine="640"/>
      </w:pPr>
      <w:r>
        <w:rPr>
          <w:rFonts w:hint="eastAsia"/>
        </w:rPr>
        <w:t>（</w:t>
      </w:r>
      <w:r>
        <w:t>3</w:t>
      </w:r>
      <w:r>
        <w:rPr>
          <w:rFonts w:hint="eastAsia"/>
        </w:rPr>
        <w:t>）所</w:t>
      </w:r>
      <w:r>
        <w:t>投</w:t>
      </w:r>
      <w:r>
        <w:rPr>
          <w:rFonts w:hint="eastAsia"/>
        </w:rPr>
        <w:t>设备</w:t>
      </w:r>
      <w:r>
        <w:t>的</w:t>
      </w:r>
      <w:r>
        <w:rPr>
          <w:rFonts w:hint="eastAsia"/>
        </w:rPr>
        <w:t>硬件服务要有全国统一的流程和响应体系。</w:t>
      </w:r>
    </w:p>
    <w:p>
      <w:pPr>
        <w:ind w:firstLine="640"/>
      </w:pPr>
      <w:r>
        <w:rPr>
          <w:rFonts w:hint="eastAsia"/>
        </w:rPr>
        <w:t>（4）所</w:t>
      </w:r>
      <w:r>
        <w:t>投</w:t>
      </w:r>
      <w:r>
        <w:rPr>
          <w:rFonts w:hint="eastAsia"/>
        </w:rPr>
        <w:t>设备要有完善的售后服务</w:t>
      </w:r>
      <w:r>
        <w:t>体系，维护和相应方案。多</w:t>
      </w:r>
      <w:r>
        <w:rPr>
          <w:rFonts w:hint="eastAsia"/>
        </w:rPr>
        <w:t>渠道</w:t>
      </w:r>
      <w:r>
        <w:t>保修方式等。</w:t>
      </w:r>
      <w:r>
        <w:rPr>
          <w:rFonts w:hint="eastAsia"/>
        </w:rPr>
        <w:t xml:space="preserve"> </w:t>
      </w:r>
    </w:p>
    <w:p>
      <w:pPr>
        <w:ind w:firstLine="640"/>
      </w:pPr>
      <w:r>
        <w:rPr>
          <w:rFonts w:hint="eastAsia"/>
        </w:rPr>
        <w:t>（5）服务的响应事件需要2小时内响应，4小时内到达，具有完善</w:t>
      </w:r>
      <w:r>
        <w:t>的售后服务热线</w:t>
      </w:r>
      <w:r>
        <w:rPr>
          <w:rFonts w:hint="eastAsia"/>
        </w:rPr>
        <w:t>，详述方案的内容、方式和时间等。</w:t>
      </w:r>
    </w:p>
    <w:p>
      <w:pPr>
        <w:ind w:firstLine="640"/>
      </w:pPr>
      <w:r>
        <w:rPr>
          <w:rFonts w:hint="eastAsia"/>
        </w:rPr>
        <w:t>（</w:t>
      </w:r>
      <w:r>
        <w:t>6</w:t>
      </w:r>
      <w:r>
        <w:rPr>
          <w:rFonts w:hint="eastAsia"/>
        </w:rPr>
        <w:t>）设备开机合格率不低于</w:t>
      </w:r>
      <w:r>
        <w:t>95%</w:t>
      </w:r>
      <w:r>
        <w:rPr>
          <w:rFonts w:hint="eastAsia"/>
        </w:rPr>
        <w:t>。</w:t>
      </w:r>
    </w:p>
    <w:p>
      <w:pPr>
        <w:ind w:firstLine="640"/>
      </w:pPr>
      <w:r>
        <w:rPr>
          <w:rFonts w:hint="eastAsia"/>
        </w:rPr>
        <w:t>（</w:t>
      </w:r>
      <w:r>
        <w:t>7</w:t>
      </w:r>
      <w:r>
        <w:rPr>
          <w:rFonts w:hint="eastAsia"/>
        </w:rPr>
        <w:t>）软件维护和升级服务的内容，包括应用系统和操作系统等。</w:t>
      </w:r>
    </w:p>
    <w:p>
      <w:pPr>
        <w:pStyle w:val="3"/>
      </w:pPr>
      <w:r>
        <w:rPr>
          <w:rFonts w:hint="eastAsia"/>
        </w:rPr>
        <w:t>5.其它服务要求</w:t>
      </w:r>
    </w:p>
    <w:p>
      <w:pPr>
        <w:ind w:firstLine="640"/>
      </w:pPr>
      <w:r>
        <w:rPr>
          <w:rFonts w:hint="eastAsia"/>
        </w:rPr>
        <w:t>（1）本合同维护期内，投标方提供</w:t>
      </w:r>
      <w:r>
        <w:t>7</w:t>
      </w:r>
      <w:r>
        <w:rPr>
          <w:rFonts w:hint="eastAsia"/>
        </w:rPr>
        <w:t>×</w:t>
      </w:r>
      <w:r>
        <w:t>24</w:t>
      </w:r>
      <w:r>
        <w:rPr>
          <w:rFonts w:hint="eastAsia"/>
        </w:rPr>
        <w:t>小时专人技术咨询服务，提供技术支持，维护过程负责协调厂商资源。</w:t>
      </w:r>
    </w:p>
    <w:p>
      <w:pPr>
        <w:ind w:firstLine="640"/>
      </w:pPr>
      <w:r>
        <w:rPr>
          <w:rFonts w:hint="eastAsia"/>
        </w:rPr>
        <w:t>（2）中标人对所投产品在使用过程中出现的故障和零配件损坏问题，免费提供维修和更换服务；在货物的设计使用寿命期内，中标人必须保证零部件的正常供应，对所有部件提供终身维修服务，对货物定期维护保养，确保货物正常使用。提供安装调试、人员培训、技术支持；定期进行用户回访及时回应用户意见。</w:t>
      </w:r>
    </w:p>
    <w:p>
      <w:pPr>
        <w:ind w:firstLine="640"/>
      </w:pPr>
      <w:r>
        <w:rPr>
          <w:rFonts w:hint="eastAsia"/>
        </w:rPr>
        <w:t>（</w:t>
      </w:r>
      <w:r>
        <w:t>3</w:t>
      </w:r>
      <w:r>
        <w:rPr>
          <w:rFonts w:hint="eastAsia"/>
        </w:rPr>
        <w:t>）日常维护服务</w:t>
      </w:r>
    </w:p>
    <w:p>
      <w:pPr>
        <w:ind w:firstLine="640"/>
      </w:pPr>
      <w:r>
        <w:t xml:space="preserve"> 1</w:t>
      </w:r>
      <w:r>
        <w:rPr>
          <w:rFonts w:hint="eastAsia"/>
        </w:rPr>
        <w:t>）定期对系统的软硬件进行检测，发现故障，排除隐患，提出改进意见；</w:t>
      </w:r>
    </w:p>
    <w:p>
      <w:pPr>
        <w:ind w:firstLine="640"/>
        <w:rPr>
          <w:rFonts w:hint="eastAsia"/>
        </w:rPr>
      </w:pPr>
      <w:r>
        <w:t xml:space="preserve"> 2</w:t>
      </w:r>
      <w:r>
        <w:rPr>
          <w:rFonts w:hint="eastAsia"/>
        </w:rPr>
        <w:t>）投标方应高度重视检查过程中发现的异常情况，及时通知招标方维护人员，查找原因，排除故障隐患。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E7A6C"/>
    <w:multiLevelType w:val="singleLevel"/>
    <w:tmpl w:val="EEEE7A6C"/>
    <w:lvl w:ilvl="0" w:tentative="0">
      <w:start w:val="2"/>
      <w:numFmt w:val="decimal"/>
      <w:lvlText w:val="%1."/>
      <w:lvlJc w:val="left"/>
      <w:pPr>
        <w:tabs>
          <w:tab w:val="left" w:pos="312"/>
        </w:tabs>
      </w:pPr>
    </w:lvl>
  </w:abstractNum>
  <w:abstractNum w:abstractNumId="1">
    <w:nsid w:val="1E817906"/>
    <w:multiLevelType w:val="multilevel"/>
    <w:tmpl w:val="1E817906"/>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TI3ZTJiYzZiMTBkNDBlODQ5ZjI5MDliYmExNmIifQ=="/>
  </w:docVars>
  <w:rsids>
    <w:rsidRoot w:val="544D290D"/>
    <w:rsid w:val="544D2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qFormat/>
    <w:uiPriority w:val="0"/>
    <w:pPr>
      <w:keepNext/>
      <w:keepLines/>
      <w:spacing w:before="260" w:after="260" w:line="413" w:lineRule="auto"/>
      <w:ind w:firstLine="0" w:firstLineChars="0"/>
      <w:outlineLvl w:val="2"/>
    </w:pPr>
    <w:rPr>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7">
    <w:name w:val="正文1"/>
    <w:basedOn w:val="1"/>
    <w:qFormat/>
    <w:uiPriority w:val="0"/>
    <w:pPr>
      <w:ind w:firstLine="200"/>
    </w:pPr>
    <w:rPr>
      <w:rFonts w:ascii="宋体" w:hAnsi="宋体" w:eastAsia="宋体"/>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2022-09-30T08:17:00Z</dcterms:created>
  <dc:creator>Administrator</dc:creator>
  <cp:lastModifiedBy>Administrator</cp:lastModifiedBy>
  <dcterms:modified xsi:type="dcterms:W3CDTF">2022-09-30T08:18:00Z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265F18B23BCC406081245CEB84B30BE5</vt:lpwstr>
  </property>
</Properties>
</file>