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_GB2312" w:hAnsi="仿宋_GB2312" w:eastAsia="仿宋_GB2312" w:cs="仿宋_GB2312"/>
          <w:b/>
          <w:sz w:val="32"/>
          <w:szCs w:val="32"/>
        </w:rPr>
      </w:pPr>
      <w:bookmarkStart w:id="267" w:name="_GoBack"/>
      <w:bookmarkEnd w:id="267"/>
    </w:p>
    <w:p>
      <w:pPr>
        <w:spacing w:line="480" w:lineRule="exact"/>
        <w:jc w:val="center"/>
        <w:rPr>
          <w:rFonts w:ascii="仿宋_GB2312" w:hAnsi="仿宋_GB2312" w:eastAsia="仿宋_GB2312" w:cs="仿宋_GB2312"/>
          <w:b/>
          <w:sz w:val="32"/>
          <w:szCs w:val="32"/>
        </w:rPr>
      </w:pPr>
    </w:p>
    <w:p>
      <w:pPr>
        <w:spacing w:line="360" w:lineRule="auto"/>
        <w:jc w:val="center"/>
        <w:rPr>
          <w:rFonts w:ascii="仿宋_GB2312" w:hAnsi="仿宋_GB2312" w:eastAsia="仿宋_GB2312" w:cs="仿宋_GB2312"/>
          <w:b/>
          <w:sz w:val="52"/>
          <w:szCs w:val="52"/>
        </w:rPr>
      </w:pPr>
    </w:p>
    <w:p>
      <w:pPr>
        <w:spacing w:line="360" w:lineRule="auto"/>
        <w:jc w:val="center"/>
        <w:rPr>
          <w:rFonts w:ascii="仿宋_GB2312" w:hAnsi="仿宋_GB2312" w:eastAsia="仿宋_GB2312" w:cs="仿宋_GB2312"/>
          <w:b/>
          <w:sz w:val="52"/>
          <w:szCs w:val="52"/>
        </w:rPr>
      </w:pPr>
    </w:p>
    <w:p>
      <w:pPr>
        <w:spacing w:line="360" w:lineRule="auto"/>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jc w:val="center"/>
        <w:rPr>
          <w:rFonts w:hint="eastAsia" w:ascii="仿宋_GB2312" w:hAnsi="仿宋_GB2312" w:eastAsia="仿宋_GB2312" w:cs="仿宋_GB2312"/>
          <w:b/>
          <w:sz w:val="24"/>
          <w:szCs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jc w:val="center"/>
        <w:rPr>
          <w:rFonts w:ascii="仿宋_GB2312" w:hAnsi="仿宋_GB2312" w:eastAsia="仿宋_GB2312" w:cs="仿宋_GB2312"/>
          <w:b/>
          <w:sz w:val="24"/>
        </w:rPr>
      </w:pPr>
    </w:p>
    <w:p>
      <w:pPr>
        <w:spacing w:line="360" w:lineRule="auto"/>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480" w:lineRule="exact"/>
        <w:jc w:val="center"/>
        <w:rPr>
          <w:rFonts w:ascii="仿宋_GB2312" w:hAnsi="仿宋_GB2312" w:eastAsia="仿宋_GB2312" w:cs="仿宋_GB2312"/>
          <w:b/>
          <w:sz w:val="24"/>
        </w:rPr>
      </w:pPr>
    </w:p>
    <w:p>
      <w:pPr>
        <w:spacing w:line="360" w:lineRule="auto"/>
        <w:jc w:val="center"/>
        <w:rPr>
          <w:rFonts w:hint="eastAsia" w:ascii="仿宋_GB2312" w:hAnsi="仿宋_GB2312" w:eastAsia="仿宋_GB2312" w:cs="仿宋_GB2312"/>
          <w:b/>
          <w:sz w:val="36"/>
          <w:szCs w:val="36"/>
        </w:rPr>
      </w:pPr>
    </w:p>
    <w:p>
      <w:pPr>
        <w:spacing w:line="360" w:lineRule="auto"/>
        <w:ind w:left="2518" w:leftChars="342" w:hanging="1800" w:hangingChars="500"/>
        <w:rPr>
          <w:rFonts w:hint="default"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项目名称：</w:t>
      </w:r>
      <w:r>
        <w:rPr>
          <w:rFonts w:hint="eastAsia" w:ascii="仿宋_GB2312" w:hAnsi="仿宋_GB2312" w:eastAsia="仿宋_GB2312" w:cs="仿宋_GB2312"/>
          <w:b/>
          <w:sz w:val="36"/>
          <w:szCs w:val="36"/>
          <w:lang w:eastAsia="zh-CN"/>
        </w:rPr>
        <w:t>营口市文化旅游和广播电视局</w:t>
      </w:r>
      <w:r>
        <w:rPr>
          <w:rFonts w:hint="eastAsia" w:ascii="仿宋_GB2312" w:hAnsi="仿宋_GB2312" w:eastAsia="仿宋_GB2312" w:cs="仿宋_GB2312"/>
          <w:b/>
          <w:sz w:val="36"/>
          <w:szCs w:val="36"/>
          <w:lang w:val="en-US" w:eastAsia="zh-CN"/>
        </w:rPr>
        <w:t>2022年图书采购</w:t>
      </w:r>
    </w:p>
    <w:p>
      <w:pPr>
        <w:spacing w:line="360" w:lineRule="auto"/>
        <w:ind w:firstLine="720" w:firstLineChars="200"/>
        <w:rPr>
          <w:rFonts w:hint="default" w:ascii="仿宋_GB2312" w:hAnsi="仿宋_GB2312" w:eastAsia="仿宋_GB2312" w:cs="仿宋_GB2312"/>
          <w:b/>
          <w:color w:val="FFFF00"/>
          <w:sz w:val="36"/>
          <w:szCs w:val="36"/>
          <w:lang w:val="en-US" w:eastAsia="zh-CN"/>
        </w:rPr>
      </w:pPr>
      <w:r>
        <w:rPr>
          <w:rFonts w:hint="eastAsia" w:ascii="仿宋_GB2312" w:hAnsi="仿宋_GB2312" w:eastAsia="仿宋_GB2312" w:cs="仿宋_GB2312"/>
          <w:b/>
          <w:sz w:val="36"/>
          <w:szCs w:val="36"/>
        </w:rPr>
        <w:t>项目编号：</w:t>
      </w:r>
      <w:r>
        <w:rPr>
          <w:rFonts w:hint="eastAsia" w:ascii="仿宋_GB2312" w:hAnsi="仿宋_GB2312" w:eastAsia="仿宋_GB2312" w:cs="仿宋_GB2312"/>
          <w:b/>
          <w:sz w:val="36"/>
          <w:szCs w:val="36"/>
          <w:lang w:val="en-US" w:eastAsia="zh-CN"/>
        </w:rPr>
        <w:t>JH22-210800-05294(</w:t>
      </w:r>
      <w:r>
        <w:rPr>
          <w:rFonts w:hint="eastAsia" w:ascii="仿宋_GB2312" w:hAnsi="仿宋_GB2312" w:eastAsia="仿宋_GB2312" w:cs="仿宋_GB2312"/>
          <w:b/>
          <w:sz w:val="36"/>
          <w:szCs w:val="36"/>
        </w:rPr>
        <w:t>YKSGZC</w:t>
      </w:r>
      <w:r>
        <w:rPr>
          <w:rFonts w:hint="eastAsia" w:ascii="仿宋_GB2312" w:hAnsi="仿宋_GB2312" w:eastAsia="仿宋_GB2312" w:cs="仿宋_GB2312"/>
          <w:b/>
          <w:sz w:val="36"/>
          <w:szCs w:val="36"/>
          <w:lang w:val="en-US" w:eastAsia="zh-CN"/>
        </w:rPr>
        <w:t>2022073)</w:t>
      </w:r>
    </w:p>
    <w:p>
      <w:pPr>
        <w:spacing w:line="360" w:lineRule="auto"/>
        <w:ind w:firstLine="720" w:firstLineChars="200"/>
        <w:jc w:val="both"/>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rPr>
        <w:t>编制单位：营口市</w:t>
      </w:r>
      <w:r>
        <w:rPr>
          <w:rFonts w:hint="eastAsia" w:ascii="仿宋_GB2312" w:hAnsi="仿宋_GB2312" w:eastAsia="仿宋_GB2312" w:cs="仿宋_GB2312"/>
          <w:b/>
          <w:sz w:val="36"/>
          <w:szCs w:val="36"/>
          <w:lang w:eastAsia="zh-CN"/>
        </w:rPr>
        <w:t>营商环境建设中心</w:t>
      </w:r>
    </w:p>
    <w:p>
      <w:pPr>
        <w:spacing w:line="360" w:lineRule="auto"/>
        <w:ind w:firstLine="2160" w:firstLineChars="600"/>
        <w:jc w:val="both"/>
        <w:rPr>
          <w:rFonts w:hint="eastAsia" w:ascii="仿宋_GB2312" w:hAnsi="仿宋_GB2312" w:eastAsia="仿宋_GB2312" w:cs="仿宋_GB2312"/>
          <w:b/>
          <w:bCs/>
          <w:sz w:val="36"/>
          <w:szCs w:val="44"/>
          <w:lang w:eastAsia="zh-CN"/>
        </w:rPr>
      </w:pPr>
      <w:r>
        <w:rPr>
          <w:rFonts w:hint="eastAsia" w:ascii="仿宋_GB2312" w:hAnsi="仿宋_GB2312" w:eastAsia="仿宋_GB2312" w:cs="仿宋_GB2312"/>
          <w:b/>
          <w:bCs/>
          <w:sz w:val="36"/>
          <w:szCs w:val="44"/>
          <w:lang w:eastAsia="zh-CN"/>
        </w:rPr>
        <w:t>（营口市公共资源交易中心）</w:t>
      </w:r>
    </w:p>
    <w:p>
      <w:pPr>
        <w:spacing w:line="360" w:lineRule="auto"/>
        <w:ind w:firstLine="2160" w:firstLineChars="600"/>
        <w:jc w:val="both"/>
        <w:rPr>
          <w:rFonts w:hint="eastAsia" w:ascii="仿宋_GB2312" w:hAnsi="仿宋_GB2312" w:eastAsia="仿宋_GB2312" w:cs="仿宋_GB2312"/>
          <w:b/>
          <w:bCs/>
          <w:sz w:val="36"/>
          <w:szCs w:val="44"/>
          <w:lang w:eastAsia="zh-CN"/>
        </w:rPr>
        <w:sectPr>
          <w:pgSz w:w="11906" w:h="16838"/>
          <w:pgMar w:top="1440" w:right="1800" w:bottom="1440" w:left="1800" w:header="851" w:footer="992" w:gutter="0"/>
          <w:cols w:space="720" w:num="1"/>
          <w:docGrid w:type="linesAndChars" w:linePitch="312" w:charSpace="0"/>
        </w:sectPr>
      </w:pPr>
    </w:p>
    <w:p>
      <w:pPr>
        <w:spacing w:line="480" w:lineRule="auto"/>
        <w:jc w:val="center"/>
      </w:pPr>
    </w:p>
    <w:p>
      <w:pPr>
        <w:spacing w:line="480" w:lineRule="auto"/>
        <w:jc w:val="center"/>
        <w:rPr>
          <w:rFonts w:hint="eastAsia" w:ascii="仿宋_GB2312" w:hAnsi="仿宋_GB2312" w:eastAsia="仿宋_GB2312" w:cs="仿宋_GB2312"/>
          <w:b/>
          <w:bCs/>
          <w:sz w:val="44"/>
          <w:szCs w:val="44"/>
        </w:rPr>
      </w:pPr>
      <w:bookmarkStart w:id="0" w:name="_Toc1124_WPSOffice_Level1"/>
      <w:bookmarkStart w:id="1" w:name="_Toc7381"/>
      <w:r>
        <w:rPr>
          <w:rFonts w:hint="eastAsia" w:ascii="仿宋_GB2312" w:hAnsi="仿宋_GB2312" w:eastAsia="仿宋_GB2312" w:cs="仿宋_GB2312"/>
          <w:b/>
          <w:bCs/>
          <w:sz w:val="44"/>
          <w:szCs w:val="44"/>
        </w:rPr>
        <w:t>目</w:t>
      </w:r>
      <w:r>
        <w:rPr>
          <w:rFonts w:hint="eastAsia" w:ascii="仿宋_GB2312" w:hAnsi="仿宋_GB2312" w:eastAsia="仿宋_GB2312" w:cs="仿宋_GB2312"/>
          <w:b/>
          <w:bCs/>
          <w:sz w:val="44"/>
          <w:szCs w:val="44"/>
          <w:lang w:val="en-US" w:eastAsia="zh-CN"/>
        </w:rPr>
        <w:t xml:space="preserve">  </w:t>
      </w:r>
      <w:r>
        <w:rPr>
          <w:rFonts w:hint="eastAsia" w:ascii="仿宋_GB2312" w:hAnsi="仿宋_GB2312" w:eastAsia="仿宋_GB2312" w:cs="仿宋_GB2312"/>
          <w:b/>
          <w:bCs/>
          <w:sz w:val="44"/>
          <w:szCs w:val="44"/>
        </w:rPr>
        <w:t>录</w:t>
      </w:r>
    </w:p>
    <w:p>
      <w:pPr>
        <w:spacing w:line="480" w:lineRule="auto"/>
        <w:jc w:val="center"/>
        <w:rPr>
          <w:rFonts w:hint="eastAsia" w:ascii="仿宋_GB2312" w:hAnsi="仿宋_GB2312" w:eastAsia="仿宋_GB2312" w:cs="仿宋_GB2312"/>
          <w:b/>
          <w:bCs/>
          <w:sz w:val="44"/>
          <w:szCs w:val="44"/>
        </w:rPr>
      </w:pPr>
    </w:p>
    <w:p>
      <w:pPr>
        <w:pStyle w:val="13"/>
        <w:tabs>
          <w:tab w:val="right" w:leader="dot" w:pos="8306"/>
        </w:tabs>
        <w:spacing w:line="48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TOC \o "1-1" \h \u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\l _Toc7380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招标公告</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_Toc7380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1</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rPr>
        <w:fldChar w:fldCharType="end"/>
      </w:r>
    </w:p>
    <w:p>
      <w:pPr>
        <w:pStyle w:val="13"/>
        <w:tabs>
          <w:tab w:val="right" w:leader="dot" w:pos="8306"/>
        </w:tabs>
        <w:spacing w:line="48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\l _Toc30265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第一章 投标人须知</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_Toc30265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4</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rPr>
        <w:fldChar w:fldCharType="end"/>
      </w:r>
    </w:p>
    <w:p>
      <w:pPr>
        <w:pStyle w:val="13"/>
        <w:tabs>
          <w:tab w:val="right" w:leader="dot" w:pos="8306"/>
        </w:tabs>
        <w:spacing w:line="48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\l _Toc7908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第二章 投标文件内容及格式</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_Toc7908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19</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rPr>
        <w:fldChar w:fldCharType="end"/>
      </w:r>
    </w:p>
    <w:p>
      <w:pPr>
        <w:pStyle w:val="13"/>
        <w:tabs>
          <w:tab w:val="right" w:leader="dot" w:pos="8306"/>
        </w:tabs>
        <w:spacing w:line="48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\l _Toc7298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第三章 货物需求</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_Toc7298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41</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rPr>
        <w:fldChar w:fldCharType="end"/>
      </w:r>
    </w:p>
    <w:p>
      <w:pPr>
        <w:pStyle w:val="13"/>
        <w:tabs>
          <w:tab w:val="right" w:leader="dot" w:pos="8306"/>
        </w:tabs>
        <w:spacing w:line="48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\l _Toc27579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第四章 评标方法</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_Toc27579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42</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rPr>
        <w:fldChar w:fldCharType="end"/>
      </w:r>
    </w:p>
    <w:p>
      <w:pPr>
        <w:pStyle w:val="13"/>
        <w:tabs>
          <w:tab w:val="right" w:leader="dot" w:pos="8306"/>
        </w:tabs>
        <w:spacing w:line="480" w:lineRule="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\l _Toc22790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第五章 政府采购合同条款及格式</w:t>
      </w:r>
      <w:r>
        <w:rPr>
          <w:rFonts w:hint="eastAsia" w:ascii="仿宋_GB2312" w:hAnsi="仿宋_GB2312" w:eastAsia="仿宋_GB2312" w:cs="仿宋_GB2312"/>
          <w:b/>
          <w:bCs/>
          <w:sz w:val="24"/>
          <w:szCs w:val="24"/>
        </w:rPr>
        <w:tab/>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PAGEREF _Toc22790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50</w:t>
      </w:r>
      <w:r>
        <w:rPr>
          <w:rFonts w:hint="eastAsia" w:ascii="仿宋_GB2312" w:hAnsi="仿宋_GB2312" w:eastAsia="仿宋_GB2312" w:cs="仿宋_GB2312"/>
          <w:b/>
          <w:bCs/>
          <w:sz w:val="24"/>
          <w:szCs w:val="24"/>
        </w:rPr>
        <w:fldChar w:fldCharType="end"/>
      </w:r>
      <w:r>
        <w:rPr>
          <w:rFonts w:hint="eastAsia" w:ascii="仿宋_GB2312" w:hAnsi="仿宋_GB2312" w:eastAsia="仿宋_GB2312" w:cs="仿宋_GB2312"/>
          <w:b/>
          <w:bCs/>
          <w:sz w:val="24"/>
          <w:szCs w:val="24"/>
        </w:rPr>
        <w:fldChar w:fldCharType="end"/>
      </w:r>
    </w:p>
    <w:p>
      <w:pPr>
        <w:pStyle w:val="13"/>
        <w:tabs>
          <w:tab w:val="right" w:leader="dot" w:pos="8306"/>
        </w:tabs>
        <w:spacing w:line="480" w:lineRule="auto"/>
        <w:rPr>
          <w:rFonts w:ascii="仿宋_GB2312" w:hAnsi="仿宋_GB2312" w:eastAsia="仿宋_GB2312" w:cs="仿宋_GB2312"/>
        </w:rPr>
        <w:sectPr>
          <w:footerReference r:id="rId3" w:type="default"/>
          <w:pgSz w:w="11906" w:h="16838"/>
          <w:pgMar w:top="1440" w:right="1800" w:bottom="1440" w:left="1800" w:header="851" w:footer="992" w:gutter="0"/>
          <w:pgNumType w:start="1"/>
          <w:cols w:space="720" w:num="1"/>
          <w:docGrid w:type="linesAndChars" w:linePitch="312" w:charSpace="0"/>
        </w:sectPr>
      </w:pPr>
      <w:r>
        <w:rPr>
          <w:rFonts w:hint="eastAsia" w:ascii="仿宋_GB2312" w:hAnsi="仿宋_GB2312" w:eastAsia="仿宋_GB2312" w:cs="仿宋_GB2312"/>
          <w:b/>
          <w:bCs/>
          <w:sz w:val="24"/>
          <w:szCs w:val="24"/>
        </w:rPr>
        <w:fldChar w:fldCharType="end"/>
      </w:r>
    </w:p>
    <w:bookmarkEnd w:id="0"/>
    <w:bookmarkEnd w:id="1"/>
    <w:p>
      <w:pPr>
        <w:pStyle w:val="2"/>
        <w:keepNext/>
        <w:keepLines/>
        <w:pageBreakBefore w:val="0"/>
        <w:widowControl w:val="0"/>
        <w:kinsoku/>
        <w:wordWrap/>
        <w:overflowPunct/>
        <w:topLinePunct w:val="0"/>
        <w:autoSpaceDE/>
        <w:autoSpaceDN/>
        <w:bidi w:val="0"/>
        <w:adjustRightInd/>
        <w:snapToGrid w:val="0"/>
        <w:spacing w:before="0" w:after="0" w:line="360" w:lineRule="auto"/>
        <w:jc w:val="center"/>
        <w:textAlignment w:val="auto"/>
        <w:rPr>
          <w:rFonts w:eastAsia="华文中宋" w:cs="Times New Roman"/>
          <w:bCs/>
          <w:szCs w:val="44"/>
        </w:rPr>
      </w:pPr>
      <w:bookmarkStart w:id="2" w:name="_Toc28359001"/>
      <w:bookmarkStart w:id="3" w:name="_Toc7380"/>
      <w:bookmarkStart w:id="4" w:name="_Toc35393789"/>
      <w:bookmarkStart w:id="5" w:name="_Toc9614"/>
      <w:bookmarkStart w:id="6" w:name="_Toc26518_WPSOffice_Level1"/>
      <w:r>
        <w:rPr>
          <w:rFonts w:hint="eastAsia" w:ascii="仿宋_GB2312" w:hAnsi="仿宋_GB2312" w:eastAsia="仿宋_GB2312" w:cs="仿宋_GB2312"/>
        </w:rPr>
        <w:t>营口市文化旅游和广播电视局2022年图书采购JH22-210800-05294(YKSGZC2022073)招标公告</w:t>
      </w:r>
      <w:bookmarkEnd w:id="2"/>
      <w:bookmarkEnd w:id="3"/>
      <w:bookmarkEnd w:id="4"/>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cs="Times New Roman"/>
          <w:szCs w:val="21"/>
        </w:rPr>
      </w:pPr>
      <w:r>
        <w:rPr>
          <w:rFonts w:hint="eastAsia" w:ascii="仿宋" w:hAnsi="仿宋" w:cs="Times New Roman"/>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仿宋" w:hAnsi="仿宋" w:cs="宋体"/>
          <w:bCs/>
          <w:szCs w:val="21"/>
        </w:rPr>
      </w:pPr>
      <w:r>
        <w:rPr>
          <w:rFonts w:hint="eastAsia" w:ascii="仿宋" w:hAnsi="仿宋" w:cs="Times New Roman"/>
          <w:color w:val="FF0000"/>
          <w:szCs w:val="21"/>
        </w:rPr>
        <w:t xml:space="preserve"> 营口市文化旅游和广播电视局2022年图书采购JH22-210800-05294(YKSGZC2022073)</w:t>
      </w:r>
      <w:r>
        <w:rPr>
          <w:rFonts w:hint="eastAsia" w:ascii="仿宋" w:hAnsi="仿宋" w:cs="Times New Roman"/>
          <w:szCs w:val="21"/>
        </w:rPr>
        <w:t>招标项目的潜在供应商应在</w:t>
      </w:r>
      <w:r>
        <w:rPr>
          <w:rFonts w:hint="eastAsia" w:ascii="仿宋" w:hAnsi="仿宋" w:cs="Times New Roman"/>
          <w:szCs w:val="21"/>
          <w:lang w:eastAsia="zh-CN"/>
        </w:rPr>
        <w:t>辽宁政府采购网</w:t>
      </w:r>
      <w:r>
        <w:rPr>
          <w:rFonts w:hint="eastAsia" w:ascii="仿宋" w:hAnsi="仿宋" w:cs="Times New Roman"/>
          <w:szCs w:val="21"/>
        </w:rPr>
        <w:t>获取招标文件，并于</w:t>
      </w:r>
      <w:r>
        <w:rPr>
          <w:rFonts w:ascii="仿宋" w:hAnsi="仿宋" w:cs="Times New Roman"/>
          <w:color w:val="FF0000"/>
          <w:szCs w:val="21"/>
          <w:u w:val="single"/>
        </w:rPr>
        <w:t xml:space="preserve">   </w:t>
      </w:r>
      <w:r>
        <w:rPr>
          <w:rFonts w:hint="eastAsia" w:ascii="仿宋" w:hAnsi="仿宋" w:cs="Times New Roman"/>
          <w:color w:val="FF0000"/>
          <w:szCs w:val="21"/>
          <w:u w:val="single"/>
          <w:lang w:val="en-US" w:eastAsia="zh-CN"/>
        </w:rPr>
        <w:t>2022</w:t>
      </w:r>
      <w:r>
        <w:rPr>
          <w:rFonts w:ascii="仿宋" w:hAnsi="仿宋" w:cs="Times New Roman"/>
          <w:color w:val="FF0000"/>
          <w:szCs w:val="21"/>
          <w:u w:val="single"/>
        </w:rPr>
        <w:t xml:space="preserve"> </w:t>
      </w:r>
      <w:r>
        <w:rPr>
          <w:rFonts w:hint="eastAsia" w:ascii="仿宋" w:hAnsi="仿宋" w:cs="Times New Roman"/>
          <w:bCs/>
          <w:color w:val="FF0000"/>
          <w:szCs w:val="21"/>
          <w:u w:val="single"/>
        </w:rPr>
        <w:t>年</w:t>
      </w:r>
      <w:r>
        <w:rPr>
          <w:rFonts w:hint="eastAsia" w:ascii="仿宋" w:hAnsi="仿宋" w:cs="Times New Roman"/>
          <w:bCs/>
          <w:color w:val="FF0000"/>
          <w:szCs w:val="21"/>
          <w:u w:val="single"/>
          <w:lang w:val="en-US" w:eastAsia="zh-CN"/>
        </w:rPr>
        <w:t>12</w:t>
      </w:r>
      <w:r>
        <w:rPr>
          <w:rFonts w:hint="eastAsia" w:ascii="仿宋" w:hAnsi="仿宋" w:cs="Times New Roman"/>
          <w:bCs/>
          <w:color w:val="FF0000"/>
          <w:szCs w:val="21"/>
          <w:u w:val="single"/>
        </w:rPr>
        <w:t xml:space="preserve"> 月 </w:t>
      </w:r>
      <w:r>
        <w:rPr>
          <w:rFonts w:hint="eastAsia" w:ascii="仿宋" w:hAnsi="仿宋" w:cs="Times New Roman"/>
          <w:bCs/>
          <w:color w:val="FF0000"/>
          <w:szCs w:val="21"/>
          <w:u w:val="single"/>
          <w:lang w:val="en-US" w:eastAsia="zh-CN"/>
        </w:rPr>
        <w:t>27</w:t>
      </w:r>
      <w:r>
        <w:rPr>
          <w:rFonts w:hint="eastAsia" w:ascii="仿宋" w:hAnsi="仿宋" w:cs="Times New Roman"/>
          <w:bCs/>
          <w:color w:val="FF0000"/>
          <w:szCs w:val="21"/>
          <w:u w:val="single"/>
        </w:rPr>
        <w:t xml:space="preserve"> 日  </w:t>
      </w:r>
      <w:r>
        <w:rPr>
          <w:rFonts w:hint="eastAsia" w:ascii="仿宋" w:hAnsi="仿宋" w:cs="Times New Roman"/>
          <w:bCs/>
          <w:color w:val="FF0000"/>
          <w:szCs w:val="21"/>
          <w:u w:val="single"/>
          <w:lang w:val="en-US" w:eastAsia="zh-CN"/>
        </w:rPr>
        <w:t>14</w:t>
      </w:r>
      <w:r>
        <w:rPr>
          <w:rFonts w:hint="eastAsia" w:ascii="仿宋" w:hAnsi="仿宋" w:cs="Times New Roman"/>
          <w:bCs/>
          <w:color w:val="FF0000"/>
          <w:szCs w:val="21"/>
          <w:u w:val="single"/>
          <w:lang w:eastAsia="zh-CN"/>
        </w:rPr>
        <w:t>时</w:t>
      </w:r>
      <w:r>
        <w:rPr>
          <w:rFonts w:hint="eastAsia" w:ascii="仿宋" w:hAnsi="仿宋" w:cs="Times New Roman"/>
          <w:bCs/>
          <w:color w:val="FF0000"/>
          <w:szCs w:val="21"/>
          <w:u w:val="single"/>
        </w:rPr>
        <w:t xml:space="preserve"> </w:t>
      </w:r>
      <w:r>
        <w:rPr>
          <w:rFonts w:hint="eastAsia" w:ascii="仿宋" w:hAnsi="仿宋" w:cs="Times New Roman"/>
          <w:bCs/>
          <w:color w:val="FF0000"/>
          <w:szCs w:val="21"/>
          <w:u w:val="single"/>
          <w:lang w:val="en-US" w:eastAsia="zh-CN"/>
        </w:rPr>
        <w:t>00</w:t>
      </w:r>
      <w:r>
        <w:rPr>
          <w:rFonts w:hint="eastAsia" w:ascii="仿宋" w:hAnsi="仿宋" w:cs="Times New Roman"/>
          <w:bCs/>
          <w:color w:val="FF0000"/>
          <w:szCs w:val="21"/>
          <w:u w:val="single"/>
        </w:rPr>
        <w:t xml:space="preserve"> 分</w:t>
      </w:r>
      <w:r>
        <w:rPr>
          <w:rFonts w:hint="eastAsia" w:ascii="仿宋" w:hAnsi="仿宋" w:cs="Times New Roman"/>
          <w:bCs/>
          <w:szCs w:val="21"/>
        </w:rPr>
        <w:t>（北京时间）前递交投标</w:t>
      </w:r>
      <w:r>
        <w:rPr>
          <w:rFonts w:ascii="仿宋" w:hAnsi="仿宋" w:cs="Times New Roman"/>
          <w:bCs/>
          <w:szCs w:val="21"/>
        </w:rPr>
        <w:t>文件</w:t>
      </w:r>
      <w:r>
        <w:rPr>
          <w:rFonts w:hint="eastAsia" w:ascii="仿宋" w:hAnsi="仿宋" w:cs="Times New Roman"/>
          <w:szCs w:val="21"/>
        </w:rPr>
        <w:t>。</w:t>
      </w:r>
      <w:bookmarkStart w:id="7" w:name="_Hlk24379207"/>
    </w:p>
    <w:p>
      <w:pPr>
        <w:spacing w:line="360" w:lineRule="auto"/>
        <w:ind w:firstLine="420" w:firstLineChars="200"/>
        <w:rPr>
          <w:rFonts w:hint="eastAsia" w:ascii="仿宋" w:hAnsi="仿宋" w:cs="Times New Roman"/>
          <w:szCs w:val="21"/>
        </w:rPr>
      </w:pPr>
    </w:p>
    <w:p>
      <w:pPr>
        <w:spacing w:line="360" w:lineRule="auto"/>
        <w:outlineLvl w:val="0"/>
        <w:rPr>
          <w:rFonts w:hint="eastAsia" w:ascii="仿宋" w:hAnsi="仿宋" w:cs="Times New Roman"/>
          <w:szCs w:val="21"/>
          <w:lang w:eastAsia="zh-CN"/>
        </w:rPr>
      </w:pPr>
      <w:bookmarkStart w:id="8" w:name="_Toc23653"/>
      <w:r>
        <w:rPr>
          <w:rFonts w:hint="eastAsia" w:ascii="仿宋" w:hAnsi="仿宋" w:cs="Times New Roman"/>
          <w:szCs w:val="21"/>
          <w:lang w:eastAsia="zh-CN"/>
        </w:rPr>
        <w:t>一、项目基本情况</w:t>
      </w:r>
      <w:bookmarkEnd w:id="8"/>
    </w:p>
    <w:p>
      <w:pPr>
        <w:spacing w:line="360" w:lineRule="auto"/>
        <w:ind w:firstLine="420" w:firstLineChars="200"/>
        <w:rPr>
          <w:rFonts w:hint="eastAsia" w:ascii="仿宋" w:hAnsi="仿宋" w:cs="Times New Roman"/>
          <w:szCs w:val="21"/>
        </w:rPr>
      </w:pPr>
      <w:r>
        <w:rPr>
          <w:rFonts w:hint="eastAsia" w:ascii="仿宋" w:hAnsi="仿宋" w:cs="Times New Roman"/>
          <w:szCs w:val="21"/>
        </w:rPr>
        <w:t>项目编号JH22-210800-05294(YKSGZC2022073)</w:t>
      </w:r>
    </w:p>
    <w:p>
      <w:pPr>
        <w:spacing w:line="360" w:lineRule="auto"/>
        <w:ind w:firstLine="420" w:firstLineChars="200"/>
        <w:rPr>
          <w:rFonts w:ascii="仿宋" w:hAnsi="仿宋" w:cs="Times New Roman"/>
          <w:szCs w:val="21"/>
        </w:rPr>
      </w:pPr>
      <w:r>
        <w:rPr>
          <w:rFonts w:hint="eastAsia" w:ascii="仿宋" w:hAnsi="仿宋" w:cs="Times New Roman"/>
          <w:szCs w:val="21"/>
        </w:rPr>
        <w:t>项目名称： 营口市文化旅游和广播电视局2022年图书采购</w:t>
      </w:r>
    </w:p>
    <w:bookmarkEnd w:id="7"/>
    <w:p>
      <w:pPr>
        <w:spacing w:line="360" w:lineRule="auto"/>
        <w:ind w:firstLine="420" w:firstLineChars="200"/>
        <w:rPr>
          <w:rFonts w:hint="eastAsia" w:ascii="仿宋" w:hAnsi="仿宋" w:eastAsia="仿宋" w:cs="Times New Roman"/>
          <w:szCs w:val="21"/>
          <w:lang w:val="en-US" w:eastAsia="zh-CN"/>
        </w:rPr>
      </w:pPr>
      <w:r>
        <w:rPr>
          <w:rFonts w:hint="eastAsia" w:ascii="仿宋" w:hAnsi="仿宋" w:cs="Times New Roman"/>
          <w:szCs w:val="21"/>
        </w:rPr>
        <w:t>预算金额：</w:t>
      </w:r>
      <w:r>
        <w:rPr>
          <w:rFonts w:hint="eastAsia" w:ascii="仿宋" w:hAnsi="仿宋" w:cs="Times New Roman"/>
          <w:szCs w:val="21"/>
          <w:lang w:val="en-US" w:eastAsia="zh-CN"/>
        </w:rPr>
        <w:t>500,000.00元</w:t>
      </w:r>
    </w:p>
    <w:p>
      <w:pPr>
        <w:spacing w:line="360" w:lineRule="auto"/>
        <w:ind w:firstLine="420" w:firstLineChars="200"/>
        <w:rPr>
          <w:rFonts w:hint="default" w:ascii="仿宋" w:hAnsi="仿宋" w:eastAsia="仿宋" w:cs="Times New Roman"/>
          <w:szCs w:val="21"/>
          <w:lang w:val="en-US" w:eastAsia="zh-CN"/>
        </w:rPr>
      </w:pPr>
      <w:r>
        <w:rPr>
          <w:rFonts w:hint="eastAsia" w:ascii="仿宋" w:hAnsi="仿宋" w:cs="Times New Roman"/>
          <w:szCs w:val="21"/>
        </w:rPr>
        <w:t>最高限价：</w:t>
      </w:r>
      <w:r>
        <w:rPr>
          <w:rFonts w:hint="eastAsia" w:ascii="仿宋" w:hAnsi="仿宋" w:cs="Times New Roman"/>
          <w:szCs w:val="21"/>
          <w:lang w:val="en-US" w:eastAsia="zh-CN"/>
        </w:rPr>
        <w:t>100%</w:t>
      </w:r>
    </w:p>
    <w:p>
      <w:pPr>
        <w:spacing w:line="360" w:lineRule="auto"/>
        <w:ind w:firstLine="420" w:firstLineChars="200"/>
        <w:rPr>
          <w:rFonts w:hint="eastAsia" w:ascii="仿宋" w:hAnsi="仿宋" w:cs="Times New Roman"/>
          <w:color w:val="FF0000"/>
          <w:szCs w:val="21"/>
          <w:lang w:eastAsia="zh-CN"/>
        </w:rPr>
      </w:pPr>
      <w:r>
        <w:rPr>
          <w:rFonts w:hint="eastAsia" w:ascii="仿宋" w:hAnsi="仿宋" w:cs="Times New Roman"/>
          <w:szCs w:val="21"/>
        </w:rPr>
        <w:t>采购需求：</w:t>
      </w:r>
      <w:r>
        <w:rPr>
          <w:rFonts w:hint="eastAsia" w:ascii="仿宋" w:hAnsi="仿宋" w:cs="Times New Roman"/>
          <w:color w:val="FF0000"/>
          <w:szCs w:val="21"/>
          <w:lang w:eastAsia="zh-CN"/>
        </w:rPr>
        <w:t>详见第三章货物需求</w:t>
      </w:r>
    </w:p>
    <w:p>
      <w:pPr>
        <w:spacing w:line="360" w:lineRule="auto"/>
        <w:ind w:firstLine="420" w:firstLineChars="200"/>
        <w:rPr>
          <w:rFonts w:ascii="仿宋" w:hAnsi="仿宋" w:cs="Times New Roman"/>
          <w:szCs w:val="21"/>
        </w:rPr>
      </w:pPr>
      <w:r>
        <w:rPr>
          <w:rFonts w:hint="eastAsia" w:ascii="仿宋" w:hAnsi="仿宋" w:cs="Times New Roman"/>
          <w:szCs w:val="21"/>
        </w:rPr>
        <w:t>合同履行期限：采购方确认订单后的每批图书，投标人须在50天内完成图书数据加工及在本馆指定馆藏地点分类排架上架工作，排架误差在１%以内。</w:t>
      </w:r>
    </w:p>
    <w:p>
      <w:pPr>
        <w:spacing w:line="360" w:lineRule="auto"/>
        <w:ind w:firstLine="420" w:firstLineChars="200"/>
        <w:rPr>
          <w:rFonts w:ascii="仿宋" w:hAnsi="仿宋" w:cs="Times New Roman"/>
          <w:szCs w:val="21"/>
        </w:rPr>
      </w:pPr>
      <w:r>
        <w:rPr>
          <w:rFonts w:hint="eastAsia" w:ascii="仿宋" w:hAnsi="仿宋" w:cs="Times New Roman"/>
          <w:szCs w:val="21"/>
        </w:rPr>
        <w:t>需落实的政府采购政策内容：中小微企业（含监狱企业）的相关规定；促进残疾人就业政府采购政策的相关规定；节能产品、环境标志产品的相关规定</w:t>
      </w:r>
    </w:p>
    <w:p>
      <w:pPr>
        <w:spacing w:line="360" w:lineRule="auto"/>
        <w:ind w:firstLine="420" w:firstLineChars="200"/>
        <w:rPr>
          <w:rFonts w:hint="eastAsia" w:ascii="仿宋" w:hAnsi="仿宋" w:eastAsia="仿宋" w:cs="Times New Roman"/>
          <w:szCs w:val="21"/>
          <w:lang w:val="en-US" w:eastAsia="zh-CN"/>
        </w:rPr>
      </w:pPr>
      <w:r>
        <w:rPr>
          <w:rFonts w:hint="eastAsia" w:ascii="仿宋" w:hAnsi="仿宋" w:cs="Times New Roman"/>
          <w:szCs w:val="21"/>
        </w:rPr>
        <w:t>本项目</w:t>
      </w:r>
      <w:r>
        <w:rPr>
          <w:rFonts w:hint="eastAsia" w:ascii="仿宋" w:hAnsi="仿宋" w:cs="Times New Roman"/>
          <w:i/>
          <w:iCs/>
          <w:color w:val="auto"/>
          <w:szCs w:val="21"/>
        </w:rPr>
        <w:t>（是</w:t>
      </w:r>
      <w:r>
        <w:rPr>
          <w:rFonts w:ascii="仿宋" w:hAnsi="仿宋" w:cs="Times New Roman"/>
          <w:i/>
          <w:iCs/>
          <w:color w:val="auto"/>
          <w:szCs w:val="21"/>
        </w:rPr>
        <w:t>/否</w:t>
      </w:r>
      <w:r>
        <w:rPr>
          <w:rFonts w:hint="eastAsia" w:ascii="仿宋" w:hAnsi="仿宋" w:cs="Times New Roman"/>
          <w:i/>
          <w:iCs/>
          <w:color w:val="auto"/>
          <w:szCs w:val="21"/>
        </w:rPr>
        <w:t>）</w:t>
      </w:r>
      <w:r>
        <w:rPr>
          <w:rFonts w:hint="eastAsia" w:ascii="仿宋" w:hAnsi="仿宋" w:cs="Times New Roman"/>
          <w:szCs w:val="21"/>
        </w:rPr>
        <w:t>接受联合体投标</w:t>
      </w:r>
      <w:r>
        <w:rPr>
          <w:rFonts w:hint="eastAsia" w:ascii="仿宋" w:hAnsi="仿宋" w:cs="Times New Roman"/>
          <w:szCs w:val="21"/>
          <w:lang w:val="en-US" w:eastAsia="zh-CN"/>
        </w:rPr>
        <w:t>:</w:t>
      </w:r>
      <w:r>
        <w:rPr>
          <w:rFonts w:ascii="仿宋" w:hAnsi="仿宋" w:cs="Times New Roman"/>
          <w:i w:val="0"/>
          <w:iCs/>
          <w:color w:val="FF0000"/>
          <w:szCs w:val="21"/>
        </w:rPr>
        <w:t>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仿宋" w:hAnsi="仿宋" w:cs="宋体"/>
          <w:bCs/>
          <w:szCs w:val="21"/>
        </w:rPr>
      </w:pPr>
      <w:bookmarkStart w:id="9" w:name="_Toc28359003"/>
      <w:bookmarkStart w:id="10" w:name="_Toc35393791"/>
      <w:bookmarkStart w:id="11" w:name="_Toc19554"/>
      <w:bookmarkStart w:id="12" w:name="_Toc35393622"/>
      <w:bookmarkStart w:id="13" w:name="_Toc28359080"/>
      <w:r>
        <w:rPr>
          <w:rFonts w:hint="eastAsia" w:ascii="仿宋" w:hAnsi="仿宋" w:cs="宋体"/>
          <w:bCs/>
          <w:szCs w:val="21"/>
        </w:rPr>
        <w:t>二、供应商的资格要求：</w:t>
      </w:r>
      <w:bookmarkEnd w:id="9"/>
      <w:bookmarkEnd w:id="10"/>
      <w:bookmarkEnd w:id="11"/>
      <w:bookmarkEnd w:id="12"/>
      <w:bookmarkEnd w:id="13"/>
    </w:p>
    <w:p>
      <w:pPr>
        <w:spacing w:line="360" w:lineRule="auto"/>
        <w:ind w:firstLine="420" w:firstLineChars="200"/>
        <w:rPr>
          <w:rFonts w:ascii="仿宋" w:hAnsi="仿宋" w:cs="Times New Roman"/>
          <w:szCs w:val="21"/>
        </w:rPr>
      </w:pPr>
      <w:r>
        <w:rPr>
          <w:rFonts w:hint="eastAsia" w:ascii="仿宋" w:hAnsi="仿宋" w:cs="Times New Roman"/>
          <w:szCs w:val="21"/>
        </w:rPr>
        <w:t>1.满足《中华人民共和国政府采购法》第二十二条规定；</w:t>
      </w:r>
    </w:p>
    <w:p>
      <w:pPr>
        <w:spacing w:line="360" w:lineRule="auto"/>
        <w:ind w:firstLine="420" w:firstLineChars="200"/>
        <w:rPr>
          <w:rFonts w:hint="eastAsia" w:ascii="仿宋" w:hAnsi="仿宋" w:eastAsia="仿宋" w:cs="Times New Roman"/>
          <w:color w:val="FF0000"/>
          <w:szCs w:val="21"/>
          <w:lang w:eastAsia="zh-CN"/>
        </w:rPr>
      </w:pPr>
      <w:bookmarkStart w:id="14" w:name="_Toc28359081"/>
      <w:bookmarkStart w:id="15" w:name="_Toc28359004"/>
      <w:r>
        <w:rPr>
          <w:rFonts w:ascii="仿宋" w:hAnsi="仿宋" w:cs="Times New Roman"/>
          <w:szCs w:val="21"/>
        </w:rPr>
        <w:t>2</w:t>
      </w:r>
      <w:r>
        <w:rPr>
          <w:rFonts w:hint="eastAsia" w:ascii="仿宋" w:hAnsi="仿宋" w:cs="Times New Roman"/>
          <w:szCs w:val="21"/>
        </w:rPr>
        <w:t>.落实政府采购政策需满足的资格要求：</w:t>
      </w:r>
      <w:r>
        <w:rPr>
          <w:rFonts w:hint="eastAsia" w:ascii="仿宋" w:hAnsi="仿宋" w:cs="Times New Roman"/>
          <w:color w:val="FF0000"/>
          <w:szCs w:val="21"/>
          <w:u w:val="single"/>
          <w:lang w:eastAsia="zh-CN"/>
        </w:rPr>
        <w:t>无</w:t>
      </w:r>
    </w:p>
    <w:p>
      <w:pPr>
        <w:spacing w:line="360" w:lineRule="auto"/>
        <w:ind w:firstLine="420" w:firstLineChars="200"/>
        <w:rPr>
          <w:rFonts w:hint="eastAsia" w:ascii="仿宋" w:hAnsi="仿宋" w:eastAsia="仿宋" w:cs="Times New Roman"/>
          <w:i/>
          <w:iCs/>
          <w:color w:val="FF0000"/>
          <w:szCs w:val="21"/>
          <w:u w:val="single"/>
          <w:lang w:eastAsia="zh-CN"/>
        </w:rPr>
      </w:pPr>
      <w:r>
        <w:rPr>
          <w:rFonts w:hint="eastAsia" w:ascii="仿宋" w:hAnsi="仿宋" w:cs="Times New Roman"/>
          <w:szCs w:val="21"/>
        </w:rPr>
        <w:t>3.本项目的特定资格要求：</w:t>
      </w:r>
      <w:r>
        <w:rPr>
          <w:rFonts w:hint="eastAsia" w:ascii="仿宋" w:hAnsi="仿宋" w:cs="Times New Roman"/>
          <w:szCs w:val="21"/>
          <w:u w:val="single"/>
        </w:rPr>
        <w:t>投标人具有省级以上（含省级）行政部门颁发的图书《中华人民共和国出版物经营许可证》</w:t>
      </w:r>
    </w:p>
    <w:p>
      <w:pPr>
        <w:spacing w:line="360" w:lineRule="auto"/>
        <w:outlineLvl w:val="0"/>
        <w:rPr>
          <w:rFonts w:ascii="仿宋" w:hAnsi="仿宋" w:cs="宋体"/>
          <w:bCs/>
          <w:szCs w:val="21"/>
        </w:rPr>
      </w:pPr>
      <w:bookmarkStart w:id="16" w:name="_Toc11723"/>
      <w:r>
        <w:rPr>
          <w:rFonts w:hint="eastAsia" w:ascii="仿宋" w:hAnsi="仿宋" w:cs="宋体"/>
          <w:bCs/>
          <w:szCs w:val="21"/>
        </w:rPr>
        <w:t>三、政府采购供应商入库须知</w:t>
      </w:r>
      <w:bookmarkEnd w:id="16"/>
    </w:p>
    <w:p>
      <w:pPr>
        <w:spacing w:line="360" w:lineRule="auto"/>
        <w:ind w:firstLine="420" w:firstLineChars="200"/>
        <w:rPr>
          <w:rFonts w:ascii="仿宋" w:hAnsi="仿宋" w:cs="宋体"/>
          <w:szCs w:val="21"/>
        </w:rPr>
      </w:pPr>
      <w:r>
        <w:rPr>
          <w:rFonts w:hint="eastAsia" w:ascii="仿宋" w:hAnsi="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cs="宋体"/>
          <w:bCs/>
          <w:szCs w:val="21"/>
        </w:rPr>
      </w:pPr>
      <w:bookmarkStart w:id="17" w:name="_Toc35393792"/>
      <w:bookmarkStart w:id="18" w:name="_Toc3539362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仿宋" w:hAnsi="仿宋" w:cs="宋体"/>
          <w:bCs/>
          <w:szCs w:val="21"/>
        </w:rPr>
      </w:pPr>
      <w:bookmarkStart w:id="19" w:name="_Toc32038"/>
      <w:r>
        <w:rPr>
          <w:rFonts w:hint="eastAsia" w:ascii="仿宋" w:hAnsi="仿宋" w:cs="宋体"/>
          <w:bCs/>
          <w:szCs w:val="21"/>
        </w:rPr>
        <w:t>四、获取招标文件</w:t>
      </w:r>
      <w:bookmarkEnd w:id="14"/>
      <w:bookmarkEnd w:id="15"/>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szCs w:val="21"/>
        </w:rPr>
      </w:pPr>
      <w:r>
        <w:rPr>
          <w:rFonts w:hint="eastAsia" w:ascii="仿宋" w:hAnsi="仿宋" w:cs="宋体"/>
          <w:szCs w:val="21"/>
        </w:rPr>
        <w:t>时间：</w:t>
      </w:r>
      <w:r>
        <w:rPr>
          <w:rFonts w:ascii="仿宋" w:hAnsi="仿宋" w:cs="宋体"/>
          <w:color w:val="FF0000"/>
          <w:szCs w:val="21"/>
          <w:u w:val="single"/>
        </w:rPr>
        <w:t xml:space="preserve">  </w:t>
      </w:r>
      <w:r>
        <w:rPr>
          <w:rFonts w:hint="eastAsia" w:ascii="仿宋" w:hAnsi="仿宋" w:cs="宋体"/>
          <w:color w:val="FF0000"/>
          <w:szCs w:val="21"/>
          <w:u w:val="single"/>
          <w:lang w:val="en-US" w:eastAsia="zh-CN"/>
        </w:rPr>
        <w:t>2022</w:t>
      </w:r>
      <w:r>
        <w:rPr>
          <w:rFonts w:ascii="仿宋" w:hAnsi="仿宋" w:cs="宋体"/>
          <w:color w:val="FF0000"/>
          <w:szCs w:val="21"/>
          <w:u w:val="single"/>
        </w:rPr>
        <w:t xml:space="preserve">  </w:t>
      </w:r>
      <w:r>
        <w:rPr>
          <w:rFonts w:hint="eastAsia" w:ascii="仿宋" w:hAnsi="仿宋" w:cs="宋体"/>
          <w:color w:val="FF0000"/>
          <w:szCs w:val="21"/>
          <w:u w:val="single"/>
        </w:rPr>
        <w:t xml:space="preserve">年 </w:t>
      </w:r>
      <w:r>
        <w:rPr>
          <w:rFonts w:hint="eastAsia" w:ascii="仿宋" w:hAnsi="仿宋" w:cs="宋体"/>
          <w:color w:val="FF0000"/>
          <w:szCs w:val="21"/>
          <w:u w:val="single"/>
          <w:lang w:val="en-US" w:eastAsia="zh-CN"/>
        </w:rPr>
        <w:t>12</w:t>
      </w:r>
      <w:r>
        <w:rPr>
          <w:rFonts w:hint="eastAsia" w:ascii="仿宋" w:hAnsi="仿宋" w:cs="宋体"/>
          <w:color w:val="FF0000"/>
          <w:szCs w:val="21"/>
          <w:u w:val="single"/>
        </w:rPr>
        <w:t xml:space="preserve"> 月 </w:t>
      </w:r>
      <w:r>
        <w:rPr>
          <w:rFonts w:hint="eastAsia" w:ascii="仿宋" w:hAnsi="仿宋" w:cs="宋体"/>
          <w:color w:val="FF0000"/>
          <w:szCs w:val="21"/>
          <w:u w:val="single"/>
          <w:lang w:val="en-US" w:eastAsia="zh-CN"/>
        </w:rPr>
        <w:t>7</w:t>
      </w:r>
      <w:r>
        <w:rPr>
          <w:rFonts w:hint="eastAsia" w:ascii="仿宋" w:hAnsi="仿宋" w:cs="宋体"/>
          <w:color w:val="FF0000"/>
          <w:szCs w:val="21"/>
          <w:u w:val="single"/>
        </w:rPr>
        <w:t xml:space="preserve"> 日</w:t>
      </w:r>
      <w:r>
        <w:rPr>
          <w:rFonts w:hint="eastAsia" w:ascii="仿宋" w:hAnsi="仿宋" w:cs="宋体"/>
          <w:color w:val="auto"/>
          <w:szCs w:val="21"/>
          <w:u w:val="none"/>
          <w:lang w:val="en-US" w:eastAsia="zh-CN"/>
        </w:rPr>
        <w:t>0</w:t>
      </w:r>
      <w:r>
        <w:rPr>
          <w:rFonts w:hint="eastAsia" w:ascii="仿宋" w:hAnsi="仿宋" w:cs="宋体"/>
          <w:szCs w:val="21"/>
          <w:lang w:val="en-US" w:eastAsia="zh-CN"/>
        </w:rPr>
        <w:t>8</w:t>
      </w:r>
      <w:r>
        <w:rPr>
          <w:rFonts w:ascii="仿宋" w:hAnsi="仿宋" w:cs="宋体"/>
          <w:szCs w:val="21"/>
        </w:rPr>
        <w:t>时</w:t>
      </w:r>
      <w:r>
        <w:rPr>
          <w:rFonts w:hint="eastAsia" w:ascii="仿宋" w:hAnsi="仿宋" w:cs="宋体"/>
          <w:szCs w:val="21"/>
          <w:lang w:val="en-US" w:eastAsia="zh-CN"/>
        </w:rPr>
        <w:t>3</w:t>
      </w:r>
      <w:r>
        <w:rPr>
          <w:rFonts w:ascii="仿宋" w:hAnsi="仿宋" w:cs="宋体"/>
          <w:szCs w:val="21"/>
        </w:rPr>
        <w:t>0分</w:t>
      </w:r>
      <w:r>
        <w:rPr>
          <w:rFonts w:hint="eastAsia" w:ascii="仿宋" w:hAnsi="仿宋" w:cs="宋体"/>
          <w:szCs w:val="21"/>
        </w:rPr>
        <w:t>至</w:t>
      </w:r>
      <w:r>
        <w:rPr>
          <w:rFonts w:hint="eastAsia" w:ascii="仿宋" w:hAnsi="仿宋" w:cs="宋体"/>
          <w:color w:val="FF0000"/>
          <w:szCs w:val="21"/>
          <w:u w:val="single"/>
        </w:rPr>
        <w:t xml:space="preserve">   </w:t>
      </w:r>
      <w:r>
        <w:rPr>
          <w:rFonts w:hint="eastAsia" w:ascii="仿宋" w:hAnsi="仿宋" w:cs="宋体"/>
          <w:color w:val="FF0000"/>
          <w:szCs w:val="21"/>
          <w:u w:val="single"/>
          <w:lang w:val="en-US" w:eastAsia="zh-CN"/>
        </w:rPr>
        <w:t>2022</w:t>
      </w:r>
      <w:r>
        <w:rPr>
          <w:rFonts w:hint="eastAsia" w:ascii="仿宋" w:hAnsi="仿宋" w:cs="宋体"/>
          <w:color w:val="FF0000"/>
          <w:szCs w:val="21"/>
          <w:u w:val="single"/>
        </w:rPr>
        <w:t xml:space="preserve">  年 </w:t>
      </w:r>
      <w:r>
        <w:rPr>
          <w:rFonts w:hint="eastAsia" w:ascii="仿宋" w:hAnsi="仿宋" w:cs="宋体"/>
          <w:color w:val="FF0000"/>
          <w:szCs w:val="21"/>
          <w:u w:val="single"/>
          <w:lang w:val="en-US" w:eastAsia="zh-CN"/>
        </w:rPr>
        <w:t>12</w:t>
      </w:r>
      <w:r>
        <w:rPr>
          <w:rFonts w:hint="eastAsia" w:ascii="仿宋" w:hAnsi="仿宋" w:cs="宋体"/>
          <w:color w:val="FF0000"/>
          <w:szCs w:val="21"/>
          <w:u w:val="single"/>
        </w:rPr>
        <w:t xml:space="preserve"> 月 </w:t>
      </w:r>
      <w:r>
        <w:rPr>
          <w:rFonts w:hint="eastAsia" w:ascii="仿宋" w:hAnsi="仿宋" w:cs="宋体"/>
          <w:color w:val="FF0000"/>
          <w:szCs w:val="21"/>
          <w:u w:val="single"/>
          <w:lang w:val="en-US" w:eastAsia="zh-CN"/>
        </w:rPr>
        <w:t>20</w:t>
      </w:r>
      <w:r>
        <w:rPr>
          <w:rFonts w:hint="eastAsia" w:ascii="仿宋" w:hAnsi="仿宋" w:cs="宋体"/>
          <w:color w:val="FF0000"/>
          <w:szCs w:val="21"/>
          <w:u w:val="single"/>
        </w:rPr>
        <w:t xml:space="preserve"> 日</w:t>
      </w:r>
      <w:r>
        <w:rPr>
          <w:rFonts w:hint="eastAsia" w:ascii="仿宋" w:hAnsi="仿宋" w:cs="宋体"/>
          <w:szCs w:val="21"/>
          <w:lang w:val="en-US" w:eastAsia="zh-CN"/>
        </w:rPr>
        <w:t>17</w:t>
      </w:r>
      <w:r>
        <w:rPr>
          <w:rFonts w:ascii="仿宋" w:hAnsi="仿宋" w:cs="宋体"/>
          <w:szCs w:val="21"/>
        </w:rPr>
        <w:t>时</w:t>
      </w:r>
      <w:r>
        <w:rPr>
          <w:rFonts w:hint="eastAsia" w:ascii="仿宋" w:hAnsi="仿宋" w:cs="宋体"/>
          <w:szCs w:val="21"/>
          <w:lang w:val="en-US" w:eastAsia="zh-CN"/>
        </w:rPr>
        <w:t>0</w:t>
      </w:r>
      <w:r>
        <w:rPr>
          <w:rFonts w:ascii="仿宋" w:hAnsi="仿宋" w:cs="宋体"/>
          <w:szCs w:val="21"/>
        </w:rPr>
        <w:t>0分</w:t>
      </w:r>
      <w:r>
        <w:rPr>
          <w:rFonts w:hint="eastAsia" w:ascii="仿宋" w:hAnsi="仿宋" w:cs="宋体"/>
          <w:szCs w:val="21"/>
        </w:rPr>
        <w:t>（北京时间，</w:t>
      </w:r>
      <w:r>
        <w:rPr>
          <w:rFonts w:ascii="仿宋" w:hAnsi="仿宋" w:cs="宋体"/>
          <w:szCs w:val="21"/>
        </w:rPr>
        <w:t>法定节假日</w:t>
      </w:r>
      <w:r>
        <w:rPr>
          <w:rFonts w:hint="eastAsia" w:ascii="仿宋" w:hAnsi="仿宋" w:cs="宋体"/>
          <w:szCs w:val="21"/>
        </w:rPr>
        <w:t>除外）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cs="宋体"/>
          <w:szCs w:val="21"/>
          <w:lang w:eastAsia="zh-CN"/>
        </w:rPr>
      </w:pPr>
      <w:r>
        <w:rPr>
          <w:rFonts w:hint="eastAsia" w:ascii="仿宋" w:hAnsi="仿宋" w:cs="宋体"/>
          <w:szCs w:val="21"/>
        </w:rPr>
        <w:t>地点：</w:t>
      </w:r>
      <w:r>
        <w:rPr>
          <w:rFonts w:hint="eastAsia" w:ascii="仿宋" w:hAnsi="仿宋" w:cs="宋体"/>
          <w:szCs w:val="21"/>
          <w:lang w:eastAsia="zh-CN"/>
        </w:rPr>
        <w:t>辽宁政府采购网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cs="宋体"/>
          <w:szCs w:val="21"/>
        </w:rPr>
      </w:pPr>
      <w:r>
        <w:rPr>
          <w:rFonts w:hint="eastAsia" w:ascii="仿宋" w:hAnsi="仿宋" w:cs="宋体"/>
          <w:szCs w:val="21"/>
        </w:rPr>
        <w:t>方式：在线下载</w:t>
      </w:r>
      <w:bookmarkStart w:id="20" w:name="_Toc28359082"/>
      <w:bookmarkStart w:id="21" w:name="_Toc28359005"/>
      <w:bookmarkStart w:id="22" w:name="_Toc35393793"/>
      <w:bookmarkStart w:id="23" w:name="_Toc35393624"/>
    </w:p>
    <w:p>
      <w:pPr>
        <w:spacing w:line="360" w:lineRule="auto"/>
        <w:outlineLvl w:val="0"/>
        <w:rPr>
          <w:rFonts w:ascii="仿宋" w:hAnsi="仿宋" w:cs="宋体"/>
          <w:bCs/>
          <w:szCs w:val="21"/>
        </w:rPr>
      </w:pPr>
      <w:bookmarkStart w:id="24" w:name="_Toc23874"/>
      <w:r>
        <w:rPr>
          <w:rFonts w:hint="eastAsia" w:ascii="仿宋" w:hAnsi="仿宋" w:cs="宋体"/>
          <w:bCs/>
          <w:szCs w:val="21"/>
        </w:rPr>
        <w:t>五、提交投标文件</w:t>
      </w:r>
      <w:bookmarkEnd w:id="20"/>
      <w:bookmarkEnd w:id="21"/>
      <w:r>
        <w:rPr>
          <w:rFonts w:hint="eastAsia" w:ascii="仿宋" w:hAnsi="仿宋" w:cs="宋体"/>
          <w:bCs/>
          <w:szCs w:val="21"/>
        </w:rPr>
        <w:t>截止时间、开标时间和地点</w:t>
      </w:r>
      <w:bookmarkEnd w:id="22"/>
      <w:bookmarkEnd w:id="23"/>
      <w:bookmarkEnd w:id="24"/>
    </w:p>
    <w:p>
      <w:pPr>
        <w:spacing w:line="360" w:lineRule="auto"/>
        <w:ind w:firstLine="420" w:firstLineChars="200"/>
        <w:rPr>
          <w:rFonts w:ascii="仿宋" w:hAnsi="仿宋" w:cs="Times New Roman"/>
          <w:bCs/>
          <w:szCs w:val="21"/>
          <w:u w:val="single"/>
        </w:rPr>
      </w:pPr>
      <w:r>
        <w:rPr>
          <w:rFonts w:hint="eastAsia" w:ascii="仿宋" w:hAnsi="仿宋" w:cs="Times New Roman"/>
          <w:bCs/>
          <w:color w:val="FF0000"/>
          <w:szCs w:val="21"/>
          <w:u w:val="single"/>
        </w:rPr>
        <w:t xml:space="preserve">  </w:t>
      </w:r>
      <w:r>
        <w:rPr>
          <w:rFonts w:hint="eastAsia" w:ascii="仿宋" w:hAnsi="仿宋" w:cs="Times New Roman"/>
          <w:bCs/>
          <w:color w:val="FF0000"/>
          <w:szCs w:val="21"/>
          <w:u w:val="single"/>
          <w:lang w:val="en-US" w:eastAsia="zh-CN"/>
        </w:rPr>
        <w:t>2022</w:t>
      </w:r>
      <w:r>
        <w:rPr>
          <w:rFonts w:hint="eastAsia" w:ascii="仿宋" w:hAnsi="仿宋" w:cs="Times New Roman"/>
          <w:bCs/>
          <w:color w:val="FF0000"/>
          <w:szCs w:val="21"/>
          <w:u w:val="single"/>
        </w:rPr>
        <w:t xml:space="preserve">  年 </w:t>
      </w:r>
      <w:r>
        <w:rPr>
          <w:rFonts w:hint="eastAsia" w:ascii="仿宋" w:hAnsi="仿宋" w:cs="Times New Roman"/>
          <w:bCs/>
          <w:color w:val="FF0000"/>
          <w:szCs w:val="21"/>
          <w:u w:val="single"/>
          <w:lang w:val="en-US" w:eastAsia="zh-CN"/>
        </w:rPr>
        <w:t xml:space="preserve">12 </w:t>
      </w:r>
      <w:r>
        <w:rPr>
          <w:rFonts w:hint="eastAsia" w:ascii="仿宋" w:hAnsi="仿宋" w:cs="Times New Roman"/>
          <w:bCs/>
          <w:color w:val="FF0000"/>
          <w:szCs w:val="21"/>
          <w:u w:val="single"/>
        </w:rPr>
        <w:t xml:space="preserve"> 月 </w:t>
      </w:r>
      <w:r>
        <w:rPr>
          <w:rFonts w:hint="eastAsia" w:ascii="仿宋" w:hAnsi="仿宋" w:cs="Times New Roman"/>
          <w:bCs/>
          <w:color w:val="FF0000"/>
          <w:szCs w:val="21"/>
          <w:u w:val="single"/>
          <w:lang w:val="en-US" w:eastAsia="zh-CN"/>
        </w:rPr>
        <w:t xml:space="preserve"> 27</w:t>
      </w:r>
      <w:r>
        <w:rPr>
          <w:rFonts w:hint="eastAsia" w:ascii="仿宋" w:hAnsi="仿宋" w:cs="Times New Roman"/>
          <w:bCs/>
          <w:color w:val="FF0000"/>
          <w:szCs w:val="21"/>
          <w:u w:val="single"/>
        </w:rPr>
        <w:t xml:space="preserve"> 日  </w:t>
      </w:r>
      <w:r>
        <w:rPr>
          <w:rFonts w:hint="eastAsia" w:ascii="仿宋" w:hAnsi="仿宋" w:cs="Times New Roman"/>
          <w:bCs/>
          <w:color w:val="FF0000"/>
          <w:szCs w:val="21"/>
          <w:u w:val="single"/>
          <w:lang w:val="en-US" w:eastAsia="zh-CN"/>
        </w:rPr>
        <w:t>14</w:t>
      </w:r>
      <w:r>
        <w:rPr>
          <w:rFonts w:hint="eastAsia" w:ascii="仿宋" w:hAnsi="仿宋" w:cs="Times New Roman"/>
          <w:bCs/>
          <w:color w:val="FF0000"/>
          <w:szCs w:val="21"/>
          <w:u w:val="single"/>
        </w:rPr>
        <w:t xml:space="preserve">  </w:t>
      </w:r>
      <w:r>
        <w:rPr>
          <w:rFonts w:hint="eastAsia" w:ascii="仿宋" w:hAnsi="仿宋" w:cs="Times New Roman"/>
          <w:bCs/>
          <w:color w:val="FF0000"/>
          <w:szCs w:val="21"/>
          <w:u w:val="single"/>
          <w:lang w:eastAsia="zh-CN"/>
        </w:rPr>
        <w:t>时</w:t>
      </w:r>
      <w:r>
        <w:rPr>
          <w:rFonts w:hint="eastAsia" w:ascii="仿宋" w:hAnsi="仿宋" w:cs="Times New Roman"/>
          <w:bCs/>
          <w:color w:val="FF0000"/>
          <w:szCs w:val="21"/>
          <w:u w:val="single"/>
        </w:rPr>
        <w:t xml:space="preserve">  </w:t>
      </w:r>
      <w:r>
        <w:rPr>
          <w:rFonts w:hint="eastAsia" w:ascii="仿宋" w:hAnsi="仿宋" w:cs="Times New Roman"/>
          <w:bCs/>
          <w:color w:val="FF0000"/>
          <w:szCs w:val="21"/>
          <w:u w:val="single"/>
          <w:lang w:val="en-US" w:eastAsia="zh-CN"/>
        </w:rPr>
        <w:t>00</w:t>
      </w:r>
      <w:r>
        <w:rPr>
          <w:rFonts w:hint="eastAsia" w:ascii="仿宋" w:hAnsi="仿宋" w:cs="Times New Roman"/>
          <w:bCs/>
          <w:color w:val="FF0000"/>
          <w:szCs w:val="21"/>
          <w:u w:val="single"/>
        </w:rPr>
        <w:t xml:space="preserve"> 分</w:t>
      </w:r>
      <w:r>
        <w:rPr>
          <w:rFonts w:hint="eastAsia" w:ascii="仿宋" w:hAnsi="仿宋" w:cs="Times New Roman"/>
          <w:bCs/>
          <w:szCs w:val="21"/>
        </w:rPr>
        <w:t>（北京时间）</w:t>
      </w:r>
    </w:p>
    <w:p>
      <w:pPr>
        <w:ind w:firstLine="420" w:firstLineChars="200"/>
        <w:rPr>
          <w:rFonts w:hint="eastAsia" w:ascii="仿宋" w:hAnsi="仿宋" w:eastAsia="仿宋"/>
          <w:color w:val="FF0000"/>
          <w:szCs w:val="21"/>
        </w:rPr>
      </w:pPr>
      <w:r>
        <w:rPr>
          <w:rFonts w:hint="eastAsia" w:ascii="仿宋" w:hAnsi="仿宋" w:cs="Times New Roman"/>
          <w:szCs w:val="21"/>
        </w:rPr>
        <w:t>地点：</w:t>
      </w:r>
      <w:r>
        <w:rPr>
          <w:rFonts w:hint="eastAsia" w:ascii="仿宋" w:hAnsi="仿宋" w:cs="宋体"/>
          <w:bCs/>
          <w:szCs w:val="21"/>
        </w:rPr>
        <w:t>辽宁政府采购网电子评审系统上传提交电子文件</w:t>
      </w:r>
      <w:r>
        <w:rPr>
          <w:rFonts w:hint="eastAsia" w:ascii="仿宋" w:hAnsi="仿宋" w:cs="宋体"/>
          <w:bCs/>
          <w:szCs w:val="21"/>
          <w:lang w:val="en-US" w:eastAsia="zh-CN"/>
        </w:rPr>
        <w:t>；</w:t>
      </w:r>
      <w:r>
        <w:rPr>
          <w:rFonts w:hint="eastAsia" w:ascii="仿宋" w:hAnsi="仿宋" w:cs="宋体"/>
          <w:bCs/>
          <w:szCs w:val="21"/>
        </w:rPr>
        <w:t>备份文件（U盘）</w:t>
      </w:r>
      <w:r>
        <w:rPr>
          <w:rFonts w:hint="eastAsia" w:ascii="仿宋" w:hAnsi="仿宋" w:cs="宋体"/>
          <w:bCs/>
          <w:szCs w:val="21"/>
          <w:lang w:eastAsia="zh-CN"/>
        </w:rPr>
        <w:t>递交至营口市营商环境建设中心（营口市公共资源交易中心）</w:t>
      </w:r>
      <w:r>
        <w:rPr>
          <w:rFonts w:hint="eastAsia" w:ascii="仿宋" w:hAnsi="仿宋"/>
          <w:szCs w:val="21"/>
          <w:lang w:val="en-US" w:eastAsia="zh-CN"/>
        </w:rPr>
        <w:t xml:space="preserve"> </w:t>
      </w:r>
      <w:r>
        <w:rPr>
          <w:rFonts w:hint="eastAsia" w:ascii="仿宋" w:hAnsi="仿宋" w:eastAsia="仿宋"/>
          <w:color w:val="FF0000"/>
          <w:szCs w:val="21"/>
        </w:rPr>
        <w:t>开标室</w:t>
      </w:r>
      <w:r>
        <w:rPr>
          <w:rFonts w:hint="eastAsia" w:ascii="仿宋" w:hAnsi="仿宋" w:eastAsia="仿宋"/>
          <w:color w:val="FF0000"/>
          <w:szCs w:val="21"/>
          <w:lang w:eastAsia="zh-CN"/>
        </w:rPr>
        <w:t>五</w:t>
      </w:r>
      <w:r>
        <w:rPr>
          <w:rFonts w:hint="eastAsia" w:ascii="仿宋" w:hAnsi="仿宋" w:eastAsia="仿宋"/>
          <w:color w:val="FF0000"/>
          <w:szCs w:val="21"/>
        </w:rPr>
        <w:t>（</w:t>
      </w:r>
      <w:r>
        <w:rPr>
          <w:rFonts w:hint="eastAsia" w:ascii="仿宋" w:hAnsi="仿宋" w:eastAsia="仿宋"/>
          <w:color w:val="FF0000"/>
          <w:szCs w:val="21"/>
          <w:lang w:eastAsia="zh-CN"/>
        </w:rPr>
        <w:t>不见面开标室</w:t>
      </w:r>
      <w:r>
        <w:rPr>
          <w:rFonts w:hint="eastAsia" w:ascii="仿宋" w:hAnsi="仿宋" w:eastAsia="仿宋"/>
          <w:color w:val="FF0000"/>
          <w:szCs w:val="21"/>
        </w:rPr>
        <w:t>）</w:t>
      </w:r>
      <w:bookmarkStart w:id="25" w:name="_Toc28359084"/>
      <w:bookmarkStart w:id="26" w:name="_Toc35393794"/>
      <w:bookmarkStart w:id="27" w:name="_Toc28359007"/>
      <w:bookmarkStart w:id="28" w:name="_Toc35393625"/>
    </w:p>
    <w:p>
      <w:pPr>
        <w:outlineLvl w:val="0"/>
        <w:rPr>
          <w:rFonts w:ascii="仿宋" w:hAnsi="仿宋" w:cs="宋体"/>
          <w:bCs/>
          <w:szCs w:val="21"/>
        </w:rPr>
      </w:pPr>
      <w:bookmarkStart w:id="29" w:name="_Toc6031"/>
      <w:r>
        <w:rPr>
          <w:rFonts w:hint="eastAsia" w:ascii="仿宋" w:hAnsi="仿宋" w:cs="宋体"/>
          <w:bCs/>
          <w:szCs w:val="21"/>
        </w:rPr>
        <w:t>六、公告期限</w:t>
      </w:r>
      <w:bookmarkEnd w:id="25"/>
      <w:bookmarkEnd w:id="26"/>
      <w:bookmarkEnd w:id="27"/>
      <w:bookmarkEnd w:id="28"/>
      <w:bookmarkEnd w:id="29"/>
    </w:p>
    <w:p>
      <w:pPr>
        <w:spacing w:line="360" w:lineRule="auto"/>
        <w:ind w:firstLine="420" w:firstLineChars="200"/>
        <w:rPr>
          <w:rFonts w:hint="eastAsia" w:ascii="仿宋" w:hAnsi="仿宋" w:cs="宋体"/>
          <w:kern w:val="0"/>
          <w:szCs w:val="21"/>
        </w:rPr>
      </w:pPr>
      <w:r>
        <w:rPr>
          <w:rFonts w:hint="eastAsia" w:ascii="仿宋" w:hAnsi="仿宋" w:cs="宋体"/>
          <w:kern w:val="0"/>
          <w:szCs w:val="21"/>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仿宋" w:hAnsi="仿宋" w:cs="宋体"/>
          <w:bCs/>
          <w:szCs w:val="21"/>
        </w:rPr>
      </w:pPr>
      <w:bookmarkStart w:id="30" w:name="_Toc18740"/>
      <w:r>
        <w:rPr>
          <w:rFonts w:hint="eastAsia" w:ascii="仿宋" w:hAnsi="仿宋" w:cs="宋体"/>
          <w:bCs/>
          <w:szCs w:val="21"/>
        </w:rPr>
        <w:t>七、质疑与投诉</w:t>
      </w:r>
      <w:bookmarkEnd w:id="30"/>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仿宋" w:hAnsi="仿宋" w:cs="宋体"/>
          <w:szCs w:val="21"/>
        </w:rPr>
      </w:pPr>
      <w:r>
        <w:rPr>
          <w:rFonts w:hint="eastAsia" w:ascii="仿宋" w:hAnsi="仿宋" w:cs="宋体"/>
          <w:szCs w:val="21"/>
        </w:rPr>
        <w:t>供应商认为自己的权益受到损害的，可以在知道或者应知其权益受到损害之日起七个工作日内，向采购</w:t>
      </w:r>
      <w:r>
        <w:rPr>
          <w:rFonts w:hint="eastAsia" w:ascii="仿宋" w:hAnsi="仿宋" w:cs="宋体"/>
          <w:szCs w:val="21"/>
          <w:lang w:eastAsia="zh-CN"/>
        </w:rPr>
        <w:t>人或采购</w:t>
      </w:r>
      <w:r>
        <w:rPr>
          <w:rFonts w:hint="eastAsia" w:ascii="仿宋" w:hAnsi="仿宋" w:cs="宋体"/>
          <w:szCs w:val="21"/>
        </w:rPr>
        <w:t>代理机构提出质疑。</w:t>
      </w:r>
    </w:p>
    <w:p>
      <w:pPr>
        <w:widowControl/>
        <w:adjustRightInd w:val="0"/>
        <w:snapToGrid w:val="0"/>
        <w:spacing w:line="360" w:lineRule="auto"/>
        <w:ind w:firstLine="480"/>
        <w:jc w:val="left"/>
        <w:rPr>
          <w:rFonts w:hint="eastAsia" w:ascii="仿宋" w:hAnsi="仿宋" w:eastAsia="仿宋" w:cs="宋体"/>
          <w:bCs/>
          <w:szCs w:val="21"/>
          <w:lang w:eastAsia="zh-CN"/>
        </w:rPr>
      </w:pPr>
      <w:r>
        <w:rPr>
          <w:rFonts w:hint="eastAsia" w:ascii="仿宋" w:hAnsi="仿宋" w:cs="宋体"/>
          <w:szCs w:val="21"/>
        </w:rPr>
        <w:t>1、接收质疑函方式：</w:t>
      </w:r>
      <w:r>
        <w:rPr>
          <w:rFonts w:hint="eastAsia" w:ascii="仿宋" w:hAnsi="仿宋" w:cs="宋体"/>
          <w:szCs w:val="21"/>
          <w:lang w:eastAsia="zh-CN"/>
        </w:rPr>
        <w:t>线上</w:t>
      </w:r>
    </w:p>
    <w:p>
      <w:pPr>
        <w:widowControl/>
        <w:adjustRightInd w:val="0"/>
        <w:snapToGrid w:val="0"/>
        <w:spacing w:line="360" w:lineRule="auto"/>
        <w:ind w:firstLine="480"/>
        <w:jc w:val="left"/>
        <w:rPr>
          <w:rFonts w:hint="eastAsia" w:ascii="仿宋" w:hAnsi="仿宋" w:cs="宋体"/>
          <w:szCs w:val="21"/>
        </w:rPr>
      </w:pPr>
      <w:r>
        <w:rPr>
          <w:rFonts w:hint="eastAsia" w:ascii="仿宋" w:hAnsi="仿宋" w:cs="宋体"/>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cs="宋体"/>
          <w:szCs w:val="21"/>
        </w:rPr>
      </w:pPr>
      <w:r>
        <w:rPr>
          <w:rFonts w:hint="eastAsia" w:ascii="仿宋" w:hAnsi="仿宋" w:cs="宋体"/>
          <w:szCs w:val="21"/>
        </w:rPr>
        <w:t>质疑供应商对采购人、采购代理机构的答复不满意，或者采购人、采购代理机构未在规定时间内作出答复的，可以在答复期满后15个工作日内向本级财政部门提起投诉。</w:t>
      </w:r>
      <w:bookmarkStart w:id="31" w:name="_Toc35393795"/>
      <w:bookmarkStart w:id="32" w:name="_Toc35393626"/>
    </w:p>
    <w:p>
      <w:pPr>
        <w:widowControl/>
        <w:adjustRightInd w:val="0"/>
        <w:snapToGrid w:val="0"/>
        <w:spacing w:line="360" w:lineRule="auto"/>
        <w:jc w:val="left"/>
        <w:outlineLvl w:val="0"/>
        <w:rPr>
          <w:rFonts w:ascii="仿宋" w:hAnsi="仿宋" w:cs="宋体"/>
          <w:bCs/>
          <w:szCs w:val="21"/>
        </w:rPr>
      </w:pPr>
      <w:bookmarkStart w:id="33" w:name="_Toc338"/>
      <w:r>
        <w:rPr>
          <w:rFonts w:hint="eastAsia" w:ascii="仿宋" w:hAnsi="仿宋" w:cs="宋体"/>
          <w:bCs/>
          <w:szCs w:val="21"/>
        </w:rPr>
        <w:t>八、其他补充事宜</w:t>
      </w:r>
      <w:bookmarkEnd w:id="31"/>
      <w:bookmarkEnd w:id="32"/>
      <w:bookmarkEnd w:id="33"/>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cs="宋体"/>
          <w:color w:val="auto"/>
          <w:szCs w:val="21"/>
        </w:rPr>
      </w:pPr>
      <w:r>
        <w:rPr>
          <w:rFonts w:hint="eastAsia" w:ascii="仿宋" w:hAnsi="仿宋" w:cs="宋体"/>
          <w:color w:val="auto"/>
          <w:szCs w:val="21"/>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hint="eastAsia" w:ascii="仿宋" w:hAnsi="仿宋" w:cs="宋体"/>
          <w:color w:val="auto"/>
          <w:szCs w:val="21"/>
        </w:rPr>
      </w:pPr>
      <w:r>
        <w:rPr>
          <w:rFonts w:hint="eastAsia" w:ascii="仿宋" w:hAnsi="仿宋" w:cs="宋体"/>
          <w:color w:val="auto"/>
          <w:szCs w:val="21"/>
        </w:rPr>
        <w:t>（</w:t>
      </w:r>
      <w:r>
        <w:rPr>
          <w:rFonts w:hint="eastAsia" w:ascii="仿宋" w:hAnsi="仿宋" w:cs="宋体"/>
          <w:color w:val="auto"/>
          <w:szCs w:val="21"/>
          <w:lang w:val="en-US" w:eastAsia="zh-CN"/>
        </w:rPr>
        <w:t>2</w:t>
      </w:r>
      <w:r>
        <w:rPr>
          <w:rFonts w:hint="eastAsia" w:ascii="仿宋" w:hAnsi="仿宋" w:cs="宋体"/>
          <w:color w:val="auto"/>
          <w:szCs w:val="21"/>
        </w:rPr>
        <w:t>）因供应商原因未对文件校验造成信息缺失、文件内容或格式不正确以及备份文件不符合要求等问题影响评审的，由供应商自行承担相应责任。</w:t>
      </w:r>
      <w:bookmarkStart w:id="34" w:name="_Toc35393796"/>
      <w:bookmarkStart w:id="35" w:name="_Toc28359085"/>
      <w:bookmarkStart w:id="36" w:name="_Toc35393627"/>
      <w:bookmarkStart w:id="37" w:name="_Toc28359008"/>
      <w:r>
        <w:rPr>
          <w:rFonts w:hint="eastAsia" w:ascii="仿宋" w:hAnsi="仿宋" w:cs="宋体"/>
          <w:color w:val="auto"/>
          <w:szCs w:val="21"/>
        </w:rPr>
        <w:t>因供应商原因导致未在辽宁政府采购网</w:t>
      </w:r>
      <w:r>
        <w:rPr>
          <w:rFonts w:hint="eastAsia" w:ascii="仿宋" w:hAnsi="仿宋" w:cs="宋体"/>
          <w:color w:val="auto"/>
          <w:szCs w:val="21"/>
          <w:lang w:eastAsia="zh-CN"/>
        </w:rPr>
        <w:t>上传、解密投标</w:t>
      </w:r>
      <w:r>
        <w:rPr>
          <w:rFonts w:hint="eastAsia" w:ascii="仿宋" w:hAnsi="仿宋" w:cs="宋体"/>
          <w:color w:val="auto"/>
          <w:szCs w:val="21"/>
        </w:rPr>
        <w:t>文件的按照无效投标处理。</w:t>
      </w:r>
    </w:p>
    <w:p>
      <w:pPr>
        <w:widowControl/>
        <w:adjustRightInd w:val="0"/>
        <w:snapToGrid w:val="0"/>
        <w:spacing w:line="360" w:lineRule="auto"/>
        <w:jc w:val="left"/>
        <w:outlineLvl w:val="0"/>
        <w:rPr>
          <w:rFonts w:hint="eastAsia" w:ascii="仿宋" w:hAnsi="仿宋" w:cs="宋体"/>
          <w:bCs/>
          <w:szCs w:val="21"/>
        </w:rPr>
      </w:pPr>
      <w:bookmarkStart w:id="38" w:name="_Toc26053"/>
      <w:r>
        <w:rPr>
          <w:rFonts w:hint="eastAsia" w:ascii="仿宋" w:hAnsi="仿宋" w:cs="宋体"/>
          <w:bCs/>
          <w:szCs w:val="21"/>
        </w:rPr>
        <w:t>九、对本次招标提出询问，请按</w:t>
      </w:r>
      <w:r>
        <w:rPr>
          <w:rFonts w:ascii="仿宋" w:hAnsi="仿宋" w:cs="宋体"/>
          <w:bCs/>
          <w:szCs w:val="21"/>
        </w:rPr>
        <w:t>以下方式</w:t>
      </w:r>
      <w:r>
        <w:rPr>
          <w:rFonts w:hint="eastAsia" w:ascii="仿宋" w:hAnsi="仿宋" w:cs="宋体"/>
          <w:bCs/>
          <w:szCs w:val="21"/>
        </w:rPr>
        <w:t>联系。</w:t>
      </w:r>
      <w:bookmarkEnd w:id="34"/>
      <w:bookmarkEnd w:id="35"/>
      <w:bookmarkEnd w:id="36"/>
      <w:bookmarkEnd w:id="37"/>
      <w:bookmarkEnd w:id="38"/>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jc w:val="left"/>
        <w:textAlignment w:val="auto"/>
        <w:rPr>
          <w:rFonts w:ascii="仿宋" w:hAnsi="仿宋" w:cs="宋体"/>
          <w:bCs/>
          <w:szCs w:val="21"/>
        </w:rPr>
      </w:pPr>
      <w:r>
        <w:rPr>
          <w:rFonts w:hint="eastAsia" w:ascii="仿宋" w:hAnsi="仿宋" w:cs="宋体"/>
          <w:bCs/>
          <w:szCs w:val="21"/>
        </w:rPr>
        <w:t>1.采购人信息</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Times New Roman"/>
          <w:szCs w:val="21"/>
          <w:lang w:eastAsia="zh-CN"/>
        </w:rPr>
      </w:pPr>
      <w:r>
        <w:rPr>
          <w:rFonts w:hint="eastAsia" w:ascii="仿宋" w:hAnsi="仿宋" w:cs="Times New Roman"/>
          <w:szCs w:val="21"/>
        </w:rPr>
        <w:t>名    称：</w:t>
      </w:r>
      <w:r>
        <w:rPr>
          <w:rFonts w:hint="eastAsia" w:ascii="仿宋" w:hAnsi="仿宋" w:cs="Times New Roman"/>
          <w:szCs w:val="21"/>
          <w:lang w:eastAsia="zh-CN"/>
        </w:rPr>
        <w:t>营口市文化旅游和广播电视局</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仿宋" w:hAnsi="仿宋" w:eastAsia="仿宋" w:cs="Times New Roman"/>
          <w:szCs w:val="21"/>
          <w:lang w:eastAsia="zh-CN"/>
        </w:rPr>
      </w:pPr>
      <w:r>
        <w:rPr>
          <w:rFonts w:hint="eastAsia" w:ascii="仿宋" w:hAnsi="仿宋" w:cs="Times New Roman"/>
          <w:szCs w:val="21"/>
        </w:rPr>
        <w:t>地    址：</w:t>
      </w:r>
      <w:r>
        <w:rPr>
          <w:rFonts w:hint="eastAsia" w:ascii="仿宋" w:hAnsi="仿宋" w:cs="Times New Roman"/>
          <w:szCs w:val="21"/>
          <w:lang w:eastAsia="zh-CN"/>
        </w:rPr>
        <w:t>营口市西市区博文路体育训练中心院内</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default" w:ascii="仿宋" w:hAnsi="仿宋" w:eastAsia="仿宋" w:cs="Times New Roman"/>
          <w:szCs w:val="21"/>
          <w:lang w:val="en-US" w:eastAsia="zh-CN"/>
        </w:rPr>
      </w:pPr>
      <w:r>
        <w:rPr>
          <w:rFonts w:hint="eastAsia" w:ascii="仿宋" w:hAnsi="仿宋" w:cs="Times New Roman"/>
          <w:szCs w:val="21"/>
        </w:rPr>
        <w:t>联系方式：</w:t>
      </w:r>
      <w:r>
        <w:rPr>
          <w:rFonts w:hint="eastAsia" w:ascii="仿宋" w:hAnsi="仿宋" w:cs="Times New Roman"/>
          <w:szCs w:val="21"/>
          <w:lang w:val="en-US" w:eastAsia="zh-CN"/>
        </w:rPr>
        <w:t>0417-2989017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仿宋" w:hAnsi="仿宋" w:cs="宋体"/>
          <w:bCs/>
          <w:szCs w:val="21"/>
        </w:rPr>
      </w:pPr>
      <w:r>
        <w:rPr>
          <w:rFonts w:hint="eastAsia" w:ascii="仿宋" w:hAnsi="仿宋" w:cs="宋体"/>
          <w:bCs/>
          <w:szCs w:val="21"/>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cs="宋体"/>
          <w:bCs/>
          <w:szCs w:val="21"/>
          <w:lang w:eastAsia="zh-CN"/>
        </w:rPr>
      </w:pPr>
      <w:r>
        <w:rPr>
          <w:rFonts w:hint="eastAsia" w:ascii="仿宋" w:hAnsi="仿宋" w:cs="Times New Roman"/>
          <w:szCs w:val="21"/>
        </w:rPr>
        <w:t xml:space="preserve">名  </w:t>
      </w:r>
      <w:r>
        <w:rPr>
          <w:rFonts w:hint="eastAsia" w:ascii="仿宋" w:hAnsi="仿宋" w:cs="Times New Roman"/>
          <w:szCs w:val="21"/>
          <w:lang w:val="en-US" w:eastAsia="zh-CN"/>
        </w:rPr>
        <w:t xml:space="preserve"> </w:t>
      </w:r>
      <w:r>
        <w:rPr>
          <w:rFonts w:hint="eastAsia" w:ascii="仿宋" w:hAnsi="仿宋" w:cs="Times New Roman"/>
          <w:szCs w:val="21"/>
        </w:rPr>
        <w:t xml:space="preserve"> 称：</w:t>
      </w:r>
      <w:r>
        <w:rPr>
          <w:rFonts w:hint="eastAsia" w:ascii="仿宋" w:hAnsi="仿宋" w:cs="宋体"/>
          <w:bCs/>
          <w:szCs w:val="21"/>
          <w:lang w:eastAsia="zh-CN"/>
        </w:rPr>
        <w:t>营口市营商环境建设中心（营口市公共资源交易中心）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Times New Roman"/>
          <w:szCs w:val="21"/>
        </w:rPr>
      </w:pPr>
      <w:r>
        <w:rPr>
          <w:rFonts w:hint="eastAsia" w:ascii="仿宋" w:hAnsi="仿宋" w:cs="Times New Roman"/>
          <w:szCs w:val="21"/>
        </w:rPr>
        <w:t>地　  址：辽宁省营口市沿海产业基地民生路28号营口市民服务中心三楼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仿宋" w:hAnsi="仿宋" w:eastAsia="仿宋" w:cs="Times New Roman"/>
          <w:szCs w:val="21"/>
          <w:u w:val="single"/>
          <w:lang w:val="en-US" w:eastAsia="zh-CN"/>
        </w:rPr>
      </w:pPr>
      <w:r>
        <w:rPr>
          <w:rFonts w:hint="eastAsia" w:ascii="仿宋" w:hAnsi="仿宋" w:cs="Times New Roman"/>
          <w:szCs w:val="21"/>
        </w:rPr>
        <w:t>联系方式：0417-</w:t>
      </w:r>
      <w:r>
        <w:rPr>
          <w:rFonts w:hint="eastAsia" w:ascii="仿宋" w:hAnsi="仿宋" w:cs="Times New Roman"/>
          <w:szCs w:val="21"/>
          <w:lang w:val="en-US" w:eastAsia="zh-CN"/>
        </w:rPr>
        <w:t>2972505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bCs/>
          <w:szCs w:val="21"/>
          <w:u w:val="single"/>
        </w:rPr>
      </w:pPr>
      <w:r>
        <w:rPr>
          <w:rFonts w:hint="eastAsia" w:ascii="仿宋" w:hAnsi="仿宋" w:cs="宋体"/>
          <w:bCs/>
          <w:szCs w:val="21"/>
        </w:rPr>
        <w:t>开 户 行：中国建设银行股份有限公司营口新联大街支行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cs="宋体"/>
          <w:bCs/>
          <w:szCs w:val="21"/>
        </w:rPr>
      </w:pPr>
      <w:r>
        <w:rPr>
          <w:rFonts w:hint="eastAsia" w:ascii="仿宋" w:hAnsi="仿宋" w:cs="宋体"/>
          <w:bCs/>
          <w:szCs w:val="21"/>
        </w:rPr>
        <w:t>账户名称：</w:t>
      </w:r>
      <w:r>
        <w:rPr>
          <w:rFonts w:hint="eastAsia" w:ascii="仿宋" w:hAnsi="仿宋" w:cs="宋体"/>
          <w:bCs/>
          <w:szCs w:val="21"/>
        </w:rPr>
        <w:t>营口市营商环境建设中心（营口市公共资源交易中心）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bCs/>
          <w:szCs w:val="21"/>
        </w:rPr>
      </w:pPr>
      <w:r>
        <w:rPr>
          <w:rFonts w:hint="eastAsia" w:ascii="仿宋" w:hAnsi="仿宋" w:cs="宋体"/>
          <w:bCs/>
          <w:szCs w:val="21"/>
        </w:rPr>
        <w:t>账    号：2</w:t>
      </w:r>
      <w:r>
        <w:rPr>
          <w:rFonts w:ascii="仿宋" w:hAnsi="仿宋" w:cs="宋体"/>
          <w:bCs/>
          <w:szCs w:val="21"/>
        </w:rPr>
        <w:t>1050110852100000007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 w:hAnsi="仿宋" w:cs="宋体"/>
          <w:bCs/>
          <w:szCs w:val="21"/>
        </w:rPr>
      </w:pPr>
      <w:r>
        <w:rPr>
          <w:rFonts w:hint="eastAsia" w:ascii="仿宋" w:hAnsi="仿宋" w:cs="宋体"/>
          <w:bCs/>
          <w:szCs w:val="21"/>
        </w:rPr>
        <w:t>3.项目</w:t>
      </w:r>
      <w:r>
        <w:rPr>
          <w:rFonts w:ascii="仿宋" w:hAnsi="仿宋" w:cs="宋体"/>
          <w:bCs/>
          <w:szCs w:val="21"/>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Times New Roman"/>
          <w:color w:val="FF0000"/>
          <w:szCs w:val="21"/>
          <w:lang w:eastAsia="zh-CN"/>
        </w:rPr>
      </w:pPr>
      <w:r>
        <w:rPr>
          <w:rFonts w:hint="eastAsia" w:ascii="仿宋" w:hAnsi="仿宋" w:cs="Times New Roman"/>
          <w:szCs w:val="21"/>
        </w:rPr>
        <w:t>项目联系人：</w:t>
      </w:r>
      <w:r>
        <w:rPr>
          <w:rFonts w:hint="eastAsia" w:ascii="仿宋" w:hAnsi="仿宋" w:cs="Times New Roman"/>
          <w:szCs w:val="21"/>
          <w:lang w:eastAsia="zh-CN"/>
        </w:rPr>
        <w:t>伊先生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仿宋" w:cs="Times New Roman"/>
          <w:szCs w:val="21"/>
          <w:lang w:val="en-US" w:eastAsia="zh-CN"/>
        </w:rPr>
      </w:pPr>
      <w:r>
        <w:rPr>
          <w:rFonts w:hint="eastAsia" w:ascii="仿宋" w:hAnsi="仿宋" w:cs="Times New Roman"/>
          <w:szCs w:val="21"/>
          <w:lang w:eastAsia="zh-CN"/>
        </w:rPr>
        <w:t>电</w:t>
      </w:r>
      <w:r>
        <w:rPr>
          <w:rFonts w:hint="eastAsia" w:ascii="仿宋" w:hAnsi="仿宋" w:cs="Times New Roman"/>
          <w:szCs w:val="21"/>
          <w:lang w:val="en-US" w:eastAsia="zh-CN"/>
        </w:rPr>
        <w:t xml:space="preserve">      </w:t>
      </w:r>
      <w:r>
        <w:rPr>
          <w:rFonts w:hint="eastAsia" w:ascii="仿宋" w:hAnsi="仿宋" w:cs="Times New Roman"/>
          <w:szCs w:val="21"/>
          <w:lang w:eastAsia="zh-CN"/>
        </w:rPr>
        <w:t>话</w:t>
      </w:r>
      <w:r>
        <w:rPr>
          <w:rFonts w:hint="eastAsia" w:ascii="仿宋" w:hAnsi="仿宋" w:cs="Times New Roman"/>
          <w:szCs w:val="21"/>
        </w:rPr>
        <w:t>：0417-</w:t>
      </w:r>
      <w:r>
        <w:rPr>
          <w:rFonts w:hint="eastAsia" w:ascii="仿宋" w:hAnsi="仿宋" w:cs="Times New Roman"/>
          <w:szCs w:val="21"/>
          <w:lang w:val="en-US" w:eastAsia="zh-CN"/>
        </w:rPr>
        <w:t>2972505</w:t>
      </w:r>
    </w:p>
    <w:p>
      <w:pPr>
        <w:pStyle w:val="2"/>
        <w:snapToGrid w:val="0"/>
        <w:spacing w:before="312" w:beforeLines="100" w:after="312" w:afterLines="100" w:line="360" w:lineRule="auto"/>
        <w:jc w:val="center"/>
        <w:rPr>
          <w:rFonts w:ascii="仿宋_GB2312" w:hAnsi="仿宋_GB2312" w:eastAsia="仿宋_GB2312" w:cs="仿宋_GB2312"/>
        </w:rPr>
      </w:pPr>
      <w:r>
        <w:rPr>
          <w:rFonts w:hint="eastAsia" w:ascii="仿宋_GB2312" w:hAnsi="仿宋_GB2312" w:eastAsia="仿宋_GB2312" w:cs="仿宋_GB2312"/>
        </w:rPr>
        <w:br w:type="page"/>
      </w:r>
      <w:bookmarkStart w:id="39" w:name="_Toc30265"/>
      <w:r>
        <w:rPr>
          <w:rFonts w:hint="eastAsia" w:ascii="仿宋_GB2312" w:hAnsi="仿宋_GB2312" w:eastAsia="仿宋_GB2312" w:cs="仿宋_GB2312"/>
        </w:rPr>
        <w:t>第一章 投标人须知</w:t>
      </w:r>
      <w:bookmarkEnd w:id="5"/>
      <w:bookmarkEnd w:id="6"/>
      <w:bookmarkEnd w:id="39"/>
    </w:p>
    <w:p>
      <w:pPr>
        <w:pStyle w:val="3"/>
        <w:adjustRightInd w:val="0"/>
        <w:snapToGrid w:val="0"/>
        <w:spacing w:before="0" w:after="0" w:line="360" w:lineRule="auto"/>
        <w:rPr>
          <w:rFonts w:ascii="仿宋_GB2312" w:hAnsi="仿宋_GB2312" w:eastAsia="仿宋_GB2312" w:cs="仿宋_GB2312"/>
          <w:sz w:val="32"/>
          <w:szCs w:val="36"/>
        </w:rPr>
      </w:pPr>
      <w:bookmarkStart w:id="40" w:name="_Toc18613_WPSOffice_Level2"/>
      <w:r>
        <w:rPr>
          <w:rFonts w:hint="eastAsia" w:ascii="仿宋_GB2312" w:hAnsi="仿宋_GB2312" w:eastAsia="仿宋_GB2312" w:cs="仿宋_GB2312"/>
          <w:sz w:val="32"/>
          <w:szCs w:val="36"/>
        </w:rPr>
        <w:t>一 投标人须知表</w:t>
      </w:r>
      <w:bookmarkEnd w:id="40"/>
    </w:p>
    <w:tbl>
      <w:tblPr>
        <w:tblStyle w:val="17"/>
        <w:tblW w:w="8787" w:type="dxa"/>
        <w:jc w:val="center"/>
        <w:tblLayout w:type="fixed"/>
        <w:tblCellMar>
          <w:top w:w="0" w:type="dxa"/>
          <w:left w:w="108" w:type="dxa"/>
          <w:bottom w:w="0" w:type="dxa"/>
          <w:right w:w="108" w:type="dxa"/>
        </w:tblCellMar>
      </w:tblPr>
      <w:tblGrid>
        <w:gridCol w:w="885"/>
        <w:gridCol w:w="1544"/>
        <w:gridCol w:w="6358"/>
      </w:tblGrid>
      <w:tr>
        <w:tblPrEx>
          <w:tblCellMar>
            <w:top w:w="0" w:type="dxa"/>
            <w:left w:w="108" w:type="dxa"/>
            <w:bottom w:w="0" w:type="dxa"/>
            <w:right w:w="108" w:type="dxa"/>
          </w:tblCellMar>
        </w:tblPrEx>
        <w:trPr>
          <w:wBefore w:w="0" w:type="dxa"/>
          <w:wAfter w:w="0" w:type="dxa"/>
          <w:trHeight w:val="499" w:hRule="atLeast"/>
          <w:tblHeader/>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bookmarkStart w:id="41" w:name="sys_招标项目基本内容及要求：Block"/>
            <w:bookmarkEnd w:id="41"/>
            <w:bookmarkStart w:id="42" w:name="招标项目基本内容及要求：Block"/>
            <w:bookmarkEnd w:id="42"/>
            <w:bookmarkStart w:id="43" w:name="招标项目基本内容及要求其他：Block"/>
            <w:bookmarkEnd w:id="43"/>
            <w:bookmarkStart w:id="44" w:name="sys_招标项目基本内容及要求其他：Block"/>
            <w:bookmarkEnd w:id="44"/>
            <w:r>
              <w:rPr>
                <w:rFonts w:hint="eastAsia" w:ascii="仿宋_GB2312" w:hAnsi="仿宋_GB2312" w:eastAsia="仿宋_GB2312" w:cs="仿宋_GB2312"/>
                <w:kern w:val="0"/>
                <w:sz w:val="21"/>
                <w:szCs w:val="21"/>
                <w:lang w:eastAsia="zh-CN"/>
              </w:rPr>
              <w:t>条</w:t>
            </w:r>
            <w:r>
              <w:rPr>
                <w:rFonts w:hint="eastAsia" w:ascii="仿宋_GB2312" w:hAnsi="仿宋_GB2312" w:eastAsia="仿宋_GB2312" w:cs="仿宋_GB2312"/>
                <w:kern w:val="0"/>
                <w:sz w:val="21"/>
                <w:szCs w:val="21"/>
              </w:rPr>
              <w:t>款号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wBefore w:w="0" w:type="dxa"/>
          <w:wAfter w:w="0" w:type="dxa"/>
          <w:trHeight w:val="125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营口市文化旅游和广播电视局</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lang w:eastAsia="zh-CN"/>
              </w:rPr>
              <w:t>营口市西市区博文路体育运动训练中心院内</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王女士</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 xml:space="preserve"> 0417-2989017                 </w:t>
            </w:r>
          </w:p>
        </w:tc>
      </w:tr>
      <w:tr>
        <w:tblPrEx>
          <w:tblCellMar>
            <w:top w:w="0" w:type="dxa"/>
            <w:left w:w="108" w:type="dxa"/>
            <w:bottom w:w="0" w:type="dxa"/>
            <w:right w:w="108" w:type="dxa"/>
          </w:tblCellMar>
        </w:tblPrEx>
        <w:trPr>
          <w:wBefore w:w="0" w:type="dxa"/>
          <w:wAfter w:w="0" w:type="dxa"/>
          <w:trHeight w:val="125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lang w:eastAsia="zh-CN"/>
              </w:rPr>
              <w:t>营口市营商环境建设中心（营口市公共资源交易中心）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伊先生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lang w:val="en-US" w:eastAsia="zh-CN"/>
              </w:rPr>
              <w:t>2972505</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投标人具有省级以上（含省级）行政部门颁发的图书《中华人民共和国出版物经营许可证》</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wBefore w:w="0" w:type="dxa"/>
          <w:wAfter w:w="0" w:type="dxa"/>
          <w:trHeight w:val="836"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wBefore w:w="0" w:type="dxa"/>
          <w:wAfter w:w="0" w:type="dxa"/>
          <w:trHeight w:val="410"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bCs/>
                <w:kern w:val="0"/>
                <w:szCs w:val="21"/>
                <w:lang w:eastAsia="zh-CN"/>
              </w:rPr>
            </w:pPr>
            <w:r>
              <w:rPr>
                <w:rFonts w:hint="eastAsia" w:ascii="仿宋_GB2312" w:hAnsi="仿宋_GB2312" w:eastAsia="仿宋_GB2312" w:cs="仿宋_GB2312"/>
                <w:bCs/>
                <w:kern w:val="0"/>
                <w:szCs w:val="21"/>
                <w:lang w:eastAsia="zh-CN"/>
              </w:rPr>
              <w:t>无</w:t>
            </w:r>
          </w:p>
        </w:tc>
      </w:tr>
      <w:tr>
        <w:tblPrEx>
          <w:tblCellMar>
            <w:top w:w="0" w:type="dxa"/>
            <w:left w:w="108" w:type="dxa"/>
            <w:bottom w:w="0" w:type="dxa"/>
            <w:right w:w="108" w:type="dxa"/>
          </w:tblCellMar>
        </w:tblPrEx>
        <w:trPr>
          <w:wBefore w:w="0" w:type="dxa"/>
          <w:wAfter w:w="0" w:type="dxa"/>
          <w:trHeight w:val="94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项目预算金额、最高限价</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500，000.00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100%</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计量单位</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wBefore w:w="0" w:type="dxa"/>
          <w:wAfter w:w="0" w:type="dxa"/>
          <w:trHeight w:val="1873"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现场考察、开标前答疑会</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lang w:eastAsia="zh-CN"/>
              </w:rPr>
              <w:t>中文图书</w:t>
            </w:r>
            <w:r>
              <w:rPr>
                <w:rFonts w:hint="eastAsia" w:ascii="仿宋_GB2312" w:hAnsi="仿宋_GB2312" w:eastAsia="仿宋_GB2312" w:cs="仿宋_GB2312"/>
                <w:szCs w:val="21"/>
              </w:rPr>
              <w:t>（非单一产品采购时，只能设一个核心产品）</w:t>
            </w:r>
          </w:p>
        </w:tc>
      </w:tr>
      <w:tr>
        <w:tblPrEx>
          <w:tblCellMar>
            <w:top w:w="0" w:type="dxa"/>
            <w:left w:w="108" w:type="dxa"/>
            <w:bottom w:w="0" w:type="dxa"/>
            <w:right w:w="108" w:type="dxa"/>
          </w:tblCellMar>
        </w:tblPrEx>
        <w:trPr>
          <w:wBefore w:w="0" w:type="dxa"/>
          <w:wAfter w:w="0" w:type="dxa"/>
          <w:trHeight w:val="6008"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wBefore w:w="0" w:type="dxa"/>
          <w:wAfter w:w="0" w:type="dxa"/>
          <w:trHeight w:val="1338"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7087" w:type="dxa"/>
            <w:tcBorders>
              <w:top w:val="single" w:color="auto" w:sz="4" w:space="0"/>
              <w:left w:val="nil"/>
              <w:bottom w:val="single" w:color="auto" w:sz="8" w:space="0"/>
              <w:right w:val="single" w:color="auto" w:sz="8" w:space="0"/>
            </w:tcBorders>
            <w:noWrap w:val="0"/>
            <w:vAlign w:val="center"/>
          </w:tcPr>
          <w:p>
            <w:pPr>
              <w:pStyle w:val="6"/>
              <w:rPr>
                <w:rFonts w:ascii="仿宋_GB2312" w:hAnsi="仿宋_GB2312" w:eastAsia="仿宋_GB2312" w:cs="仿宋_GB2312"/>
                <w:kern w:val="0"/>
                <w:szCs w:val="21"/>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lang w:val="en-US" w:eastAsia="zh-CN"/>
              </w:rPr>
              <w:t>5000</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元</w:t>
            </w:r>
          </w:p>
          <w:p>
            <w:pPr>
              <w:pStyle w:val="6"/>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shd w:val="clear" w:color="auto" w:fill="auto"/>
              </w:rPr>
              <w:t>递交</w:t>
            </w:r>
            <w:r>
              <w:rPr>
                <w:rFonts w:hint="eastAsia" w:ascii="仿宋_GB2312" w:hAnsi="仿宋_GB2312" w:eastAsia="仿宋_GB2312" w:cs="仿宋_GB2312"/>
                <w:szCs w:val="21"/>
                <w:u w:val="single"/>
              </w:rPr>
              <w:t xml:space="preserve">投标文件截止时间前 </w:t>
            </w:r>
          </w:p>
          <w:p>
            <w:pPr>
              <w:pStyle w:val="6"/>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 w:hAnsi="仿宋" w:cs="宋体"/>
                <w:bCs/>
                <w:szCs w:val="21"/>
              </w:rPr>
              <w:t>账户名称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营口市营商环境建设中心（营口市公共资源交易中心）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w:t>
            </w:r>
            <w:bookmarkStart w:id="45" w:name="_Hlk28630059"/>
            <w:r>
              <w:rPr>
                <w:rFonts w:hint="eastAsia" w:ascii="仿宋_GB2312" w:hAnsi="仿宋_GB2312" w:eastAsia="仿宋_GB2312" w:cs="仿宋_GB2312"/>
                <w:kern w:val="0"/>
                <w:szCs w:val="21"/>
                <w:u w:val="single"/>
              </w:rPr>
              <w:t>中标公告发布之日起5个工作日内退还保证金</w:t>
            </w:r>
            <w:bookmarkEnd w:id="45"/>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hint="eastAsia"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hint="eastAsia" w:ascii="仿宋_GB2312" w:hAnsi="仿宋_GB2312" w:eastAsia="仿宋_GB2312" w:cs="仿宋_GB2312"/>
                <w:color w:val="auto"/>
                <w:szCs w:val="21"/>
                <w:u w:val="single"/>
                <w:lang w:val="en-US" w:eastAsia="zh-CN"/>
              </w:rPr>
            </w:pPr>
            <w:r>
              <w:rPr>
                <w:rFonts w:hint="eastAsia" w:ascii="仿宋_GB2312" w:hAnsi="仿宋_GB2312" w:eastAsia="仿宋_GB2312" w:cs="仿宋_GB2312"/>
                <w:color w:val="auto"/>
                <w:szCs w:val="21"/>
                <w:u w:val="single"/>
                <w:lang w:val="en-US" w:eastAsia="zh-CN"/>
              </w:rPr>
              <w:t>7、专门面向中小企业采购项目不收取投标保证金。</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7087" w:type="dxa"/>
            <w:tcBorders>
              <w:top w:val="single" w:color="auto" w:sz="4" w:space="0"/>
              <w:left w:val="nil"/>
              <w:bottom w:val="single" w:color="auto" w:sz="8" w:space="0"/>
              <w:right w:val="single" w:color="auto" w:sz="8" w:space="0"/>
            </w:tcBorders>
            <w:noWrap w:val="0"/>
            <w:vAlign w:val="center"/>
          </w:tcPr>
          <w:p>
            <w:pPr>
              <w:pStyle w:val="6"/>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wBefore w:w="0" w:type="dxa"/>
          <w:wAfter w:w="0" w:type="dxa"/>
          <w:trHeight w:val="641"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7087" w:type="dxa"/>
            <w:tcBorders>
              <w:top w:val="nil"/>
              <w:left w:val="nil"/>
              <w:bottom w:val="single" w:color="auto" w:sz="4" w:space="0"/>
              <w:right w:val="single" w:color="auto" w:sz="8" w:space="0"/>
            </w:tcBorders>
            <w:noWrap w:val="0"/>
            <w:vAlign w:val="center"/>
          </w:tcPr>
          <w:p>
            <w:pPr>
              <w:widowControl/>
              <w:rPr>
                <w:rFonts w:hint="eastAsia" w:ascii="仿宋_GB2312" w:hAnsi="仿宋_GB2312" w:eastAsia="仿宋" w:cs="仿宋_GB2312"/>
                <w:kern w:val="0"/>
                <w:szCs w:val="21"/>
                <w:lang w:val="en-US" w:eastAsia="zh-CN"/>
              </w:rPr>
            </w:pPr>
            <w:r>
              <w:rPr>
                <w:rFonts w:hint="eastAsia" w:ascii="仿宋_GB2312" w:hAnsi="仿宋_GB2312" w:eastAsia="仿宋_GB2312" w:cs="仿宋_GB2312"/>
                <w:kern w:val="0"/>
                <w:szCs w:val="21"/>
              </w:rPr>
              <w:t>辽宁政府采购网电子评审系统上传提交电子文件</w:t>
            </w:r>
            <w:r>
              <w:rPr>
                <w:rFonts w:hint="eastAsia" w:ascii="仿宋_GB2312" w:hAnsi="仿宋_GB2312" w:eastAsia="仿宋_GB2312" w:cs="仿宋_GB2312"/>
                <w:kern w:val="0"/>
                <w:szCs w:val="21"/>
                <w:lang w:val="en-US" w:eastAsia="zh-CN"/>
              </w:rPr>
              <w:t>;</w:t>
            </w:r>
            <w:r>
              <w:rPr>
                <w:rFonts w:hint="eastAsia" w:ascii="仿宋_GB2312" w:hAnsi="仿宋_GB2312" w:eastAsia="仿宋_GB2312" w:cs="仿宋_GB2312"/>
                <w:kern w:val="0"/>
                <w:szCs w:val="21"/>
              </w:rPr>
              <w:t>现场递交备份文件（U盘）</w:t>
            </w:r>
            <w:r>
              <w:rPr>
                <w:rFonts w:hint="eastAsia" w:ascii="仿宋_GB2312" w:hAnsi="仿宋_GB2312" w:eastAsia="仿宋_GB2312" w:cs="仿宋_GB2312"/>
                <w:kern w:val="0"/>
                <w:szCs w:val="21"/>
                <w:lang w:eastAsia="zh-CN"/>
              </w:rPr>
              <w:t>。</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wBefore w:w="0" w:type="dxa"/>
          <w:wAfter w:w="0" w:type="dxa"/>
          <w:trHeight w:val="613"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CellMar>
            <w:top w:w="0" w:type="dxa"/>
            <w:left w:w="108" w:type="dxa"/>
            <w:bottom w:w="0" w:type="dxa"/>
            <w:right w:w="108" w:type="dxa"/>
          </w:tblCellMar>
        </w:tblPrEx>
        <w:trPr>
          <w:wBefore w:w="0" w:type="dxa"/>
          <w:wAfter w:w="0" w:type="dxa"/>
          <w:trHeight w:val="613" w:hRule="atLeast"/>
          <w:jc w:val="center"/>
        </w:trPr>
        <w:tc>
          <w:tcPr>
            <w:tcW w:w="964"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701" w:type="dxa"/>
            <w:tcBorders>
              <w:top w:val="nil"/>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7087" w:type="dxa"/>
            <w:tcBorders>
              <w:top w:val="nil"/>
              <w:left w:val="nil"/>
              <w:bottom w:val="single" w:color="auto" w:sz="4" w:space="0"/>
              <w:right w:val="single" w:color="auto" w:sz="8"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人。 </w:t>
            </w:r>
          </w:p>
        </w:tc>
      </w:tr>
      <w:tr>
        <w:tblPrEx>
          <w:tblCellMar>
            <w:top w:w="0" w:type="dxa"/>
            <w:left w:w="108" w:type="dxa"/>
            <w:bottom w:w="0" w:type="dxa"/>
            <w:right w:w="108" w:type="dxa"/>
          </w:tblCellMar>
        </w:tblPrEx>
        <w:trPr>
          <w:wBefore w:w="0" w:type="dxa"/>
          <w:wAfter w:w="0" w:type="dxa"/>
          <w:trHeight w:val="204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样品的评审方法以及评审标准</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演示的评审方法及评审标准</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 xml:space="preserve">最低评标价法 </w:t>
            </w:r>
          </w:p>
        </w:tc>
      </w:tr>
      <w:tr>
        <w:tblPrEx>
          <w:tblCellMar>
            <w:top w:w="0" w:type="dxa"/>
            <w:left w:w="108" w:type="dxa"/>
            <w:bottom w:w="0" w:type="dxa"/>
            <w:right w:w="108" w:type="dxa"/>
          </w:tblCellMar>
        </w:tblPrEx>
        <w:trPr>
          <w:wBefore w:w="0" w:type="dxa"/>
          <w:wAfter w:w="0" w:type="dxa"/>
          <w:trHeight w:val="631"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wBefore w:w="0" w:type="dxa"/>
          <w:wAfter w:w="0" w:type="dxa"/>
          <w:trHeight w:val="942"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wBefore w:w="0" w:type="dxa"/>
          <w:wAfter w:w="0" w:type="dxa"/>
          <w:trHeight w:val="3115"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履约保证金</w:t>
            </w:r>
          </w:p>
        </w:tc>
        <w:tc>
          <w:tcPr>
            <w:tcW w:w="708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rPr>
              <w:t>本项目收取履约保证金</w:t>
            </w:r>
          </w:p>
          <w:p>
            <w:pPr>
              <w:shd w:val="clear" w:color="auto" w:fill="auto"/>
              <w:ind w:firstLine="210" w:firstLineChars="100"/>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履约保证金金</w:t>
            </w:r>
            <w:r>
              <w:rPr>
                <w:rFonts w:hint="eastAsia" w:ascii="仿宋_GB2312" w:hAnsi="仿宋_GB2312" w:eastAsia="仿宋_GB2312" w:cs="仿宋_GB2312"/>
                <w:szCs w:val="21"/>
                <w:lang w:eastAsia="zh-CN"/>
              </w:rPr>
              <w:t>额：</w:t>
            </w:r>
            <w:r>
              <w:rPr>
                <w:rFonts w:hint="eastAsia" w:ascii="仿宋_GB2312" w:hAnsi="仿宋_GB2312" w:eastAsia="仿宋_GB2312" w:cs="仿宋_GB2312"/>
                <w:szCs w:val="21"/>
                <w:lang w:val="en-US" w:eastAsia="zh-CN"/>
              </w:rPr>
              <w:t>0元</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keepNext w:val="0"/>
              <w:keepLines w:val="0"/>
              <w:pageBreakBefore w:val="0"/>
              <w:widowControl w:val="0"/>
              <w:shd w:val="clear" w:color="auto" w:fill="auto"/>
              <w:kinsoku/>
              <w:wordWrap/>
              <w:overflowPunct/>
              <w:topLinePunct w:val="0"/>
              <w:autoSpaceDE/>
              <w:autoSpaceDN/>
              <w:bidi w:val="0"/>
              <w:adjustRightInd/>
              <w:snapToGrid/>
              <w:ind w:firstLine="210" w:firstLineChars="100"/>
              <w:jc w:val="left"/>
              <w:textAlignment w:val="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账户信息：</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ascii="仿宋_GB2312" w:hAnsi="仿宋_GB2312" w:eastAsia="仿宋_GB2312" w:cs="仿宋_GB2312"/>
                <w:szCs w:val="21"/>
                <w:highlight w:val="none"/>
              </w:rPr>
            </w:pPr>
            <w:r>
              <w:rPr>
                <w:rFonts w:hint="eastAsia" w:ascii="仿宋" w:hAnsi="仿宋" w:cs="宋体"/>
                <w:bCs/>
                <w:szCs w:val="21"/>
              </w:rPr>
              <w:t>账户名称</w:t>
            </w:r>
            <w:r>
              <w:rPr>
                <w:rFonts w:hint="eastAsia" w:ascii="仿宋_GB2312" w:hAnsi="仿宋_GB2312" w:eastAsia="仿宋_GB2312" w:cs="仿宋_GB2312"/>
                <w:szCs w:val="21"/>
                <w:highlight w:val="none"/>
              </w:rPr>
              <w:t>：</w:t>
            </w:r>
            <w:r>
              <w:rPr>
                <w:rFonts w:hint="eastAsia" w:ascii="仿宋_GB2312" w:hAnsi="仿宋_GB2312" w:eastAsia="仿宋_GB2312" w:cs="仿宋_GB2312"/>
                <w:kern w:val="0"/>
                <w:szCs w:val="21"/>
                <w:u w:val="single"/>
              </w:rPr>
              <w:t>营口市营商环境建设中心（营口市公共资源交易中心）</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仿宋_GB2312" w:hAnsi="仿宋_GB2312" w:eastAsia="仿宋_GB2312" w:cs="仿宋_GB2312"/>
                <w:kern w:val="0"/>
                <w:szCs w:val="21"/>
                <w:highlight w:val="none"/>
                <w:u w:val="single"/>
              </w:rPr>
            </w:pPr>
            <w:r>
              <w:rPr>
                <w:rFonts w:hint="eastAsia" w:ascii="仿宋_GB2312" w:hAnsi="仿宋_GB2312" w:eastAsia="仿宋_GB2312" w:cs="仿宋_GB2312"/>
                <w:szCs w:val="21"/>
                <w:highlight w:val="none"/>
              </w:rPr>
              <w:t>开 户 行：</w:t>
            </w:r>
            <w:r>
              <w:rPr>
                <w:rFonts w:hint="eastAsia" w:ascii="仿宋_GB2312" w:hAnsi="仿宋_GB2312" w:eastAsia="仿宋_GB2312" w:cs="仿宋_GB2312"/>
                <w:kern w:val="0"/>
                <w:szCs w:val="21"/>
                <w:highlight w:val="none"/>
                <w:u w:val="single"/>
              </w:rPr>
              <w:t>中国建设银行股份有限公司营口新联大街支行</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ascii="仿宋_GB2312" w:hAnsi="仿宋_GB2312" w:eastAsia="仿宋_GB2312" w:cs="仿宋_GB2312"/>
                <w:szCs w:val="21"/>
              </w:rPr>
            </w:pPr>
            <w:r>
              <w:rPr>
                <w:rFonts w:hint="eastAsia" w:ascii="仿宋_GB2312" w:hAnsi="仿宋_GB2312" w:eastAsia="仿宋_GB2312" w:cs="仿宋_GB2312"/>
                <w:szCs w:val="21"/>
              </w:rPr>
              <w:t>账    号：</w:t>
            </w:r>
            <w:r>
              <w:rPr>
                <w:rFonts w:hint="eastAsia" w:ascii="仿宋_GB2312" w:hAnsi="仿宋_GB2312" w:eastAsia="仿宋_GB2312" w:cs="仿宋_GB2312"/>
                <w:kern w:val="0"/>
                <w:szCs w:val="21"/>
                <w:u w:val="single"/>
              </w:rPr>
              <w:t>21050110852100000007</w:t>
            </w:r>
          </w:p>
          <w:p>
            <w:pPr>
              <w:shd w:val="clear" w:color="auto" w:fill="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w:t>
            </w:r>
            <w:r>
              <w:rPr>
                <w:rFonts w:hint="eastAsia" w:ascii="仿宋_GB2312" w:hAnsi="仿宋_GB2312" w:eastAsia="仿宋_GB2312" w:cs="仿宋_GB2312"/>
                <w:kern w:val="0"/>
                <w:szCs w:val="21"/>
                <w:u w:val="single"/>
                <w:lang w:eastAsia="zh-CN"/>
              </w:rPr>
              <w:t>（</w:t>
            </w:r>
            <w:r>
              <w:rPr>
                <w:rFonts w:hint="eastAsia" w:ascii="仿宋_GB2312" w:hAnsi="仿宋_GB2312" w:eastAsia="仿宋_GB2312" w:cs="仿宋_GB2312"/>
                <w:b/>
                <w:bCs/>
                <w:kern w:val="0"/>
                <w:szCs w:val="21"/>
                <w:u w:val="single"/>
                <w:lang w:val="en-US" w:eastAsia="zh-CN"/>
              </w:rPr>
              <w:t>含履约保证金汇款截图</w:t>
            </w:r>
            <w:r>
              <w:rPr>
                <w:rFonts w:hint="eastAsia" w:ascii="仿宋_GB2312" w:hAnsi="仿宋_GB2312" w:eastAsia="仿宋_GB2312" w:cs="仿宋_GB2312"/>
                <w:kern w:val="0"/>
                <w:szCs w:val="21"/>
                <w:u w:val="single"/>
                <w:lang w:eastAsia="zh-CN"/>
              </w:rPr>
              <w:t>）</w:t>
            </w:r>
            <w:r>
              <w:rPr>
                <w:rFonts w:hint="eastAsia" w:ascii="仿宋_GB2312" w:hAnsi="仿宋_GB2312" w:eastAsia="仿宋_GB2312" w:cs="仿宋_GB2312"/>
                <w:kern w:val="0"/>
                <w:szCs w:val="21"/>
                <w:u w:val="single"/>
              </w:rPr>
              <w:t>到中心前台办理退还保证金事宜</w:t>
            </w:r>
          </w:p>
          <w:p>
            <w:pPr>
              <w:shd w:val="clear" w:color="auto" w:fill="auto"/>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wBefore w:w="0" w:type="dxa"/>
          <w:wAfter w:w="0" w:type="dxa"/>
          <w:trHeight w:val="1252" w:hRule="atLeast"/>
          <w:jc w:val="center"/>
        </w:trPr>
        <w:tc>
          <w:tcPr>
            <w:tcW w:w="964" w:type="dxa"/>
            <w:tcBorders>
              <w:top w:val="nil"/>
              <w:left w:val="single" w:color="auto" w:sz="8" w:space="0"/>
              <w:bottom w:val="single" w:color="auto" w:sz="8"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701" w:type="dxa"/>
            <w:tcBorders>
              <w:top w:val="nil"/>
              <w:left w:val="single" w:color="auto" w:sz="4" w:space="0"/>
              <w:bottom w:val="single" w:color="auto" w:sz="8"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7087" w:type="dxa"/>
            <w:tcBorders>
              <w:top w:val="nil"/>
              <w:left w:val="nil"/>
              <w:bottom w:val="single" w:color="auto" w:sz="8" w:space="0"/>
              <w:right w:val="single" w:color="auto" w:sz="8" w:space="0"/>
            </w:tcBorders>
            <w:noWrap w:val="0"/>
            <w:vAlign w:val="center"/>
          </w:tcPr>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auto"/>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wBefore w:w="0" w:type="dxa"/>
          <w:wAfter w:w="0" w:type="dxa"/>
          <w:trHeight w:val="614" w:hRule="atLeast"/>
          <w:jc w:val="center"/>
        </w:trPr>
        <w:tc>
          <w:tcPr>
            <w:tcW w:w="964"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701"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7087" w:type="dxa"/>
            <w:tcBorders>
              <w:top w:val="single" w:color="auto" w:sz="4" w:space="0"/>
              <w:left w:val="nil"/>
              <w:bottom w:val="single" w:color="auto" w:sz="4" w:space="0"/>
              <w:right w:val="single" w:color="auto" w:sz="8" w:space="0"/>
            </w:tcBorders>
            <w:noWrap w:val="0"/>
            <w:vAlign w:val="center"/>
          </w:tcPr>
          <w:p>
            <w:pPr>
              <w:widowControl/>
              <w:numPr>
                <w:ilvl w:val="0"/>
                <w:numId w:val="2"/>
              </w:numPr>
              <w:spacing w:line="240" w:lineRule="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供应商认为自己的权益受到损害的，可以在知道或者应知其权益受到损害之日起七个工作日内，向采购代理机构</w:t>
            </w:r>
            <w:r>
              <w:rPr>
                <w:rFonts w:hint="eastAsia" w:ascii="仿宋_GB2312" w:hAnsi="仿宋_GB2312" w:eastAsia="仿宋_GB2312" w:cs="仿宋_GB2312"/>
                <w:color w:val="auto"/>
                <w:sz w:val="21"/>
                <w:szCs w:val="21"/>
                <w:lang w:eastAsia="zh-CN"/>
              </w:rPr>
              <w:t>或采购人</w:t>
            </w:r>
            <w:r>
              <w:rPr>
                <w:rFonts w:hint="eastAsia" w:ascii="仿宋_GB2312" w:hAnsi="仿宋_GB2312" w:eastAsia="仿宋_GB2312" w:cs="仿宋_GB2312"/>
                <w:color w:val="auto"/>
                <w:sz w:val="21"/>
                <w:szCs w:val="21"/>
              </w:rPr>
              <w:t>提出质疑。</w:t>
            </w:r>
          </w:p>
          <w:p>
            <w:pPr>
              <w:widowControl/>
              <w:spacing w:line="240" w:lineRule="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二、</w:t>
            </w:r>
            <w:r>
              <w:rPr>
                <w:rFonts w:hint="eastAsia" w:ascii="仿宋_GB2312" w:hAnsi="仿宋_GB2312" w:eastAsia="仿宋_GB2312" w:cs="仿宋_GB2312"/>
                <w:color w:val="auto"/>
                <w:sz w:val="21"/>
                <w:szCs w:val="21"/>
              </w:rPr>
              <w:t>接收质疑函方式：根据《辽宁省政府采购电子化质疑投诉管理办法》</w:t>
            </w:r>
            <w:r>
              <w:rPr>
                <w:rFonts w:hint="eastAsia" w:ascii="仿宋_GB2312" w:hAnsi="仿宋_GB2312" w:eastAsia="仿宋_GB2312" w:cs="仿宋_GB2312"/>
                <w:szCs w:val="21"/>
              </w:rPr>
              <w:t>（辽财采</w:t>
            </w:r>
            <w:r>
              <w:rPr>
                <w:rFonts w:hint="eastAsia" w:ascii="仿宋_GB2312" w:hAnsi="仿宋_GB2312" w:eastAsia="仿宋_GB2312" w:cs="仿宋_GB2312"/>
                <w:szCs w:val="21"/>
                <w:lang w:eastAsia="zh-CN"/>
              </w:rPr>
              <w:t>规</w:t>
            </w:r>
            <w:r>
              <w:rPr>
                <w:rFonts w:hint="eastAsia" w:ascii="仿宋_GB2312" w:hAnsi="仿宋_GB2312" w:eastAsia="仿宋_GB2312" w:cs="仿宋_GB2312"/>
                <w:szCs w:val="21"/>
              </w:rPr>
              <w:t>〔202</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〕8号</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 w:val="21"/>
                <w:szCs w:val="21"/>
              </w:rPr>
              <w:t>，质疑统一在辽宁政府采购网电子化质疑投诉系统中提出。</w:t>
            </w:r>
          </w:p>
          <w:p>
            <w:pPr>
              <w:widowControl/>
              <w:numPr>
                <w:ilvl w:val="0"/>
                <w:numId w:val="0"/>
              </w:numP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1.供应商对招标文件中的采购需求、供应商资格条件、技术和商务条款、评审方法和评审标准提出的质疑，由采购人负责答复。</w:t>
            </w:r>
          </w:p>
          <w:p>
            <w:pPr>
              <w:widowControl/>
              <w:numPr>
                <w:ilvl w:val="0"/>
                <w:numId w:val="0"/>
              </w:numPr>
              <w:rPr>
                <w:rFonts w:hint="eastAsia" w:ascii="仿宋_GB2312" w:hAnsi="仿宋_GB2312" w:eastAsia="仿宋_GB2312" w:cs="仿宋_GB2312"/>
                <w:color w:val="FF0000"/>
                <w:szCs w:val="21"/>
                <w:lang w:val="en-US" w:eastAsia="zh-CN"/>
              </w:rPr>
            </w:pPr>
            <w:r>
              <w:rPr>
                <w:rFonts w:hint="eastAsia" w:ascii="仿宋_GB2312" w:hAnsi="仿宋_GB2312" w:eastAsia="仿宋_GB2312" w:cs="仿宋_GB2312"/>
                <w:color w:val="FF0000"/>
                <w:szCs w:val="21"/>
                <w:lang w:val="en-US" w:eastAsia="zh-CN"/>
              </w:rPr>
              <w:t>采购人质疑经办人：王女士</w:t>
            </w:r>
          </w:p>
          <w:p>
            <w:pPr>
              <w:widowControl/>
              <w:numPr>
                <w:ilvl w:val="0"/>
                <w:numId w:val="0"/>
              </w:numPr>
              <w:rPr>
                <w:rFonts w:hint="default" w:ascii="仿宋_GB2312" w:hAnsi="仿宋_GB2312" w:eastAsia="仿宋_GB2312" w:cs="仿宋_GB2312"/>
                <w:color w:val="FF0000"/>
                <w:szCs w:val="21"/>
                <w:lang w:val="en-US" w:eastAsia="zh-CN"/>
              </w:rPr>
            </w:pPr>
            <w:r>
              <w:rPr>
                <w:rFonts w:hint="eastAsia" w:ascii="仿宋_GB2312" w:hAnsi="仿宋_GB2312" w:eastAsia="仿宋_GB2312" w:cs="仿宋_GB2312"/>
                <w:color w:val="FF0000"/>
                <w:szCs w:val="21"/>
                <w:lang w:val="en-US" w:eastAsia="zh-CN"/>
              </w:rPr>
              <w:t>联 系 电 话：0417-2989017</w:t>
            </w:r>
          </w:p>
          <w:p>
            <w:pPr>
              <w:widowControl/>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lang w:eastAsia="zh-CN"/>
              </w:rPr>
              <w:t>供应商对招标项目操作流程、中标结果提出的质疑，由营口市营商环境建设中心（营口市公共资源交易中心）负责答复。</w:t>
            </w:r>
          </w:p>
          <w:p>
            <w:pPr>
              <w:widowControl/>
              <w:rPr>
                <w:rFonts w:ascii="仿宋_GB2312" w:hAnsi="仿宋_GB2312" w:eastAsia="仿宋_GB2312" w:cs="仿宋_GB2312"/>
                <w:szCs w:val="21"/>
              </w:rPr>
            </w:pPr>
            <w:r>
              <w:rPr>
                <w:rFonts w:hint="eastAsia" w:ascii="仿宋_GB2312" w:hAnsi="仿宋_GB2312" w:eastAsia="仿宋_GB2312" w:cs="仿宋_GB2312"/>
                <w:szCs w:val="21"/>
                <w:lang w:eastAsia="zh-CN"/>
              </w:rPr>
              <w:t>中心质疑经办人</w:t>
            </w:r>
            <w:r>
              <w:rPr>
                <w:rFonts w:hint="eastAsia" w:ascii="仿宋_GB2312" w:hAnsi="仿宋_GB2312" w:eastAsia="仿宋_GB2312" w:cs="仿宋_GB2312"/>
                <w:szCs w:val="21"/>
              </w:rPr>
              <w:t>：</w:t>
            </w:r>
            <w:r>
              <w:rPr>
                <w:rFonts w:hint="eastAsia" w:ascii="仿宋_GB2312" w:hAnsi="仿宋_GB2312" w:eastAsia="仿宋_GB2312" w:cs="仿宋_GB2312"/>
                <w:kern w:val="0"/>
                <w:szCs w:val="21"/>
                <w:u w:val="none"/>
              </w:rPr>
              <w:t>吴先生</w:t>
            </w:r>
          </w:p>
          <w:p>
            <w:pPr>
              <w:widowControl/>
              <w:rPr>
                <w:rFonts w:ascii="仿宋_GB2312" w:hAnsi="仿宋_GB2312" w:eastAsia="仿宋_GB2312" w:cs="仿宋_GB2312"/>
                <w:szCs w:val="21"/>
              </w:rPr>
            </w:pPr>
            <w:r>
              <w:rPr>
                <w:rFonts w:hint="eastAsia" w:ascii="仿宋_GB2312" w:hAnsi="仿宋_GB2312" w:eastAsia="仿宋_GB2312" w:cs="仿宋_GB2312"/>
                <w:szCs w:val="21"/>
              </w:rPr>
              <w:t>联</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电</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话：</w:t>
            </w:r>
            <w:r>
              <w:rPr>
                <w:rFonts w:hint="eastAsia" w:ascii="仿宋_GB2312" w:hAnsi="仿宋_GB2312" w:eastAsia="仿宋_GB2312" w:cs="仿宋_GB2312"/>
                <w:kern w:val="0"/>
                <w:szCs w:val="21"/>
                <w:u w:val="none"/>
              </w:rPr>
              <w:t>0417-2972518</w:t>
            </w:r>
          </w:p>
          <w:p>
            <w:pPr>
              <w:widowControl/>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pStyle w:val="6"/>
              <w:rPr>
                <w:rFonts w:ascii="仿宋_GB2312" w:hAnsi="仿宋_GB2312" w:eastAsia="仿宋_GB2312" w:cs="仿宋_GB2312"/>
                <w:kern w:val="0"/>
                <w:szCs w:val="21"/>
              </w:rPr>
            </w:pP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lang w:eastAsia="zh-CN"/>
              </w:rPr>
              <w:t>供应商</w:t>
            </w:r>
            <w:r>
              <w:rPr>
                <w:rFonts w:hint="eastAsia" w:ascii="仿宋_GB2312" w:hAnsi="仿宋_GB2312" w:eastAsia="仿宋_GB2312" w:cs="仿宋_GB2312"/>
                <w:szCs w:val="21"/>
              </w:rPr>
              <w:t>应在法定质疑期内一次性针对同一采购程序环节提出质疑，否则针对再次提出质疑将不予接收。（采购程序环节分为：</w:t>
            </w:r>
            <w:r>
              <w:rPr>
                <w:rFonts w:hint="eastAsia" w:ascii="仿宋_GB2312" w:hAnsi="仿宋_GB2312" w:eastAsia="仿宋_GB2312" w:cs="仿宋_GB2312"/>
                <w:szCs w:val="21"/>
                <w:shd w:val="clear" w:color="auto" w:fill="auto"/>
              </w:rPr>
              <w:t>招标文件、招标过程、中标结果</w:t>
            </w:r>
            <w:r>
              <w:rPr>
                <w:rFonts w:hint="eastAsia" w:ascii="仿宋_GB2312" w:hAnsi="仿宋_GB2312" w:eastAsia="仿宋_GB2312" w:cs="仿宋_GB2312"/>
                <w:szCs w:val="21"/>
              </w:rPr>
              <w:t>）</w:t>
            </w:r>
          </w:p>
        </w:tc>
      </w:tr>
      <w:tr>
        <w:tblPrEx>
          <w:tblCellMar>
            <w:top w:w="0" w:type="dxa"/>
            <w:left w:w="108" w:type="dxa"/>
            <w:bottom w:w="0" w:type="dxa"/>
            <w:right w:w="108" w:type="dxa"/>
          </w:tblCellMar>
        </w:tblPrEx>
        <w:trPr>
          <w:wBefore w:w="0" w:type="dxa"/>
          <w:wAfter w:w="0" w:type="dxa"/>
          <w:trHeight w:val="614" w:hRule="atLeast"/>
          <w:jc w:val="center"/>
        </w:trPr>
        <w:tc>
          <w:tcPr>
            <w:tcW w:w="964" w:type="dxa"/>
            <w:tcBorders>
              <w:top w:val="single" w:color="auto" w:sz="4" w:space="0"/>
              <w:left w:val="single" w:color="auto" w:sz="8" w:space="0"/>
              <w:bottom w:val="single" w:color="auto" w:sz="8" w:space="0"/>
              <w:right w:val="single" w:color="auto" w:sz="4" w:space="0"/>
            </w:tcBorders>
            <w:noWrap w:val="0"/>
            <w:vAlign w:val="center"/>
          </w:tcPr>
          <w:p>
            <w:pPr>
              <w:widowControl/>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41</w:t>
            </w:r>
          </w:p>
        </w:tc>
        <w:tc>
          <w:tcPr>
            <w:tcW w:w="1701" w:type="dxa"/>
            <w:tcBorders>
              <w:top w:val="single" w:color="auto" w:sz="4" w:space="0"/>
              <w:left w:val="single" w:color="auto" w:sz="4" w:space="0"/>
              <w:bottom w:val="single" w:color="auto" w:sz="8" w:space="0"/>
              <w:right w:val="single" w:color="auto" w:sz="8" w:space="0"/>
            </w:tcBorders>
            <w:noWrap w:val="0"/>
            <w:vAlign w:val="center"/>
          </w:tcPr>
          <w:p>
            <w:pPr>
              <w:widowControl/>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视频会议</w:t>
            </w:r>
          </w:p>
        </w:tc>
        <w:tc>
          <w:tcPr>
            <w:tcW w:w="7087" w:type="dxa"/>
            <w:tcBorders>
              <w:top w:val="single" w:color="auto" w:sz="4" w:space="0"/>
              <w:left w:val="nil"/>
              <w:bottom w:val="single" w:color="auto" w:sz="8" w:space="0"/>
              <w:right w:val="single" w:color="auto" w:sz="8" w:space="0"/>
            </w:tcBorders>
            <w:noWrap w:val="0"/>
            <w:vAlign w:val="center"/>
          </w:tcPr>
          <w:p>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1.本项目开标采用腾讯视频会议方式（会议号：</w:t>
            </w:r>
            <w:r>
              <w:rPr>
                <w:rFonts w:hint="eastAsia" w:ascii="仿宋_GB2312" w:hAnsi="仿宋_GB2312" w:eastAsia="仿宋_GB2312" w:cs="仿宋_GB2312"/>
                <w:b/>
                <w:bCs/>
                <w:szCs w:val="21"/>
                <w:lang w:val="en-US" w:eastAsia="zh-CN"/>
              </w:rPr>
              <w:t>5562278775</w:t>
            </w:r>
            <w:r>
              <w:rPr>
                <w:rFonts w:hint="eastAsia" w:ascii="仿宋_GB2312" w:hAnsi="仿宋_GB2312" w:eastAsia="仿宋_GB2312" w:cs="仿宋_GB2312"/>
                <w:szCs w:val="21"/>
                <w:lang w:val="en-US" w:eastAsia="zh-CN"/>
              </w:rPr>
              <w:t>、密码：</w:t>
            </w:r>
            <w:r>
              <w:rPr>
                <w:rFonts w:hint="eastAsia" w:ascii="仿宋_GB2312" w:hAnsi="仿宋_GB2312" w:eastAsia="仿宋_GB2312" w:cs="仿宋_GB2312"/>
                <w:b/>
                <w:bCs/>
                <w:szCs w:val="21"/>
                <w:lang w:val="en-US" w:eastAsia="zh-CN"/>
              </w:rPr>
              <w:t>123123</w:t>
            </w:r>
            <w:r>
              <w:rPr>
                <w:rFonts w:hint="eastAsia" w:ascii="仿宋_GB2312" w:hAnsi="仿宋_GB2312" w:eastAsia="仿宋_GB2312" w:cs="仿宋_GB2312"/>
                <w:szCs w:val="21"/>
                <w:lang w:val="en-US" w:eastAsia="zh-CN"/>
              </w:rPr>
              <w:t>）。</w:t>
            </w:r>
          </w:p>
          <w:p>
            <w:pPr>
              <w:widowControl/>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2.供应商在加入视频会议时，须如实填写“供应商名称”，便于会议进入审核。</w:t>
            </w:r>
          </w:p>
          <w:p>
            <w:pPr>
              <w:widowControl/>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3.投标文件解密原则上应在开标时间后</w:t>
            </w:r>
            <w:r>
              <w:rPr>
                <w:rFonts w:hint="eastAsia" w:ascii="仿宋_GB2312" w:hAnsi="仿宋_GB2312" w:eastAsia="仿宋_GB2312" w:cs="仿宋_GB2312"/>
                <w:b/>
                <w:bCs/>
                <w:szCs w:val="21"/>
                <w:lang w:val="en-US" w:eastAsia="zh-CN"/>
              </w:rPr>
              <w:t>30</w:t>
            </w:r>
            <w:r>
              <w:rPr>
                <w:rFonts w:hint="eastAsia" w:ascii="仿宋_GB2312" w:hAnsi="仿宋_GB2312" w:eastAsia="仿宋_GB2312" w:cs="仿宋_GB2312"/>
                <w:szCs w:val="21"/>
                <w:lang w:val="en-US" w:eastAsia="zh-CN"/>
              </w:rPr>
              <w:t>分钟内，如遇特殊情况，供应商应通过视频会议说明并尽快上传解密，因相关</w:t>
            </w:r>
            <w:r>
              <w:rPr>
                <w:rFonts w:hint="eastAsia" w:ascii="仿宋_GB2312" w:hAnsi="仿宋_GB2312" w:eastAsia="仿宋_GB2312" w:cs="仿宋_GB2312"/>
                <w:szCs w:val="21"/>
              </w:rPr>
              <w:t>问题影响评审由供应商自行承担责任</w:t>
            </w:r>
            <w:r>
              <w:rPr>
                <w:rFonts w:hint="eastAsia" w:ascii="仿宋_GB2312" w:hAnsi="仿宋_GB2312" w:eastAsia="仿宋_GB2312" w:cs="仿宋_GB2312"/>
                <w:szCs w:val="21"/>
                <w:lang w:val="en-US" w:eastAsia="zh-CN"/>
              </w:rPr>
              <w:t>。</w:t>
            </w:r>
          </w:p>
        </w:tc>
      </w:tr>
    </w:tbl>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pStyle w:val="3"/>
        <w:adjustRightInd w:val="0"/>
        <w:snapToGrid w:val="0"/>
        <w:spacing w:before="0" w:after="0" w:line="360" w:lineRule="auto"/>
        <w:rPr>
          <w:rFonts w:ascii="仿宋_GB2312" w:hAnsi="仿宋_GB2312" w:eastAsia="仿宋_GB2312" w:cs="仿宋_GB2312"/>
          <w:sz w:val="32"/>
          <w:szCs w:val="36"/>
        </w:rPr>
      </w:pPr>
      <w:r>
        <w:rPr>
          <w:rFonts w:hint="eastAsia" w:ascii="仿宋_GB2312" w:hAnsi="仿宋_GB2312" w:eastAsia="仿宋_GB2312" w:cs="仿宋_GB2312"/>
          <w:sz w:val="21"/>
          <w:szCs w:val="21"/>
        </w:rPr>
        <w:br w:type="page"/>
      </w:r>
      <w:bookmarkStart w:id="46" w:name="_Toc30384_WPSOffice_Level2"/>
      <w:r>
        <w:rPr>
          <w:rFonts w:hint="eastAsia" w:ascii="仿宋_GB2312" w:hAnsi="仿宋_GB2312" w:eastAsia="仿宋_GB2312" w:cs="仿宋_GB2312"/>
          <w:sz w:val="32"/>
          <w:szCs w:val="36"/>
        </w:rPr>
        <w:t>二 总则</w:t>
      </w:r>
      <w:bookmarkEnd w:id="4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47" w:name="_Toc266951048"/>
      <w:r>
        <w:rPr>
          <w:rFonts w:hint="eastAsia" w:ascii="仿宋_GB2312" w:hAnsi="仿宋_GB2312" w:eastAsia="仿宋_GB2312" w:cs="仿宋_GB2312"/>
          <w:b/>
          <w:bCs/>
          <w:szCs w:val="21"/>
        </w:rPr>
        <w:t>3.语言文字</w:t>
      </w:r>
      <w:bookmarkEnd w:id="47"/>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48" w:name="_1.8_计量单位"/>
      <w:bookmarkEnd w:id="48"/>
      <w:bookmarkStart w:id="49"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49"/>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50" w:name="_1.10_投标预备会"/>
      <w:bookmarkEnd w:id="50"/>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51" w:name="_Toc10106_WPSOffice_Level2"/>
      <w:r>
        <w:rPr>
          <w:rFonts w:hint="eastAsia" w:ascii="仿宋_GB2312" w:hAnsi="仿宋_GB2312" w:eastAsia="仿宋_GB2312" w:cs="仿宋_GB2312"/>
          <w:sz w:val="32"/>
          <w:szCs w:val="28"/>
        </w:rPr>
        <w:t>三 招标文件</w:t>
      </w:r>
      <w:bookmarkEnd w:id="51"/>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spacing w:line="360" w:lineRule="auto"/>
        <w:ind w:firstLine="420" w:firstLineChars="200"/>
        <w:rPr>
          <w:rFonts w:ascii="仿宋_GB2312" w:hAnsi="仿宋_GB2312" w:eastAsia="仿宋_GB2312" w:cs="仿宋_GB2312"/>
        </w:rPr>
      </w:pPr>
      <w:bookmarkStart w:id="52" w:name="_Toc24604_WPSOffice_Level2"/>
      <w:bookmarkStart w:id="53" w:name="_Toc4961_WPSOffice_Level2"/>
      <w:bookmarkStart w:id="54" w:name="_Toc25935_WPSOffice_Level2"/>
      <w:bookmarkStart w:id="55" w:name="_Toc188_WPSOffice_Level2"/>
      <w:r>
        <w:rPr>
          <w:rFonts w:hint="eastAsia" w:ascii="仿宋_GB2312" w:hAnsi="仿宋_GB2312" w:eastAsia="仿宋_GB2312" w:cs="仿宋_GB2312"/>
        </w:rPr>
        <w:t>投标人须知</w:t>
      </w:r>
      <w:bookmarkEnd w:id="52"/>
      <w:bookmarkEnd w:id="53"/>
      <w:bookmarkEnd w:id="54"/>
      <w:bookmarkEnd w:id="55"/>
    </w:p>
    <w:p>
      <w:pPr>
        <w:adjustRightInd w:val="0"/>
        <w:snapToGrid w:val="0"/>
        <w:spacing w:line="360" w:lineRule="auto"/>
        <w:ind w:firstLine="420" w:firstLineChars="200"/>
        <w:rPr>
          <w:rFonts w:ascii="仿宋_GB2312" w:hAnsi="仿宋_GB2312" w:eastAsia="仿宋_GB2312" w:cs="仿宋_GB2312"/>
        </w:rPr>
      </w:pPr>
      <w:bookmarkStart w:id="56" w:name="_Toc13276_WPSOffice_Level2"/>
      <w:bookmarkStart w:id="57" w:name="_Toc32235_WPSOffice_Level2"/>
      <w:bookmarkStart w:id="58" w:name="_Toc31424_WPSOffice_Level2"/>
      <w:bookmarkStart w:id="59" w:name="_Toc2443_WPSOffice_Level2"/>
      <w:r>
        <w:rPr>
          <w:rFonts w:hint="eastAsia" w:ascii="仿宋_GB2312" w:hAnsi="仿宋_GB2312" w:eastAsia="仿宋_GB2312" w:cs="仿宋_GB2312"/>
        </w:rPr>
        <w:t>第二章 投标文件内容及格式</w:t>
      </w:r>
      <w:bookmarkEnd w:id="56"/>
      <w:bookmarkEnd w:id="57"/>
      <w:bookmarkEnd w:id="58"/>
      <w:bookmarkEnd w:id="59"/>
    </w:p>
    <w:p>
      <w:pPr>
        <w:adjustRightInd w:val="0"/>
        <w:snapToGrid w:val="0"/>
        <w:spacing w:line="360" w:lineRule="auto"/>
        <w:ind w:firstLine="420" w:firstLineChars="200"/>
        <w:rPr>
          <w:rFonts w:ascii="仿宋_GB2312" w:hAnsi="仿宋_GB2312" w:eastAsia="仿宋_GB2312" w:cs="仿宋_GB2312"/>
        </w:rPr>
      </w:pPr>
      <w:bookmarkStart w:id="60" w:name="_Toc7005_WPSOffice_Level2"/>
      <w:bookmarkStart w:id="61" w:name="_Toc16269_WPSOffice_Level2"/>
      <w:bookmarkStart w:id="62" w:name="_Toc4416_WPSOffice_Level2"/>
      <w:bookmarkStart w:id="63" w:name="_Toc24836_WPSOffice_Level2"/>
      <w:r>
        <w:rPr>
          <w:rFonts w:hint="eastAsia" w:ascii="仿宋_GB2312" w:hAnsi="仿宋_GB2312" w:eastAsia="仿宋_GB2312" w:cs="仿宋_GB2312"/>
        </w:rPr>
        <w:t>第三章 货物需求</w:t>
      </w:r>
      <w:bookmarkEnd w:id="60"/>
      <w:bookmarkEnd w:id="61"/>
      <w:bookmarkEnd w:id="62"/>
      <w:bookmarkEnd w:id="63"/>
    </w:p>
    <w:p>
      <w:pPr>
        <w:adjustRightInd w:val="0"/>
        <w:snapToGrid w:val="0"/>
        <w:spacing w:line="360" w:lineRule="auto"/>
        <w:ind w:firstLine="420" w:firstLineChars="200"/>
        <w:rPr>
          <w:rFonts w:ascii="仿宋_GB2312" w:hAnsi="仿宋_GB2312" w:eastAsia="仿宋_GB2312" w:cs="仿宋_GB2312"/>
        </w:rPr>
      </w:pPr>
      <w:bookmarkStart w:id="64" w:name="_Toc16294_WPSOffice_Level2"/>
      <w:bookmarkStart w:id="65" w:name="_Toc16119_WPSOffice_Level2"/>
      <w:bookmarkStart w:id="66" w:name="_Toc25382_WPSOffice_Level2"/>
      <w:bookmarkStart w:id="67" w:name="_Toc23459_WPSOffice_Level2"/>
      <w:r>
        <w:rPr>
          <w:rFonts w:hint="eastAsia" w:ascii="仿宋_GB2312" w:hAnsi="仿宋_GB2312" w:eastAsia="仿宋_GB2312" w:cs="仿宋_GB2312"/>
        </w:rPr>
        <w:t>第四章 评标方法</w:t>
      </w:r>
      <w:bookmarkEnd w:id="64"/>
      <w:bookmarkEnd w:id="65"/>
      <w:bookmarkEnd w:id="66"/>
      <w:bookmarkEnd w:id="67"/>
    </w:p>
    <w:p>
      <w:pPr>
        <w:adjustRightInd w:val="0"/>
        <w:snapToGrid w:val="0"/>
        <w:spacing w:line="360" w:lineRule="auto"/>
        <w:ind w:firstLine="420" w:firstLineChars="200"/>
        <w:rPr>
          <w:rFonts w:ascii="仿宋_GB2312" w:hAnsi="仿宋_GB2312" w:eastAsia="仿宋_GB2312" w:cs="仿宋_GB2312"/>
        </w:rPr>
      </w:pPr>
      <w:bookmarkStart w:id="68" w:name="_Toc16368_WPSOffice_Level2"/>
      <w:bookmarkStart w:id="69" w:name="_Toc17794_WPSOffice_Level2"/>
      <w:bookmarkStart w:id="70" w:name="_Toc28106_WPSOffice_Level2"/>
      <w:bookmarkStart w:id="71" w:name="_Toc9629_WPSOffice_Level2"/>
      <w:r>
        <w:rPr>
          <w:rFonts w:hint="eastAsia" w:ascii="仿宋_GB2312" w:hAnsi="仿宋_GB2312" w:eastAsia="仿宋_GB2312" w:cs="仿宋_GB2312"/>
        </w:rPr>
        <w:t>第五章 政府采购合同</w:t>
      </w:r>
      <w:bookmarkEnd w:id="68"/>
      <w:bookmarkEnd w:id="69"/>
      <w:bookmarkEnd w:id="70"/>
      <w:bookmarkEnd w:id="71"/>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32"/>
        </w:rPr>
      </w:pPr>
      <w:bookmarkStart w:id="72" w:name="_Toc7415_WPSOffice_Level2"/>
      <w:r>
        <w:rPr>
          <w:rFonts w:hint="eastAsia" w:ascii="仿宋_GB2312" w:hAnsi="仿宋_GB2312" w:eastAsia="仿宋_GB2312" w:cs="仿宋_GB2312"/>
          <w:sz w:val="32"/>
          <w:szCs w:val="32"/>
        </w:rPr>
        <w:t>四 投标文件的编制</w:t>
      </w:r>
      <w:bookmarkEnd w:id="72"/>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6"/>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73" w:name="_Toc31973_WPSOffice_Level2"/>
      <w:bookmarkStart w:id="74" w:name="_Toc22507_WPSOffice_Level2"/>
      <w:r>
        <w:rPr>
          <w:rFonts w:hint="eastAsia" w:ascii="仿宋_GB2312" w:hAnsi="仿宋_GB2312" w:eastAsia="仿宋_GB2312" w:cs="仿宋_GB2312"/>
          <w:szCs w:val="21"/>
        </w:rPr>
        <w:t>12.6除非招标文件另有规定，报价原则上精确到小数点后两位。</w:t>
      </w:r>
      <w:bookmarkEnd w:id="73"/>
      <w:bookmarkEnd w:id="7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16.投标文件的签署及规定</w:t>
      </w:r>
      <w:r>
        <w:rPr>
          <w:rFonts w:hint="eastAsia" w:ascii="仿宋_GB2312" w:hAnsi="仿宋_GB2312" w:eastAsia="仿宋_GB2312" w:cs="仿宋_GB2312"/>
          <w:szCs w:val="21"/>
          <w:lang w:eastAsia="zh-CN"/>
        </w:rPr>
        <w:t>（仅为纸质版文件使用）</w:t>
      </w:r>
    </w:p>
    <w:p>
      <w:pPr>
        <w:adjustRightInd w:val="0"/>
        <w:snapToGrid w:val="0"/>
        <w:spacing w:line="360" w:lineRule="auto"/>
        <w:rPr>
          <w:rFonts w:ascii="仿宋_GB2312" w:hAnsi="仿宋_GB2312" w:eastAsia="仿宋_GB2312" w:cs="仿宋_GB2312"/>
          <w:szCs w:val="21"/>
        </w:rPr>
      </w:pPr>
      <w:bookmarkStart w:id="75"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五 投标文件的递交</w:t>
      </w:r>
      <w:bookmarkEnd w:id="75"/>
    </w:p>
    <w:p>
      <w:pPr>
        <w:adjustRightInd w:val="0"/>
        <w:snapToGrid w:val="0"/>
        <w:spacing w:line="360" w:lineRule="auto"/>
        <w:rPr>
          <w:rFonts w:hint="eastAsia" w:ascii="仿宋_GB2312" w:hAnsi="仿宋_GB2312" w:eastAsia="仿宋_GB2312" w:cs="仿宋_GB2312"/>
          <w:b/>
          <w:bCs/>
          <w:szCs w:val="21"/>
          <w:lang w:eastAsia="zh-CN"/>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r>
        <w:rPr>
          <w:rFonts w:hint="eastAsia" w:ascii="仿宋_GB2312" w:hAnsi="仿宋_GB2312" w:eastAsia="仿宋_GB2312" w:cs="仿宋_GB2312"/>
          <w:b/>
          <w:bCs/>
          <w:color w:val="auto"/>
          <w:szCs w:val="21"/>
          <w:lang w:eastAsia="zh-CN"/>
        </w:rPr>
        <w:t>（</w:t>
      </w:r>
      <w:r>
        <w:rPr>
          <w:rFonts w:hint="eastAsia" w:ascii="仿宋_GB2312" w:hAnsi="仿宋_GB2312" w:eastAsia="仿宋_GB2312" w:cs="仿宋_GB2312"/>
          <w:b/>
          <w:bCs/>
          <w:color w:val="auto"/>
          <w:szCs w:val="21"/>
          <w:lang w:eastAsia="zh-CN"/>
        </w:rPr>
        <w:t>仅为纸质版文件使用</w:t>
      </w:r>
      <w:r>
        <w:rPr>
          <w:rFonts w:hint="eastAsia" w:ascii="仿宋_GB2312" w:hAnsi="仿宋_GB2312" w:eastAsia="仿宋_GB2312" w:cs="仿宋_GB2312"/>
          <w:b/>
          <w:bCs/>
          <w:color w:val="auto"/>
          <w:szCs w:val="21"/>
          <w:lang w:eastAsia="zh-CN"/>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r>
        <w:rPr>
          <w:rFonts w:hint="eastAsia" w:ascii="仿宋_GB2312" w:hAnsi="仿宋_GB2312" w:eastAsia="仿宋_GB2312" w:cs="仿宋_GB2312"/>
          <w:b/>
          <w:bCs/>
          <w:color w:val="auto"/>
          <w:szCs w:val="21"/>
          <w:lang w:eastAsia="zh-CN"/>
        </w:rPr>
        <w:t>（仅为纸质版文件使用）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r>
        <w:rPr>
          <w:rFonts w:hint="eastAsia" w:ascii="仿宋_GB2312" w:hAnsi="仿宋_GB2312" w:eastAsia="仿宋_GB2312" w:cs="仿宋_GB2312"/>
          <w:b/>
          <w:bCs/>
          <w:color w:val="auto"/>
          <w:szCs w:val="21"/>
          <w:lang w:eastAsia="zh-CN"/>
        </w:rPr>
        <w:t>（仅为纸质版文件使用）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76" w:name="_Toc988_WPSOffice_Level2"/>
      <w:r>
        <w:rPr>
          <w:rFonts w:hint="eastAsia" w:ascii="仿宋_GB2312" w:hAnsi="仿宋_GB2312" w:eastAsia="仿宋_GB2312" w:cs="仿宋_GB2312"/>
          <w:sz w:val="32"/>
          <w:szCs w:val="28"/>
        </w:rPr>
        <w:t>六 开标及评标</w:t>
      </w:r>
      <w:bookmarkEnd w:id="7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r>
        <w:rPr>
          <w:rFonts w:hint="eastAsia" w:ascii="仿宋_GB2312" w:hAnsi="仿宋_GB2312" w:eastAsia="仿宋_GB2312" w:cs="仿宋_GB2312"/>
          <w:b/>
          <w:bCs/>
          <w:color w:val="auto"/>
          <w:szCs w:val="21"/>
          <w:lang w:eastAsia="zh-CN"/>
        </w:rPr>
        <w:t>（仅为纸质版文件使用）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27.3根据《政府采购促进中小企业发展管理办法》（财库〔2020〕46号）、《财政部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keepNext w:val="0"/>
        <w:keepLines w:val="0"/>
        <w:pageBreakBefore w:val="0"/>
        <w:widowControl w:val="0"/>
        <w:kinsoku/>
        <w:wordWrap/>
        <w:overflowPunct/>
        <w:topLinePunct w:val="0"/>
        <w:autoSpaceDE/>
        <w:autoSpaceDN/>
        <w:bidi w:val="0"/>
        <w:adjustRightInd/>
        <w:snapToGrid/>
        <w:spacing w:line="413" w:lineRule="auto"/>
        <w:textAlignment w:val="auto"/>
        <w:rPr>
          <w:rFonts w:ascii="仿宋_GB2312" w:hAnsi="仿宋_GB2312" w:eastAsia="仿宋_GB2312" w:cs="仿宋_GB2312"/>
          <w:sz w:val="32"/>
          <w:szCs w:val="28"/>
        </w:rPr>
      </w:pPr>
      <w:bookmarkStart w:id="77" w:name="_Toc4544_WPSOffice_Level2"/>
      <w:r>
        <w:rPr>
          <w:rFonts w:hint="eastAsia" w:ascii="仿宋_GB2312" w:hAnsi="仿宋_GB2312" w:eastAsia="仿宋_GB2312" w:cs="仿宋_GB2312"/>
          <w:sz w:val="32"/>
          <w:szCs w:val="28"/>
        </w:rPr>
        <w:t>七 确定中标</w:t>
      </w:r>
      <w:bookmarkEnd w:id="77"/>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spacing w:line="360" w:lineRule="auto"/>
        <w:ind w:firstLine="420"/>
        <w:rPr>
          <w:rFonts w:ascii="仿宋_GB2312" w:hAnsi="仿宋_GB2312" w:eastAsia="仿宋_GB2312" w:cs="仿宋_GB2312"/>
          <w:b/>
        </w:rPr>
        <w:sectPr>
          <w:footerReference r:id="rId4" w:type="default"/>
          <w:pgSz w:w="11906" w:h="16838"/>
          <w:pgMar w:top="1440" w:right="1800" w:bottom="1440" w:left="1800" w:header="851" w:footer="992" w:gutter="0"/>
          <w:pgNumType w:start="1"/>
          <w:cols w:space="720" w:num="1"/>
          <w:docGrid w:type="linesAndChars" w:linePitch="312" w:charSpace="0"/>
        </w:sect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pStyle w:val="2"/>
        <w:adjustRightInd w:val="0"/>
        <w:snapToGrid w:val="0"/>
        <w:spacing w:before="0" w:after="0"/>
        <w:rPr>
          <w:rFonts w:ascii="仿宋_GB2312" w:hAnsi="仿宋_GB2312" w:eastAsia="仿宋_GB2312" w:cs="仿宋_GB2312"/>
        </w:rPr>
      </w:pPr>
      <w:bookmarkStart w:id="78" w:name="_Toc7908"/>
      <w:bookmarkStart w:id="79" w:name="_Toc17725_WPSOffice_Level1"/>
      <w:bookmarkStart w:id="80" w:name="_Toc6403"/>
      <w:r>
        <w:rPr>
          <w:rFonts w:hint="eastAsia" w:ascii="仿宋_GB2312" w:hAnsi="仿宋_GB2312" w:eastAsia="仿宋_GB2312" w:cs="仿宋_GB2312"/>
        </w:rPr>
        <w:t>第二章 投标文件内容及格式</w:t>
      </w:r>
      <w:bookmarkEnd w:id="78"/>
      <w:bookmarkEnd w:id="79"/>
      <w:bookmarkEnd w:id="80"/>
    </w:p>
    <w:p>
      <w:pPr>
        <w:spacing w:before="159" w:beforeLines="50"/>
        <w:rPr>
          <w:rFonts w:hint="eastAsia" w:ascii="仿宋_GB2312" w:hAnsi="仿宋_GB2312" w:eastAsia="仿宋_GB2312" w:cs="仿宋_GB2312"/>
          <w:b/>
          <w:color w:val="FF0000"/>
          <w:sz w:val="24"/>
          <w:lang w:eastAsia="zh-CN"/>
        </w:rPr>
      </w:pPr>
      <w:bookmarkStart w:id="81" w:name="sys_投标文件内容及格式：Block"/>
      <w:bookmarkEnd w:id="81"/>
      <w:bookmarkStart w:id="82" w:name="投标文件内容及格式：Block"/>
      <w:bookmarkEnd w:id="82"/>
      <w:bookmarkStart w:id="83" w:name="_Toc2481_WPSOffice_Level2"/>
      <w:bookmarkStart w:id="84" w:name="_Toc1538_WPSOffice_Level2"/>
      <w:r>
        <w:rPr>
          <w:rFonts w:hint="eastAsia" w:ascii="仿宋_GB2312" w:hAnsi="仿宋_GB2312" w:eastAsia="仿宋_GB2312" w:cs="仿宋_GB2312"/>
          <w:b/>
          <w:sz w:val="24"/>
        </w:rPr>
        <w:t>一、投标文件、电子文档的外封面、封口、封皮及目录</w:t>
      </w:r>
      <w:bookmarkEnd w:id="83"/>
      <w:bookmarkEnd w:id="84"/>
    </w:p>
    <w:tbl>
      <w:tblPr>
        <w:tblStyle w:val="17"/>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976"/>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3" w:hRule="atLeast"/>
          <w:tblHeader/>
          <w:jc w:val="center"/>
        </w:trPr>
        <w:tc>
          <w:tcPr>
            <w:tcW w:w="677" w:type="dxa"/>
            <w:noWrap w:val="0"/>
            <w:vAlign w:val="center"/>
          </w:tcPr>
          <w:p>
            <w:pPr>
              <w:widowControl/>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序号</w:t>
            </w:r>
          </w:p>
        </w:tc>
        <w:tc>
          <w:tcPr>
            <w:tcW w:w="6976" w:type="dxa"/>
            <w:noWrap w:val="0"/>
            <w:vAlign w:val="center"/>
          </w:tcPr>
          <w:p>
            <w:pPr>
              <w:widowControl/>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内容</w:t>
            </w:r>
          </w:p>
        </w:tc>
        <w:tc>
          <w:tcPr>
            <w:tcW w:w="742" w:type="dxa"/>
            <w:noWrap w:val="0"/>
            <w:vAlign w:val="center"/>
          </w:tcPr>
          <w:p>
            <w:pPr>
              <w:widowControl/>
              <w:adjustRightInd w:val="0"/>
              <w:snapToGrid w:val="0"/>
              <w:jc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5" w:hRule="atLeast"/>
          <w:jc w:val="center"/>
        </w:trPr>
        <w:tc>
          <w:tcPr>
            <w:tcW w:w="67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76" w:type="dxa"/>
            <w:noWrap w:val="0"/>
            <w:vAlign w:val="center"/>
          </w:tcPr>
          <w:p>
            <w:pPr>
              <w:adjustRightInd w:val="0"/>
              <w:snapToGrid w:val="0"/>
              <w:spacing w:line="240" w:lineRule="auto"/>
              <w:jc w:val="both"/>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r>
              <w:rPr>
                <w:rFonts w:hint="eastAsia" w:ascii="仿宋_GB2312" w:hAnsi="仿宋_GB2312" w:eastAsia="仿宋_GB2312" w:cs="仿宋_GB2312"/>
                <w:b/>
                <w:bCs/>
                <w:color w:val="auto"/>
                <w:szCs w:val="21"/>
                <w:lang w:eastAsia="zh-CN"/>
              </w:rPr>
              <w:t>（仅为纸质版文件使用）</w:t>
            </w:r>
          </w:p>
        </w:tc>
        <w:tc>
          <w:tcPr>
            <w:tcW w:w="742" w:type="dxa"/>
            <w:noWrap w:val="0"/>
            <w:vAlign w:val="center"/>
          </w:tcPr>
          <w:p>
            <w:pPr>
              <w:widowControl/>
              <w:adjustRightInd w:val="0"/>
              <w:snapToGrid w:val="0"/>
              <w:jc w:val="both"/>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4" w:hRule="atLeast"/>
          <w:jc w:val="center"/>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76" w:type="dxa"/>
            <w:noWrap w:val="0"/>
            <w:vAlign w:val="center"/>
          </w:tcPr>
          <w:p>
            <w:pPr>
              <w:widowControl/>
              <w:adjustRightInd w:val="0"/>
              <w:snapToGrid w:val="0"/>
              <w:spacing w:line="240" w:lineRule="auto"/>
              <w:jc w:val="both"/>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742" w:type="dxa"/>
            <w:noWrap w:val="0"/>
            <w:vAlign w:val="center"/>
          </w:tcPr>
          <w:p>
            <w:pPr>
              <w:widowControl/>
              <w:adjustRightInd w:val="0"/>
              <w:snapToGrid w:val="0"/>
              <w:jc w:val="both"/>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64" w:hRule="atLeast"/>
          <w:jc w:val="center"/>
        </w:trPr>
        <w:tc>
          <w:tcPr>
            <w:tcW w:w="677" w:type="dxa"/>
            <w:noWrap w:val="0"/>
            <w:vAlign w:val="center"/>
          </w:tcPr>
          <w:p>
            <w:pPr>
              <w:widowControl/>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76" w:type="dxa"/>
            <w:noWrap w:val="0"/>
            <w:vAlign w:val="center"/>
          </w:tcPr>
          <w:p>
            <w:pPr>
              <w:widowControl/>
              <w:adjustRightInd w:val="0"/>
              <w:snapToGrid w:val="0"/>
              <w:jc w:val="both"/>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742" w:type="dxa"/>
            <w:noWrap w:val="0"/>
            <w:vAlign w:val="center"/>
          </w:tcPr>
          <w:p>
            <w:pPr>
              <w:widowControl/>
              <w:adjustRightInd w:val="0"/>
              <w:snapToGrid w:val="0"/>
              <w:jc w:val="both"/>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snapToGrid w:val="0"/>
        <w:spacing w:before="159" w:beforeLines="50"/>
        <w:rPr>
          <w:rFonts w:ascii="仿宋_GB2312" w:hAnsi="仿宋_GB2312" w:eastAsia="仿宋_GB2312" w:cs="仿宋_GB2312"/>
          <w:b/>
          <w:sz w:val="24"/>
        </w:rPr>
      </w:pPr>
      <w:bookmarkStart w:id="85" w:name="_Toc31052_WPSOffice_Level2"/>
      <w:bookmarkStart w:id="86" w:name="_Toc1266_WPSOffice_Level2"/>
      <w:r>
        <w:rPr>
          <w:rFonts w:hint="eastAsia" w:ascii="仿宋_GB2312" w:hAnsi="仿宋_GB2312" w:eastAsia="仿宋_GB2312" w:cs="仿宋_GB2312"/>
          <w:b/>
          <w:sz w:val="24"/>
        </w:rPr>
        <w:t>二、资格证明材料</w:t>
      </w:r>
      <w:bookmarkEnd w:id="85"/>
      <w:bookmarkEnd w:id="86"/>
      <w:r>
        <w:rPr>
          <w:rFonts w:hint="eastAsia" w:ascii="仿宋_GB2312" w:hAnsi="仿宋_GB2312" w:eastAsia="仿宋_GB2312" w:cs="仿宋_GB2312"/>
          <w:b/>
          <w:sz w:val="24"/>
        </w:rPr>
        <w:t>（有一项不符合要求，不能进入下一阶段评审）</w:t>
      </w:r>
    </w:p>
    <w:tbl>
      <w:tblPr>
        <w:tblStyle w:val="17"/>
        <w:tblW w:w="8418" w:type="dxa"/>
        <w:jc w:val="center"/>
        <w:tblLayout w:type="fixed"/>
        <w:tblCellMar>
          <w:top w:w="0" w:type="dxa"/>
          <w:left w:w="0" w:type="dxa"/>
          <w:bottom w:w="0" w:type="dxa"/>
          <w:right w:w="0" w:type="dxa"/>
        </w:tblCellMar>
      </w:tblPr>
      <w:tblGrid>
        <w:gridCol w:w="671"/>
        <w:gridCol w:w="6992"/>
        <w:gridCol w:w="755"/>
      </w:tblGrid>
      <w:tr>
        <w:tblPrEx>
          <w:tblCellMar>
            <w:top w:w="0" w:type="dxa"/>
            <w:left w:w="0" w:type="dxa"/>
            <w:bottom w:w="0" w:type="dxa"/>
            <w:right w:w="0" w:type="dxa"/>
          </w:tblCellMar>
        </w:tblPrEx>
        <w:trPr>
          <w:trHeight w:val="539" w:hRule="atLeast"/>
          <w:tblHeader/>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bookmarkStart w:id="87" w:name="sys_资格性证明材料：Document"/>
            <w:bookmarkStart w:id="88" w:name="资格性证明材料：Document"/>
            <w:r>
              <w:rPr>
                <w:rFonts w:hint="eastAsia" w:ascii="仿宋_GB2312" w:hAnsi="仿宋_GB2312" w:eastAsia="仿宋_GB2312" w:cs="仿宋_GB2312"/>
                <w:szCs w:val="21"/>
              </w:rPr>
              <w:t>序号</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4</w:t>
            </w:r>
          </w:p>
        </w:tc>
      </w:tr>
      <w:tr>
        <w:tblPrEx>
          <w:tblCellMar>
            <w:top w:w="0" w:type="dxa"/>
            <w:left w:w="0" w:type="dxa"/>
            <w:bottom w:w="0" w:type="dxa"/>
            <w:right w:w="0" w:type="dxa"/>
          </w:tblCellMar>
        </w:tblPrEx>
        <w:trPr>
          <w:trHeight w:val="53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5</w:t>
            </w:r>
          </w:p>
        </w:tc>
      </w:tr>
      <w:tr>
        <w:tblPrEx>
          <w:tblCellMar>
            <w:top w:w="0" w:type="dxa"/>
            <w:left w:w="0" w:type="dxa"/>
            <w:bottom w:w="0" w:type="dxa"/>
            <w:right w:w="0" w:type="dxa"/>
          </w:tblCellMar>
        </w:tblPrEx>
        <w:trPr>
          <w:trHeight w:val="52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6</w:t>
            </w:r>
          </w:p>
        </w:tc>
      </w:tr>
      <w:tr>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104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45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7</w:t>
            </w:r>
          </w:p>
        </w:tc>
      </w:tr>
      <w:tr>
        <w:tblPrEx>
          <w:tblCellMar>
            <w:top w:w="0" w:type="dxa"/>
            <w:left w:w="0" w:type="dxa"/>
            <w:bottom w:w="0" w:type="dxa"/>
            <w:right w:w="0" w:type="dxa"/>
          </w:tblCellMar>
        </w:tblPrEx>
        <w:trPr>
          <w:trHeight w:val="543"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8</w:t>
            </w: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1</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r>
        <w:tblPrEx>
          <w:tblCellMar>
            <w:top w:w="0" w:type="dxa"/>
            <w:left w:w="0" w:type="dxa"/>
            <w:bottom w:w="0" w:type="dxa"/>
            <w:right w:w="0" w:type="dxa"/>
          </w:tblCellMar>
        </w:tblPrEx>
        <w:trPr>
          <w:trHeight w:val="789" w:hRule="atLeast"/>
          <w:jc w:val="center"/>
        </w:trPr>
        <w:tc>
          <w:tcPr>
            <w:tcW w:w="67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hint="default" w:ascii="仿宋_GB2312" w:hAnsi="仿宋_GB2312" w:eastAsia="仿宋_GB2312" w:cs="仿宋_GB2312"/>
                <w:szCs w:val="21"/>
                <w:lang w:val="en-US"/>
              </w:rPr>
            </w:pPr>
            <w:bookmarkStart w:id="89" w:name="_Toc25206_WPSOffice_Level2"/>
            <w:bookmarkStart w:id="90" w:name="_Toc22359_WPSOffice_Level2"/>
            <w:r>
              <w:rPr>
                <w:rFonts w:hint="eastAsia" w:ascii="仿宋_GB2312" w:hAnsi="仿宋_GB2312" w:eastAsia="仿宋_GB2312" w:cs="仿宋_GB2312"/>
                <w:color w:val="auto"/>
                <w:szCs w:val="21"/>
                <w:lang w:val="en-US" w:eastAsia="zh-CN"/>
              </w:rPr>
              <w:t>12</w:t>
            </w:r>
          </w:p>
        </w:tc>
        <w:tc>
          <w:tcPr>
            <w:tcW w:w="6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left"/>
              <w:rPr>
                <w:rFonts w:hint="eastAsia" w:ascii="仿宋_GB2312" w:hAnsi="仿宋_GB2312" w:eastAsia="仿宋_GB2312" w:cs="仿宋_GB2312"/>
                <w:szCs w:val="21"/>
              </w:rPr>
            </w:pPr>
            <w:r>
              <w:rPr>
                <w:rFonts w:hint="eastAsia" w:ascii="仿宋_GB2312" w:hAnsi="仿宋_GB2312" w:eastAsia="仿宋_GB2312" w:cs="仿宋_GB2312"/>
                <w:color w:val="auto"/>
                <w:szCs w:val="21"/>
                <w:lang w:eastAsia="zh-CN"/>
              </w:rPr>
              <w:t>投标人具有省级以上（含省级）行政部门颁发的图书《中华人民共和国出版物经营许可证》</w:t>
            </w:r>
          </w:p>
        </w:tc>
        <w:tc>
          <w:tcPr>
            <w:tcW w:w="7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djustRightInd w:val="0"/>
              <w:snapToGrid w:val="0"/>
              <w:jc w:val="center"/>
              <w:rPr>
                <w:rFonts w:ascii="仿宋_GB2312" w:hAnsi="仿宋_GB2312" w:eastAsia="仿宋_GB2312" w:cs="仿宋_GB2312"/>
                <w:szCs w:val="21"/>
              </w:rPr>
            </w:pPr>
          </w:p>
        </w:tc>
      </w:tr>
    </w:tbl>
    <w:p>
      <w:pPr>
        <w:snapToGrid w:val="0"/>
        <w:spacing w:before="159" w:beforeLines="5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89"/>
      <w:bookmarkEnd w:id="90"/>
      <w:r>
        <w:rPr>
          <w:rFonts w:hint="eastAsia" w:ascii="仿宋_GB2312" w:hAnsi="仿宋_GB2312" w:eastAsia="仿宋_GB2312" w:cs="仿宋_GB2312"/>
          <w:b/>
          <w:sz w:val="24"/>
        </w:rPr>
        <w:t>（有一项不符合要求，不能进入下一阶段评审）</w:t>
      </w:r>
    </w:p>
    <w:bookmarkEnd w:id="87"/>
    <w:bookmarkEnd w:id="88"/>
    <w:tbl>
      <w:tblPr>
        <w:tblStyle w:val="17"/>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98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1" w:hRule="atLeast"/>
          <w:tblHeader/>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5</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9"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7</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8"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05" w:hRule="atLeast"/>
          <w:jc w:val="center"/>
        </w:trPr>
        <w:tc>
          <w:tcPr>
            <w:tcW w:w="667"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w:t>
            </w:r>
          </w:p>
        </w:tc>
        <w:tc>
          <w:tcPr>
            <w:tcW w:w="6986"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bl>
    <w:p>
      <w:pPr>
        <w:snapToGrid w:val="0"/>
        <w:spacing w:before="159" w:beforeLines="50"/>
        <w:rPr>
          <w:rFonts w:ascii="仿宋_GB2312" w:hAnsi="仿宋_GB2312" w:eastAsia="仿宋_GB2312" w:cs="仿宋_GB2312"/>
          <w:b/>
          <w:sz w:val="24"/>
        </w:rPr>
      </w:pPr>
      <w:bookmarkStart w:id="91" w:name="_Toc27769_WPSOffice_Level2"/>
      <w:bookmarkStart w:id="92" w:name="_Toc24432_WPSOffice_Level2"/>
      <w:r>
        <w:rPr>
          <w:rFonts w:hint="eastAsia" w:ascii="仿宋_GB2312" w:hAnsi="仿宋_GB2312" w:eastAsia="仿宋_GB2312" w:cs="仿宋_GB2312"/>
          <w:b/>
          <w:sz w:val="24"/>
        </w:rPr>
        <w:t>四、其他材料</w:t>
      </w:r>
      <w:bookmarkEnd w:id="91"/>
      <w:bookmarkEnd w:id="92"/>
      <w:r>
        <w:rPr>
          <w:rFonts w:hint="eastAsia" w:ascii="仿宋_GB2312" w:hAnsi="仿宋_GB2312" w:eastAsia="仿宋_GB2312" w:cs="仿宋_GB2312"/>
          <w:b/>
          <w:sz w:val="24"/>
        </w:rPr>
        <w:t>（如有，请提供；如未提供，投标文件不作无效处理）</w:t>
      </w:r>
    </w:p>
    <w:tbl>
      <w:tblPr>
        <w:tblStyle w:val="17"/>
        <w:tblW w:w="8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985"/>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985"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985" w:type="dxa"/>
            <w:noWrap w:val="0"/>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985" w:type="dxa"/>
            <w:noWrap w:val="0"/>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985" w:type="dxa"/>
            <w:noWrap w:val="0"/>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6985" w:type="dxa"/>
            <w:noWrap w:val="0"/>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tc>
          <w:tcPr>
            <w:tcW w:w="756" w:type="dxa"/>
            <w:noWrap w:val="0"/>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5</w:t>
            </w:r>
          </w:p>
        </w:tc>
        <w:tc>
          <w:tcPr>
            <w:tcW w:w="6985" w:type="dxa"/>
            <w:noWrap w:val="0"/>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tc>
          <w:tcPr>
            <w:tcW w:w="756" w:type="dxa"/>
            <w:noWrap w:val="0"/>
            <w:vAlign w:val="center"/>
          </w:tcPr>
          <w:p>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68" w:type="dxa"/>
            <w:noWrap w:val="0"/>
            <w:vAlign w:val="center"/>
          </w:tcPr>
          <w:p>
            <w:pPr>
              <w:adjustRightInd w:val="0"/>
              <w:snapToGrid w:val="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6</w:t>
            </w:r>
          </w:p>
        </w:tc>
        <w:tc>
          <w:tcPr>
            <w:tcW w:w="6985" w:type="dxa"/>
            <w:noWrap w:val="0"/>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8" w:type="dxa"/>
            <w:noWrap w:val="0"/>
            <w:vAlign w:val="center"/>
          </w:tcPr>
          <w:p>
            <w:pPr>
              <w:adjustRightInd w:val="0"/>
              <w:snapToGrid w:val="0"/>
              <w:jc w:val="center"/>
              <w:rPr>
                <w:rFonts w:ascii="仿宋_GB2312" w:hAnsi="仿宋_GB2312" w:eastAsia="仿宋_GB2312" w:cs="仿宋_GB2312"/>
                <w:kern w:val="0"/>
                <w:szCs w:val="21"/>
              </w:rPr>
            </w:pPr>
          </w:p>
        </w:tc>
        <w:tc>
          <w:tcPr>
            <w:tcW w:w="6985" w:type="dxa"/>
            <w:noWrap w:val="0"/>
            <w:vAlign w:val="center"/>
          </w:tcPr>
          <w:p>
            <w:pPr>
              <w:pStyle w:val="42"/>
              <w:adjustRightInd w:val="0"/>
              <w:snapToGrid w:val="0"/>
              <w:ind w:left="25" w:leftChars="12"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56" w:type="dxa"/>
            <w:noWrap w:val="0"/>
            <w:vAlign w:val="center"/>
          </w:tcPr>
          <w:p>
            <w:pPr>
              <w:adjustRightInd w:val="0"/>
              <w:snapToGrid w:val="0"/>
              <w:jc w:val="center"/>
              <w:rPr>
                <w:rFonts w:ascii="仿宋_GB2312" w:hAnsi="仿宋_GB2312" w:eastAsia="仿宋_GB2312" w:cs="仿宋_GB2312"/>
                <w:kern w:val="0"/>
                <w:szCs w:val="21"/>
              </w:rPr>
            </w:pPr>
          </w:p>
        </w:tc>
      </w:tr>
    </w:tbl>
    <w:p>
      <w:pPr>
        <w:adjustRightInd w:val="0"/>
        <w:snapToGrid w:val="0"/>
        <w:spacing w:line="360" w:lineRule="auto"/>
        <w:ind w:firstLine="480" w:firstLineChars="200"/>
        <w:rPr>
          <w:rFonts w:ascii="仿宋_GB2312" w:hAnsi="仿宋_GB2312" w:eastAsia="仿宋_GB2312" w:cs="仿宋_GB2312"/>
          <w:b/>
          <w:sz w:val="24"/>
        </w:rPr>
      </w:pPr>
      <w:bookmarkStart w:id="93" w:name="_Toc23127_WPSOffice_Level2"/>
      <w:bookmarkStart w:id="94" w:name="_Toc24011_WPSOffice_Level2"/>
      <w:r>
        <w:rPr>
          <w:rFonts w:hint="eastAsia" w:ascii="仿宋_GB2312" w:hAnsi="仿宋_GB2312" w:eastAsia="仿宋_GB2312" w:cs="仿宋_GB2312"/>
          <w:b/>
          <w:sz w:val="24"/>
        </w:rPr>
        <w:t>重要提示：</w:t>
      </w:r>
      <w:bookmarkEnd w:id="93"/>
      <w:bookmarkEnd w:id="94"/>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3、投标文件应用中文书写。投标文件中所附或所引用的材料不是中文时，应附中文译本，并加盖单位公章（自然人投标的，无需加盖单位公章，需要签字）。</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“资格证明材料”</w:t>
      </w:r>
      <w:r>
        <w:rPr>
          <w:rFonts w:hint="eastAsia" w:ascii="仿宋_GB2312" w:hAnsi="仿宋_GB2312" w:eastAsia="仿宋_GB2312" w:cs="仿宋_GB2312"/>
        </w:rPr>
        <w:t>所列内容即为采购项目的资格审查条件，有一项不符合要求，不能进入下一阶段评审。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w:t>
      </w:r>
    </w:p>
    <w:p>
      <w:pPr>
        <w:jc w:val="center"/>
        <w:rPr>
          <w:rFonts w:hint="eastAsia" w:ascii="仿宋_GB2312" w:hAnsi="仿宋_GB2312" w:eastAsia="仿宋_GB2312" w:cs="仿宋_GB2312"/>
          <w:b/>
          <w:bCs/>
          <w:sz w:val="32"/>
          <w:szCs w:val="32"/>
          <w:lang w:eastAsia="zh-CN"/>
        </w:rPr>
      </w:pPr>
      <w:bookmarkStart w:id="95" w:name="_Toc21090_WPSOffice_Level2"/>
      <w:bookmarkStart w:id="96" w:name="_Toc26322_WPSOffice_Level2"/>
      <w:r>
        <w:rPr>
          <w:rFonts w:hint="eastAsia" w:ascii="仿宋_GB2312" w:hAnsi="仿宋_GB2312" w:eastAsia="仿宋_GB2312" w:cs="仿宋_GB2312"/>
          <w:b/>
          <w:bCs/>
          <w:sz w:val="32"/>
          <w:szCs w:val="32"/>
        </w:rPr>
        <w:t>投标文件、电子文档外封面、封口格式</w:t>
      </w:r>
      <w:bookmarkEnd w:id="95"/>
      <w:bookmarkEnd w:id="96"/>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7"/>
        <w:tblW w:w="5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8090" w:hRule="atLeast"/>
          <w:jc w:val="center"/>
        </w:trPr>
        <w:tc>
          <w:tcPr>
            <w:tcW w:w="5960" w:type="dxa"/>
            <w:noWrap w:val="0"/>
            <w:vAlign w:val="top"/>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41" w:hRule="atLeast"/>
          <w:jc w:val="center"/>
        </w:trPr>
        <w:tc>
          <w:tcPr>
            <w:tcW w:w="87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bCs/>
          <w:color w:val="auto"/>
          <w:sz w:val="28"/>
          <w:szCs w:val="28"/>
          <w:lang w:eastAsia="zh-CN"/>
        </w:rPr>
        <w:t>（仅为纸质版文件使用）</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格式2</w:t>
      </w:r>
    </w:p>
    <w:p>
      <w:pPr>
        <w:jc w:val="both"/>
        <w:rPr>
          <w:rFonts w:ascii="仿宋_GB2312" w:hAnsi="仿宋_GB2312" w:eastAsia="仿宋_GB2312" w:cs="仿宋_GB2312"/>
          <w:b/>
          <w:bCs/>
          <w:sz w:val="32"/>
          <w:szCs w:val="3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格式3</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97" w:name="_Toc21414_WPSOffice_Level2"/>
      <w:bookmarkStart w:id="98" w:name="_Toc2304_WPSOffice_Level2"/>
      <w:r>
        <w:rPr>
          <w:rFonts w:hint="eastAsia" w:ascii="仿宋_GB2312" w:hAnsi="仿宋_GB2312" w:eastAsia="仿宋_GB2312" w:cs="仿宋_GB2312"/>
          <w:b/>
          <w:sz w:val="32"/>
          <w:szCs w:val="32"/>
        </w:rPr>
        <w:t>目  录</w:t>
      </w:r>
      <w:bookmarkEnd w:id="97"/>
      <w:bookmarkEnd w:id="98"/>
    </w:p>
    <w:p>
      <w:pPr>
        <w:rPr>
          <w:rFonts w:ascii="仿宋_GB2312" w:hAnsi="仿宋_GB2312" w:eastAsia="仿宋_GB2312" w:cs="仿宋_GB2312"/>
        </w:rPr>
      </w:pPr>
      <w:bookmarkStart w:id="99" w:name="_Toc7636_WPSOffice_Level2"/>
      <w:bookmarkStart w:id="100" w:name="_Toc30940_WPSOffice_Level2"/>
      <w:r>
        <w:rPr>
          <w:rFonts w:hint="eastAsia" w:ascii="仿宋_GB2312" w:hAnsi="仿宋_GB2312" w:eastAsia="仿宋_GB2312" w:cs="仿宋_GB2312"/>
        </w:rPr>
        <w:t>一、资格证明材料</w:t>
      </w:r>
      <w:bookmarkEnd w:id="99"/>
      <w:bookmarkEnd w:id="100"/>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101" w:name="_Toc31702_WPSOffice_Level2"/>
      <w:bookmarkStart w:id="102" w:name="_Toc13950_WPSOffice_Level2"/>
      <w:r>
        <w:rPr>
          <w:rFonts w:hint="eastAsia" w:ascii="仿宋_GB2312" w:hAnsi="仿宋_GB2312" w:eastAsia="仿宋_GB2312" w:cs="仿宋_GB2312"/>
        </w:rPr>
        <w:t>二、符合性证明材料</w:t>
      </w:r>
      <w:bookmarkEnd w:id="101"/>
      <w:bookmarkEnd w:id="102"/>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103" w:name="_Toc9090_WPSOffice_Level2"/>
      <w:bookmarkStart w:id="104" w:name="_Toc14854_WPSOffice_Level2"/>
      <w:r>
        <w:rPr>
          <w:rFonts w:hint="eastAsia" w:ascii="仿宋_GB2312" w:hAnsi="仿宋_GB2312" w:eastAsia="仿宋_GB2312" w:cs="仿宋_GB2312"/>
        </w:rPr>
        <w:t>三、其它材料</w:t>
      </w:r>
      <w:bookmarkEnd w:id="103"/>
      <w:bookmarkEnd w:id="104"/>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05" w:name="_Toc16924_WPSOffice_Level2"/>
      <w:bookmarkStart w:id="106" w:name="_Toc3401_WPSOffice_Level2"/>
      <w:r>
        <w:rPr>
          <w:rFonts w:hint="eastAsia" w:ascii="仿宋_GB2312" w:hAnsi="仿宋_GB2312" w:eastAsia="仿宋_GB2312" w:cs="仿宋_GB2312"/>
          <w:b/>
          <w:sz w:val="32"/>
          <w:szCs w:val="32"/>
        </w:rPr>
        <w:t>法定代表人（或非法人组织负责人）身份证明书</w:t>
      </w:r>
      <w:bookmarkEnd w:id="105"/>
      <w:bookmarkEnd w:id="106"/>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0" w:hRule="atLeast"/>
          <w:jc w:val="center"/>
        </w:trPr>
        <w:tc>
          <w:tcPr>
            <w:tcW w:w="8228" w:type="dxa"/>
            <w:noWrap w:val="0"/>
            <w:vAlign w:val="top"/>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b w:val="0"/>
          <w:bCs/>
          <w:sz w:val="32"/>
          <w:szCs w:val="32"/>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格式5</w:t>
      </w:r>
      <w:bookmarkStart w:id="107" w:name="_Toc21833_WPSOffice_Level2"/>
      <w:bookmarkStart w:id="108" w:name="_Toc122_WPSOffice_Level2"/>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107"/>
      <w:bookmarkEnd w:id="108"/>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20" w:hRule="atLeast"/>
          <w:jc w:val="center"/>
        </w:trPr>
        <w:tc>
          <w:tcPr>
            <w:tcW w:w="8228" w:type="dxa"/>
            <w:noWrap w:val="0"/>
            <w:vAlign w:val="top"/>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格式7</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09" w:name="_Toc23728_WPSOffice_Level2"/>
      <w:bookmarkStart w:id="110" w:name="_Toc12037_WPSOffice_Level2"/>
      <w:r>
        <w:rPr>
          <w:rFonts w:hint="eastAsia" w:ascii="仿宋_GB2312" w:hAnsi="仿宋_GB2312" w:eastAsia="仿宋_GB2312" w:cs="仿宋_GB2312"/>
          <w:b/>
          <w:sz w:val="32"/>
          <w:szCs w:val="32"/>
        </w:rPr>
        <w:t>具备履行合同所必需的设备和专业技术能力声明函</w:t>
      </w:r>
      <w:bookmarkEnd w:id="109"/>
      <w:bookmarkEnd w:id="110"/>
    </w:p>
    <w:p>
      <w:pPr>
        <w:spacing w:before="319" w:beforeLines="100" w:after="319" w:afterLines="100" w:line="480" w:lineRule="exact"/>
        <w:ind w:right="630" w:rightChars="300"/>
        <w:jc w:val="center"/>
        <w:rPr>
          <w:rFonts w:ascii="仿宋_GB2312" w:hAnsi="仿宋_GB2312" w:eastAsia="仿宋_GB2312" w:cs="仿宋_GB2312"/>
          <w:sz w:val="28"/>
          <w:szCs w:val="28"/>
        </w:rPr>
      </w:pPr>
      <w:bookmarkStart w:id="111" w:name="_Toc28831_WPSOffice_Level2"/>
      <w:bookmarkStart w:id="112" w:name="_Toc1917_WPSOffice_Level2"/>
      <w:r>
        <w:rPr>
          <w:rFonts w:hint="eastAsia" w:ascii="仿宋_GB2312" w:hAnsi="仿宋_GB2312" w:eastAsia="仿宋_GB2312" w:cs="仿宋_GB2312"/>
          <w:sz w:val="28"/>
          <w:szCs w:val="28"/>
        </w:rPr>
        <w:t>（格式自拟）</w:t>
      </w:r>
      <w:bookmarkEnd w:id="111"/>
      <w:bookmarkEnd w:id="112"/>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格式8</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13" w:name="_Toc11967_WPSOffice_Level2"/>
      <w:bookmarkStart w:id="114"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113"/>
      <w:bookmarkEnd w:id="114"/>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before="159" w:beforeLines="50" w:after="159"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格式9</w:t>
      </w:r>
    </w:p>
    <w:p>
      <w:pPr>
        <w:spacing w:before="319" w:beforeLines="100" w:after="319"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15" w:name="_Toc30548_WPSOffice_Level2"/>
      <w:bookmarkStart w:id="116" w:name="_Toc16873_WPSOffice_Level2"/>
      <w:r>
        <w:rPr>
          <w:rFonts w:hint="eastAsia" w:ascii="仿宋_GB2312" w:hAnsi="仿宋_GB2312" w:eastAsia="仿宋_GB2312" w:cs="仿宋_GB2312"/>
          <w:b/>
          <w:sz w:val="32"/>
          <w:szCs w:val="32"/>
        </w:rPr>
        <w:t>联合体协议书</w:t>
      </w:r>
      <w:bookmarkEnd w:id="115"/>
      <w:bookmarkEnd w:id="116"/>
    </w:p>
    <w:p>
      <w:pPr>
        <w:pStyle w:val="9"/>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9"/>
        <w:spacing w:line="360" w:lineRule="auto"/>
        <w:ind w:firstLine="420" w:firstLineChars="200"/>
        <w:rPr>
          <w:rFonts w:ascii="仿宋_GB2312" w:hAnsi="仿宋_GB2312" w:eastAsia="仿宋_GB2312" w:cs="仿宋_GB2312"/>
          <w:u w:val="single"/>
        </w:rPr>
      </w:pPr>
      <w:bookmarkStart w:id="117" w:name="_Toc23749_WPSOffice_Level2"/>
      <w:bookmarkStart w:id="118" w:name="_Toc15561_WPSOffice_Level2"/>
      <w:r>
        <w:rPr>
          <w:rFonts w:hint="eastAsia" w:ascii="仿宋_GB2312" w:hAnsi="仿宋_GB2312" w:eastAsia="仿宋_GB2312" w:cs="仿宋_GB2312"/>
        </w:rPr>
        <w:t>1.</w:t>
      </w:r>
      <w:bookmarkEnd w:id="117"/>
      <w:bookmarkEnd w:id="118"/>
      <w:r>
        <w:rPr>
          <w:rFonts w:hint="eastAsia" w:ascii="仿宋_GB2312" w:hAnsi="仿宋_GB2312" w:eastAsia="仿宋_GB2312" w:cs="仿宋_GB2312"/>
          <w:u w:val="single"/>
        </w:rPr>
        <w:t xml:space="preserve">                  </w:t>
      </w:r>
    </w:p>
    <w:p>
      <w:pPr>
        <w:pStyle w:val="9"/>
        <w:spacing w:line="360" w:lineRule="auto"/>
        <w:ind w:firstLine="420" w:firstLineChars="200"/>
        <w:rPr>
          <w:rFonts w:ascii="仿宋_GB2312" w:hAnsi="仿宋_GB2312" w:eastAsia="仿宋_GB2312" w:cs="仿宋_GB2312"/>
        </w:rPr>
      </w:pPr>
      <w:bookmarkStart w:id="119" w:name="_Toc22173_WPSOffice_Level2"/>
      <w:bookmarkStart w:id="120" w:name="_Toc405_WPSOffice_Level2"/>
      <w:r>
        <w:rPr>
          <w:rFonts w:hint="eastAsia" w:ascii="仿宋_GB2312" w:hAnsi="仿宋_GB2312" w:eastAsia="仿宋_GB2312" w:cs="仿宋_GB2312"/>
        </w:rPr>
        <w:t>2.</w:t>
      </w:r>
      <w:bookmarkEnd w:id="119"/>
      <w:bookmarkEnd w:id="120"/>
      <w:r>
        <w:rPr>
          <w:rFonts w:hint="eastAsia" w:ascii="仿宋_GB2312" w:hAnsi="仿宋_GB2312" w:eastAsia="仿宋_GB2312" w:cs="仿宋_GB2312"/>
          <w:u w:val="single"/>
        </w:rPr>
        <w:t xml:space="preserve">                  </w:t>
      </w:r>
    </w:p>
    <w:p>
      <w:pPr>
        <w:pStyle w:val="9"/>
        <w:spacing w:line="360" w:lineRule="auto"/>
        <w:ind w:firstLine="420" w:firstLineChars="200"/>
        <w:rPr>
          <w:rFonts w:ascii="仿宋_GB2312" w:hAnsi="仿宋_GB2312" w:eastAsia="仿宋_GB2312" w:cs="仿宋_GB2312"/>
        </w:rPr>
      </w:pPr>
      <w:bookmarkStart w:id="121" w:name="_Toc23482_WPSOffice_Level2"/>
      <w:bookmarkStart w:id="122" w:name="_Toc7084_WPSOffice_Level2"/>
      <w:r>
        <w:rPr>
          <w:rFonts w:hint="eastAsia" w:ascii="仿宋_GB2312" w:hAnsi="仿宋_GB2312" w:eastAsia="仿宋_GB2312" w:cs="仿宋_GB2312"/>
        </w:rPr>
        <w:t>3.</w:t>
      </w:r>
      <w:bookmarkEnd w:id="121"/>
      <w:bookmarkEnd w:id="122"/>
      <w:r>
        <w:rPr>
          <w:rFonts w:hint="eastAsia" w:ascii="仿宋_GB2312" w:hAnsi="仿宋_GB2312" w:eastAsia="仿宋_GB2312" w:cs="仿宋_GB2312"/>
          <w:u w:val="single"/>
        </w:rPr>
        <w:t xml:space="preserve">                  </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9"/>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9"/>
        <w:spacing w:line="360" w:lineRule="auto"/>
        <w:ind w:firstLine="420" w:firstLineChars="200"/>
        <w:rPr>
          <w:rFonts w:ascii="仿宋_GB2312" w:hAnsi="仿宋_GB2312" w:eastAsia="仿宋_GB2312" w:cs="仿宋_GB2312"/>
        </w:rPr>
      </w:pPr>
    </w:p>
    <w:p>
      <w:pPr>
        <w:pStyle w:val="9"/>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9"/>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9"/>
        <w:spacing w:line="360" w:lineRule="auto"/>
        <w:ind w:firstLine="420" w:firstLineChars="200"/>
        <w:rPr>
          <w:rFonts w:ascii="仿宋_GB2312" w:hAnsi="仿宋_GB2312" w:eastAsia="仿宋_GB2312" w:cs="仿宋_GB2312"/>
        </w:rPr>
      </w:pPr>
    </w:p>
    <w:p>
      <w:pPr>
        <w:pStyle w:val="9"/>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9"/>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9" w:beforeLines="100" w:after="319" w:afterLines="100" w:line="360" w:lineRule="auto"/>
        <w:ind w:right="-21" w:rightChars="-10"/>
        <w:jc w:val="center"/>
        <w:rPr>
          <w:rFonts w:ascii="仿宋_GB2312" w:hAnsi="仿宋_GB2312" w:eastAsia="仿宋_GB2312" w:cs="仿宋_GB2312"/>
          <w:b/>
          <w:sz w:val="32"/>
          <w:szCs w:val="32"/>
        </w:rPr>
      </w:pPr>
      <w:bookmarkStart w:id="123" w:name="_Toc24841_WPSOffice_Level2"/>
      <w:bookmarkStart w:id="124" w:name="_Toc14782_WPSOffice_Level2"/>
      <w:r>
        <w:rPr>
          <w:rFonts w:hint="eastAsia" w:ascii="仿宋_GB2312" w:hAnsi="仿宋_GB2312" w:eastAsia="仿宋_GB2312" w:cs="仿宋_GB2312"/>
          <w:b/>
          <w:sz w:val="32"/>
          <w:szCs w:val="32"/>
        </w:rPr>
        <w:t>投标函</w:t>
      </w:r>
      <w:bookmarkEnd w:id="123"/>
      <w:bookmarkEnd w:id="124"/>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4"/>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4"/>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5" w:name="_Toc2673_WPSOffice_Level2"/>
      <w:bookmarkStart w:id="126" w:name="_Toc11267_WPSOffice_Level2"/>
      <w:r>
        <w:rPr>
          <w:rFonts w:hint="eastAsia" w:ascii="仿宋_GB2312" w:hAnsi="仿宋_GB2312" w:eastAsia="仿宋_GB2312" w:cs="仿宋_GB2312"/>
          <w:b/>
          <w:bCs/>
          <w:sz w:val="32"/>
          <w:szCs w:val="32"/>
        </w:rPr>
        <w:t>开标一览表</w:t>
      </w:r>
      <w:bookmarkEnd w:id="125"/>
      <w:bookmarkEnd w:id="126"/>
    </w:p>
    <w:p>
      <w:pPr>
        <w:adjustRightInd w:val="0"/>
        <w:snapToGrid w:val="0"/>
        <w:spacing w:line="360" w:lineRule="auto"/>
        <w:ind w:right="105" w:rightChars="50"/>
        <w:jc w:val="left"/>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rPr>
        <w:t>包号：                                                      报价单位：</w:t>
      </w:r>
      <w:r>
        <w:rPr>
          <w:rFonts w:hint="eastAsia" w:ascii="仿宋_GB2312" w:hAnsi="仿宋_GB2312" w:eastAsia="仿宋_GB2312" w:cs="仿宋_GB2312"/>
          <w:b/>
          <w:bCs/>
          <w:szCs w:val="21"/>
          <w:lang w:val="en-US" w:eastAsia="zh-CN"/>
        </w:rPr>
        <w:t>%</w:t>
      </w:r>
    </w:p>
    <w:tbl>
      <w:tblPr>
        <w:tblStyle w:val="1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货物名称</w:t>
            </w:r>
          </w:p>
        </w:tc>
        <w:tc>
          <w:tcPr>
            <w:tcW w:w="2373" w:type="dxa"/>
            <w:noWrap w:val="0"/>
            <w:vAlign w:val="center"/>
          </w:tcPr>
          <w:p>
            <w:pPr>
              <w:adjustRightInd w:val="0"/>
              <w:snapToGrid w:val="0"/>
              <w:ind w:left="-54" w:leftChars="-26" w:right="-46" w:rightChars="-22"/>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优惠报价折价系数</w:t>
            </w:r>
          </w:p>
          <w:p>
            <w:pPr>
              <w:adjustRightInd w:val="0"/>
              <w:snapToGrid w:val="0"/>
              <w:ind w:left="-54"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（折扣）</w:t>
            </w:r>
          </w:p>
        </w:tc>
        <w:tc>
          <w:tcPr>
            <w:tcW w:w="1309"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投标保证金</w:t>
            </w:r>
          </w:p>
        </w:tc>
        <w:tc>
          <w:tcPr>
            <w:tcW w:w="1109"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交货时间</w:t>
            </w:r>
          </w:p>
        </w:tc>
        <w:tc>
          <w:tcPr>
            <w:tcW w:w="1252"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交货地点</w:t>
            </w:r>
          </w:p>
        </w:tc>
        <w:tc>
          <w:tcPr>
            <w:tcW w:w="951"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p>
        </w:tc>
        <w:tc>
          <w:tcPr>
            <w:tcW w:w="2373" w:type="dxa"/>
            <w:noWrap w:val="0"/>
            <w:vAlign w:val="center"/>
          </w:tcPr>
          <w:p>
            <w:pPr>
              <w:adjustRightInd w:val="0"/>
              <w:snapToGrid w:val="0"/>
              <w:ind w:left="-54" w:leftChars="-26" w:right="-46" w:rightChars="-22"/>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小写：</w:t>
            </w:r>
          </w:p>
          <w:p>
            <w:pPr>
              <w:adjustRightInd w:val="0"/>
              <w:snapToGrid w:val="0"/>
              <w:ind w:left="-54" w:leftChars="-26" w:right="-46" w:rightChars="-22"/>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大写：</w:t>
            </w:r>
          </w:p>
        </w:tc>
        <w:tc>
          <w:tcPr>
            <w:tcW w:w="1309"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p>
        </w:tc>
        <w:tc>
          <w:tcPr>
            <w:tcW w:w="1109"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p>
        </w:tc>
        <w:tc>
          <w:tcPr>
            <w:tcW w:w="1252"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p>
        </w:tc>
        <w:tc>
          <w:tcPr>
            <w:tcW w:w="951" w:type="dxa"/>
            <w:noWrap w:val="0"/>
            <w:vAlign w:val="center"/>
          </w:tcPr>
          <w:p>
            <w:pPr>
              <w:adjustRightInd w:val="0"/>
              <w:snapToGrid w:val="0"/>
              <w:ind w:left="-54" w:leftChars="-26" w:right="-46" w:rightChars="-22"/>
              <w:jc w:val="center"/>
              <w:rPr>
                <w:rFonts w:ascii="仿宋_GB2312" w:hAnsi="仿宋_GB2312" w:eastAsia="仿宋_GB2312" w:cs="仿宋_GB2312"/>
                <w:color w:val="auto"/>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格式12</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27" w:name="_Toc16044_WPSOffice_Level2"/>
      <w:bookmarkStart w:id="128" w:name="_Toc28271_WPSOffice_Level2"/>
      <w:r>
        <w:rPr>
          <w:rFonts w:hint="eastAsia" w:ascii="仿宋_GB2312" w:hAnsi="仿宋_GB2312" w:eastAsia="仿宋_GB2312" w:cs="仿宋_GB2312"/>
          <w:b/>
          <w:bCs/>
          <w:sz w:val="32"/>
          <w:szCs w:val="32"/>
        </w:rPr>
        <w:t>分项报价表</w:t>
      </w:r>
      <w:bookmarkEnd w:id="127"/>
      <w:bookmarkEnd w:id="128"/>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7"/>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2"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55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347"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1033"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721"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75"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68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c>
          <w:tcPr>
            <w:tcW w:w="802" w:type="dxa"/>
            <w:noWrap w:val="0"/>
            <w:vAlign w:val="center"/>
          </w:tcPr>
          <w:p>
            <w:pPr>
              <w:adjustRightInd w:val="0"/>
              <w:snapToGrid w:val="0"/>
              <w:ind w:left="-96"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8" w:hRule="atLeast"/>
          <w:jc w:val="center"/>
        </w:trPr>
        <w:tc>
          <w:tcPr>
            <w:tcW w:w="1904" w:type="dxa"/>
            <w:gridSpan w:val="2"/>
            <w:noWrap w:val="0"/>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3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721"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675"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682"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02"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outlineLvl w:val="9"/>
        <w:rPr>
          <w:rFonts w:hint="eastAsia" w:ascii="仿宋_GB2312" w:hAnsi="仿宋_GB2312" w:eastAsia="仿宋_GB2312" w:cs="仿宋_GB2312"/>
          <w:szCs w:val="28"/>
        </w:rPr>
        <w:sectPr>
          <w:pgSz w:w="11906" w:h="16838"/>
          <w:pgMar w:top="1440" w:right="1803" w:bottom="1440" w:left="1803" w:header="851" w:footer="992" w:gutter="0"/>
          <w:cols w:space="720" w:num="1"/>
          <w:docGrid w:type="linesAndChars" w:linePitch="319" w:charSpace="0"/>
        </w:sect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格式13</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29" w:name="_Toc9235_WPSOffice_Level2"/>
      <w:bookmarkStart w:id="130" w:name="_Toc31555_WPSOffice_Level2"/>
      <w:r>
        <w:rPr>
          <w:rFonts w:hint="eastAsia" w:ascii="仿宋_GB2312" w:hAnsi="仿宋_GB2312" w:eastAsia="仿宋_GB2312" w:cs="仿宋_GB2312"/>
          <w:b/>
          <w:bCs/>
          <w:sz w:val="32"/>
          <w:szCs w:val="32"/>
        </w:rPr>
        <w:t>技术规格偏离表</w:t>
      </w:r>
      <w:bookmarkEnd w:id="129"/>
      <w:bookmarkEnd w:id="130"/>
    </w:p>
    <w:tbl>
      <w:tblPr>
        <w:tblStyle w:val="17"/>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3"/>
        <w:gridCol w:w="4428"/>
        <w:gridCol w:w="1304"/>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sz w:val="21"/>
                <w:szCs w:val="21"/>
              </w:rPr>
            </w:pPr>
            <w:r>
              <w:rPr>
                <w:rFonts w:hint="eastAsia" w:ascii="仿宋_GB2312" w:hAnsi="仿宋_GB2312" w:eastAsia="仿宋_GB2312" w:cs="仿宋_GB2312"/>
                <w:sz w:val="21"/>
                <w:szCs w:val="21"/>
              </w:rPr>
              <w:t>招标文件要求</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投标文件</w:t>
            </w:r>
          </w:p>
          <w:p>
            <w:pPr>
              <w:tabs>
                <w:tab w:val="left" w:pos="0"/>
              </w:tabs>
              <w:spacing w:line="24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响应内容</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偏离程度</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偏离说明</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8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一、配送要求</w:t>
            </w:r>
          </w:p>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1.</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提供的图书必须完全符合国家出版部门规定的图书质量标准，保证采购方所采购图书</w:t>
            </w:r>
            <w:r>
              <w:rPr>
                <w:rFonts w:hint="eastAsia" w:ascii="仿宋_GB2312" w:eastAsia="仿宋_GB2312" w:cs="Lucida Sans Unicode"/>
                <w:color w:val="000000"/>
                <w:sz w:val="32"/>
                <w:szCs w:val="32"/>
                <w:lang w:val="en-US" w:eastAsia="zh-CN"/>
              </w:rPr>
              <w:t>80%以上</w:t>
            </w:r>
            <w:r>
              <w:rPr>
                <w:rFonts w:hint="eastAsia" w:ascii="仿宋_GB2312" w:eastAsia="仿宋_GB2312" w:cs="Lucida Sans Unicode"/>
                <w:color w:val="000000"/>
                <w:sz w:val="32"/>
                <w:szCs w:val="32"/>
              </w:rPr>
              <w:t>均为当年、上一年全新正版合法出版物。</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2.</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提供的中文图书编目数据字段需符合国家中文图书著录规则，格式为MARC格式，数据能与Interlib系统所兼容。著录细则详见招标单位具体要求。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3.</w:t>
            </w:r>
            <w:r>
              <w:rPr>
                <w:rFonts w:hint="eastAsia" w:ascii="仿宋_GB2312" w:eastAsia="仿宋_GB2312" w:cs="Lucida Sans Unicode"/>
                <w:color w:val="000000"/>
                <w:sz w:val="32"/>
                <w:szCs w:val="32"/>
              </w:rPr>
              <w:t>除出版商取消出版、推迟出版或发生影响合同履行的不可抗力以外，若不能按时供货的图书种数或册数超过订单数的10%，或需求方发现</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存在选择供货、搭配需求方未订购图书、特价图书、供货中有盗版图书等现象，即可认定成交</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违约(履约保证金不退还)，对此需求方有权向成交</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提出终止供货的要求，终止供货造成的损失由成交供应商承担。</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4.</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需按照招标采购要求供货，如有特殊情况导致不能供货时需与采购方协调更换类似书籍，不得私自更换，否则采购方有权利终止</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供货。</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5.</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供货时须提供详细</w:t>
            </w:r>
            <w:r>
              <w:rPr>
                <w:rFonts w:hint="eastAsia" w:ascii="仿宋_GB2312" w:eastAsia="仿宋_GB2312" w:cs="Lucida Sans Unicode"/>
                <w:color w:val="000000"/>
                <w:sz w:val="32"/>
                <w:szCs w:val="32"/>
                <w:lang w:eastAsia="zh-CN"/>
              </w:rPr>
              <w:t>的</w:t>
            </w:r>
            <w:r>
              <w:rPr>
                <w:rFonts w:hint="eastAsia" w:ascii="仿宋_GB2312" w:eastAsia="仿宋_GB2312" w:cs="Lucida Sans Unicode"/>
                <w:color w:val="000000"/>
                <w:sz w:val="32"/>
                <w:szCs w:val="32"/>
              </w:rPr>
              <w:t>图书供货目录纸质版和电子版各一份，目录内容包括ISBN、出版国别、题名、著者、分卷册号、版次、出版社、出版时间、页数、内容摘要、中图分类号、价格等。</w:t>
            </w:r>
          </w:p>
          <w:p>
            <w:pPr>
              <w:pStyle w:val="16"/>
              <w:ind w:left="0" w:leftChars="0" w:firstLine="640" w:firstLineChars="200"/>
              <w:rPr>
                <w:rFonts w:hint="eastAsia" w:ascii="仿宋_GB2312" w:hAnsi="宋体" w:eastAsia="仿宋_GB2312" w:cs="Lucida Sans Unicode"/>
                <w:color w:val="000000"/>
                <w:sz w:val="32"/>
                <w:szCs w:val="32"/>
                <w:lang w:val="en-US" w:eastAsia="zh-CN" w:bidi="ar-SA"/>
              </w:rPr>
            </w:pPr>
            <w:r>
              <w:rPr>
                <w:rFonts w:hint="eastAsia" w:ascii="仿宋_GB2312" w:hAnsi="宋体" w:eastAsia="仿宋_GB2312" w:cs="Lucida Sans Unicode"/>
                <w:color w:val="000000"/>
                <w:sz w:val="32"/>
                <w:szCs w:val="32"/>
                <w:lang w:val="en-US" w:eastAsia="zh-CN" w:bidi="ar-SA"/>
              </w:rPr>
              <w:t>6.具有现场加工能力，加工人员需6人以上</w:t>
            </w:r>
            <w:r>
              <w:rPr>
                <w:rFonts w:hint="eastAsia" w:ascii="仿宋_GB2312" w:eastAsia="仿宋_GB2312" w:cs="Lucida Sans Unicode"/>
                <w:color w:val="000000"/>
                <w:sz w:val="32"/>
                <w:szCs w:val="32"/>
                <w:lang w:val="en-US" w:eastAsia="zh-CN" w:bidi="ar-SA"/>
              </w:rPr>
              <w:t>，</w:t>
            </w:r>
            <w:r>
              <w:rPr>
                <w:rFonts w:hint="eastAsia" w:ascii="仿宋_GB2312" w:hAnsi="宋体" w:eastAsia="仿宋_GB2312" w:cs="Lucida Sans Unicode"/>
                <w:color w:val="000000"/>
                <w:sz w:val="32"/>
                <w:szCs w:val="32"/>
                <w:lang w:val="en-US" w:eastAsia="zh-CN" w:bidi="ar-SA"/>
              </w:rPr>
              <w:t>且具有国家图书馆颁发的国图编目证书或中国图书馆分类法（或中国机读目录格式CNMARC）上岗证。</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产品要求（包括配置、标准及技术指标等详细内容）</w:t>
            </w:r>
            <w:r>
              <w:rPr>
                <w:rFonts w:hint="eastAsia" w:ascii="黑体" w:hAnsi="黑体" w:eastAsia="黑体" w:cs="黑体"/>
                <w:b w:val="0"/>
                <w:bCs w:val="0"/>
                <w:color w:val="000000"/>
                <w:sz w:val="32"/>
                <w:szCs w:val="32"/>
                <w:lang w:eastAsia="zh-CN"/>
              </w:rPr>
              <w:t>：</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采购方面要求：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1、</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应能够提供本次采购指定出版社的全品种书目数据（MARC和EXCEL表格各一份），指定出版社为：</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人民文学出版社、人民日报出版社、中共党史出版社、红旗出版社、冶金工业出版社、中国电力出版社、中国纺织出版社、中国建筑工业出版社、中国轻工业出版社、中国中医药出版社、中国社会科学出版社、中国科学技术出版社、世界知识出版社、中信出版社、上海古籍出版社、译林出版社、作家出版社、人民邮电出版、中华书局、商务印书馆、科学普及出版社、湖南文艺出版社、北京出版社、电子工业出版社、化学工业出版社、机械工业出版社、党建读物出版社、法律出版社、湖南人民出版社、中国林业出版社、中国农业出版社、中国水利水电出版社、湖南科学技术出版社、北京大学出版社、复旦大学出版社、高等教育出版社、清华大学出版社、湖南美术出版社、吉林美术出版社、二十一世纪出版社、长江文艺出版社、北京理工大学出版社、天津人民出版社、文物出版社、中央文献出版社、科学技术文献出版社、地质出版社 、中国文史出版社、中共中央党校出版社、中国标准出版社、中国法制出版社、人民法院出版社、国防工业出版社、 哈尔滨工业大学出版社、浙江科学技术出版社、 浙江人民出版社、山东科学技术出版社、上海辞书出版社、上海三联书店 、上海译文出版社、上海社会科学院出版社、上海书店出版社、青岛出版社、商务印书馆、生活·读书·新知三联书店、上海人民出版社、上海科学技术文献出版社、 天津科学技术出版社。</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2、在本招标项目指定出版社外，</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还能提供不低于100家（含100家）国内正式出版社全品种出版图书书目数据（MARC和EXCEL表格各一份），供采购方选书；除非去重需要和采购方明示，</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不得以任何方式删减反映各出版社出版信息的书目数据。</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3、定标结果生效后，</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每月至少1次向采购方发送指定出版社的excel书目数据，并说明本次提交的指定出版社名称和数据条数；采购方有权按照采购需求并按照“谁提供数据、订单发给谁”的原则采购指定出版社以外的其他出版社图书；对书目数据中单册图书300元以上或单套图书1000元以上的，采购方有权向各图书供应商再次询价，并按照最低价成交的原则向最低报价供应商采购；除非采购方明示，</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不得更改采购方的现采和预订图书订单，不得搭配非采购方订购的图书；</w:t>
            </w:r>
            <w:r>
              <w:rPr>
                <w:rFonts w:hint="eastAsia" w:ascii="仿宋" w:hAnsi="仿宋" w:eastAsia="仿宋" w:cs="仿宋"/>
                <w:color w:val="000000"/>
                <w:sz w:val="32"/>
                <w:szCs w:val="32"/>
                <w:lang w:eastAsia="zh-CN"/>
              </w:rPr>
              <w:t>投标人需</w:t>
            </w:r>
            <w:r>
              <w:rPr>
                <w:rFonts w:hint="eastAsia" w:ascii="仿宋_GB2312" w:eastAsia="仿宋_GB2312" w:cs="Lucida Sans Unicode"/>
                <w:color w:val="000000"/>
                <w:sz w:val="32"/>
                <w:szCs w:val="32"/>
                <w:lang w:val="en-US" w:eastAsia="zh-CN"/>
              </w:rPr>
              <w:t>能够对已预订的图书进行查重。</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提交电子版书目数据需另加一列：列名称为：是否为指定出版社（请勿合并表格），并在该条数据该列中加标识，举例如下。</w:t>
            </w:r>
          </w:p>
          <w:p>
            <w:pPr>
              <w:pStyle w:val="16"/>
              <w:rPr>
                <w:rFonts w:hint="eastAsia"/>
                <w:color w:val="00000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676"/>
              <w:gridCol w:w="1676"/>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是否为指定出版社</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题名</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出版社</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出版时间</w:t>
                  </w:r>
                </w:p>
              </w:tc>
              <w:tc>
                <w:tcPr>
                  <w:tcW w:w="1676" w:type="dxa"/>
                  <w:noWrap w:val="0"/>
                  <w:vAlign w:val="center"/>
                </w:tcPr>
                <w:p>
                  <w:pPr>
                    <w:pStyle w:val="7"/>
                    <w:widowControl w:val="0"/>
                    <w:jc w:val="center"/>
                    <w:rPr>
                      <w:rFonts w:hint="eastAsia" w:ascii="仿宋_GB2312" w:eastAsia="仿宋_GB2312" w:cs="Lucida Sans Unicode"/>
                      <w:color w:val="000000"/>
                      <w:sz w:val="24"/>
                      <w:szCs w:val="24"/>
                      <w:lang w:val="en-US" w:eastAsia="zh-CN"/>
                    </w:rPr>
                  </w:pPr>
                  <w:r>
                    <w:rPr>
                      <w:rFonts w:hint="eastAsia" w:ascii="仿宋_GB2312" w:eastAsia="仿宋_GB2312" w:cs="Lucida Sans Unicode"/>
                      <w:color w:val="000000"/>
                      <w:sz w:val="24"/>
                      <w:szCs w:val="24"/>
                      <w:lang w:val="en-US" w:eastAsia="zh-CN"/>
                    </w:rPr>
                    <w:t>其他内容</w:t>
                  </w:r>
                </w:p>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是</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中国史纲</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北京出版社</w:t>
                  </w:r>
                </w:p>
              </w:tc>
              <w:tc>
                <w:tcPr>
                  <w:tcW w:w="1676" w:type="dxa"/>
                  <w:noWrap w:val="0"/>
                  <w:vAlign w:val="center"/>
                </w:tcPr>
                <w:p>
                  <w:pPr>
                    <w:keepNext w:val="0"/>
                    <w:keepLines w:val="0"/>
                    <w:pageBreakBefore w:val="0"/>
                    <w:widowControl w:val="0"/>
                    <w:kinsoku/>
                    <w:overflowPunct/>
                    <w:topLinePunct w:val="0"/>
                    <w:bidi w:val="0"/>
                    <w:adjustRightInd/>
                    <w:spacing w:beforeAutospacing="0" w:afterAutospacing="0" w:line="240" w:lineRule="auto"/>
                    <w:jc w:val="center"/>
                    <w:textAlignment w:val="auto"/>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2020．10</w:t>
                  </w:r>
                </w:p>
              </w:tc>
              <w:tc>
                <w:tcPr>
                  <w:tcW w:w="1676" w:type="dxa"/>
                  <w:noWrap w:val="0"/>
                  <w:vAlign w:val="center"/>
                </w:tcPr>
                <w:p>
                  <w:pPr>
                    <w:pStyle w:val="7"/>
                    <w:widowControl w:val="0"/>
                    <w:jc w:val="center"/>
                    <w:rPr>
                      <w:rFonts w:hint="eastAsia"/>
                      <w:color w:val="000000"/>
                      <w:vertAlign w:val="baseline"/>
                      <w:lang w:val="en-US" w:eastAsia="zh-CN"/>
                    </w:rPr>
                  </w:pPr>
                </w:p>
              </w:tc>
            </w:tr>
          </w:tbl>
          <w:p>
            <w:pPr>
              <w:keepNext w:val="0"/>
              <w:keepLines w:val="0"/>
              <w:pageBreakBefore w:val="0"/>
              <w:kinsoku/>
              <w:overflowPunct/>
              <w:topLinePunct w:val="0"/>
              <w:bidi w:val="0"/>
              <w:adjustRightInd/>
              <w:spacing w:beforeAutospacing="0" w:afterAutospacing="0" w:line="240" w:lineRule="auto"/>
              <w:textAlignment w:val="auto"/>
              <w:rPr>
                <w:rFonts w:hint="eastAsia" w:ascii="仿宋" w:hAnsi="仿宋" w:eastAsia="仿宋" w:cs="仿宋"/>
                <w:color w:val="000000"/>
                <w:sz w:val="32"/>
                <w:szCs w:val="32"/>
                <w:lang w:eastAsia="zh-CN"/>
              </w:rPr>
            </w:pPr>
          </w:p>
          <w:p>
            <w:pPr>
              <w:pStyle w:val="16"/>
              <w:ind w:left="0" w:leftChars="0" w:firstLine="0" w:firstLineChars="0"/>
              <w:rPr>
                <w:rFonts w:hint="eastAsia"/>
                <w:color w:val="000000"/>
                <w:lang w:eastAsia="zh-CN"/>
              </w:rPr>
            </w:pP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图书编目方面要求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能够随书提供符合招标单位基本要求的CNMARC格式编目数据。</w:t>
            </w:r>
            <w:r>
              <w:rPr>
                <w:rFonts w:hint="eastAsia" w:ascii="仿宋" w:hAnsi="仿宋" w:eastAsia="仿宋" w:cs="仿宋"/>
                <w:color w:val="000000"/>
                <w:sz w:val="32"/>
                <w:szCs w:val="32"/>
                <w:lang w:eastAsia="zh-CN"/>
              </w:rPr>
              <w:t>编目数据应符合采购方编目著录格式要求，差错率应不超过</w:t>
            </w:r>
            <w:r>
              <w:rPr>
                <w:rFonts w:hint="eastAsia" w:ascii="仿宋" w:hAnsi="仿宋" w:eastAsia="仿宋" w:cs="仿宋"/>
                <w:color w:val="000000"/>
                <w:sz w:val="32"/>
                <w:szCs w:val="32"/>
                <w:lang w:val="en-US" w:eastAsia="zh-CN"/>
              </w:rPr>
              <w:t>0.2%</w:t>
            </w:r>
            <w:r>
              <w:rPr>
                <w:rFonts w:hint="eastAsia" w:ascii="仿宋" w:hAnsi="仿宋" w:eastAsia="仿宋" w:cs="仿宋"/>
                <w:color w:val="000000"/>
                <w:sz w:val="32"/>
                <w:szCs w:val="32"/>
                <w:lang w:eastAsia="zh-CN"/>
              </w:rPr>
              <w:t>，若发现编目数据质量或图书物理加工格式不符合采购方标准，采购方有权要求供货方</w:t>
            </w:r>
            <w:r>
              <w:rPr>
                <w:rFonts w:hint="eastAsia" w:ascii="仿宋" w:hAnsi="仿宋" w:eastAsia="仿宋" w:cs="仿宋"/>
                <w:color w:val="000000"/>
                <w:sz w:val="32"/>
                <w:szCs w:val="32"/>
              </w:rPr>
              <w:t>派员</w:t>
            </w:r>
            <w:r>
              <w:rPr>
                <w:rFonts w:hint="eastAsia" w:ascii="仿宋" w:hAnsi="仿宋" w:eastAsia="仿宋" w:cs="仿宋"/>
                <w:color w:val="000000"/>
                <w:sz w:val="32"/>
                <w:szCs w:val="32"/>
                <w:lang w:eastAsia="zh-CN"/>
              </w:rPr>
              <w:t>提供上门修改数据服务</w:t>
            </w:r>
            <w:r>
              <w:rPr>
                <w:rFonts w:hint="eastAsia" w:ascii="仿宋" w:hAnsi="仿宋" w:eastAsia="仿宋" w:cs="仿宋"/>
                <w:color w:val="000000"/>
                <w:sz w:val="32"/>
                <w:szCs w:val="32"/>
                <w:lang w:val="en-US" w:eastAsia="zh-CN"/>
              </w:rPr>
              <w:t>。</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加工方面要求：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必须有图书加工的能力，按采购方要求提供下列免费服务：</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1、磁条</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图书加装16cm钴基永久磁条。粘贴磁条前对图书进行检查，确认无其它磁条，并对新夹磁条进行充消磁检查。磁条紧贴书缝装订线安放，最大间隙不超过0.5毫米，要求隐蔽性好，牢固、不外露。所有图书加装磁条，300页及以上图书须加装2根磁条。如发现磁条有质量问题或图书有磁条遗漏情况</w:t>
            </w:r>
            <w:r>
              <w:rPr>
                <w:rFonts w:hint="eastAsia" w:ascii="仿宋" w:hAnsi="仿宋" w:eastAsia="仿宋" w:cs="仿宋"/>
                <w:color w:val="000000"/>
                <w:sz w:val="32"/>
                <w:szCs w:val="32"/>
                <w:lang w:eastAsia="zh-CN"/>
              </w:rPr>
              <w:t>，采购方</w:t>
            </w:r>
            <w:r>
              <w:rPr>
                <w:rFonts w:hint="eastAsia" w:ascii="仿宋" w:hAnsi="仿宋" w:eastAsia="仿宋" w:cs="仿宋"/>
                <w:color w:val="000000"/>
                <w:sz w:val="32"/>
                <w:szCs w:val="32"/>
              </w:rPr>
              <w:t>有权要求供货方根据市场行情提供磁条和人工费，</w:t>
            </w:r>
            <w:r>
              <w:rPr>
                <w:rFonts w:hint="eastAsia" w:ascii="仿宋" w:hAnsi="仿宋" w:eastAsia="仿宋" w:cs="仿宋"/>
                <w:color w:val="000000"/>
                <w:sz w:val="32"/>
                <w:szCs w:val="32"/>
                <w:lang w:eastAsia="zh-CN"/>
              </w:rPr>
              <w:t>采购方</w:t>
            </w:r>
            <w:r>
              <w:rPr>
                <w:rFonts w:hint="eastAsia" w:ascii="仿宋" w:hAnsi="仿宋" w:eastAsia="仿宋" w:cs="仿宋"/>
                <w:color w:val="000000"/>
                <w:sz w:val="32"/>
                <w:szCs w:val="32"/>
              </w:rPr>
              <w:t>自己加工。</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2、馆藏章</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给每册图书加盖</w:t>
            </w:r>
            <w:r>
              <w:rPr>
                <w:rFonts w:hint="eastAsia" w:ascii="仿宋" w:hAnsi="仿宋" w:eastAsia="仿宋" w:cs="仿宋"/>
                <w:color w:val="0000FF"/>
                <w:sz w:val="32"/>
                <w:szCs w:val="32"/>
              </w:rPr>
              <w:t>红色“</w:t>
            </w:r>
            <w:r>
              <w:rPr>
                <w:rFonts w:hint="eastAsia" w:ascii="仿宋" w:hAnsi="仿宋" w:eastAsia="仿宋" w:cs="仿宋"/>
                <w:color w:val="0000FF"/>
                <w:sz w:val="32"/>
                <w:szCs w:val="32"/>
                <w:lang w:val="en-US" w:eastAsia="zh-CN"/>
              </w:rPr>
              <w:t>**</w:t>
            </w:r>
            <w:r>
              <w:rPr>
                <w:rFonts w:hint="eastAsia" w:ascii="仿宋" w:hAnsi="仿宋" w:eastAsia="仿宋" w:cs="仿宋"/>
                <w:color w:val="0000FF"/>
                <w:sz w:val="32"/>
                <w:szCs w:val="32"/>
              </w:rPr>
              <w:t>图书馆藏”</w:t>
            </w:r>
            <w:r>
              <w:rPr>
                <w:rFonts w:hint="eastAsia" w:ascii="仿宋" w:hAnsi="仿宋" w:eastAsia="仿宋" w:cs="仿宋"/>
                <w:color w:val="000000"/>
                <w:sz w:val="32"/>
                <w:szCs w:val="32"/>
              </w:rPr>
              <w:t>专用章，位于书名页</w:t>
            </w:r>
            <w:r>
              <w:rPr>
                <w:rFonts w:hint="eastAsia" w:ascii="仿宋" w:hAnsi="仿宋" w:eastAsia="仿宋" w:cs="仿宋"/>
                <w:color w:val="000000"/>
                <w:sz w:val="32"/>
                <w:szCs w:val="32"/>
                <w:lang w:eastAsia="zh-CN"/>
              </w:rPr>
              <w:t>偏下</w:t>
            </w:r>
            <w:r>
              <w:rPr>
                <w:rFonts w:hint="eastAsia" w:ascii="仿宋" w:hAnsi="仿宋" w:eastAsia="仿宋" w:cs="仿宋"/>
                <w:color w:val="000000"/>
                <w:sz w:val="32"/>
                <w:szCs w:val="32"/>
              </w:rPr>
              <w:t>居中出版社上方一厘米空白处(条码上面)，如该位置有文字则做适当调整，不</w:t>
            </w:r>
            <w:r>
              <w:rPr>
                <w:rFonts w:hint="eastAsia" w:ascii="仿宋" w:hAnsi="仿宋" w:eastAsia="仿宋" w:cs="仿宋"/>
                <w:color w:val="000000"/>
                <w:sz w:val="32"/>
                <w:szCs w:val="32"/>
                <w:lang w:eastAsia="zh-CN"/>
              </w:rPr>
              <w:t>能遮挡</w:t>
            </w:r>
            <w:r>
              <w:rPr>
                <w:rFonts w:hint="eastAsia" w:ascii="仿宋" w:hAnsi="仿宋" w:eastAsia="仿宋" w:cs="仿宋"/>
                <w:color w:val="000000"/>
                <w:sz w:val="32"/>
                <w:szCs w:val="32"/>
              </w:rPr>
              <w:t>文字。</w:t>
            </w:r>
            <w:r>
              <w:rPr>
                <w:rFonts w:hint="eastAsia" w:ascii="仿宋" w:hAnsi="仿宋" w:eastAsia="仿宋" w:cs="仿宋"/>
                <w:color w:val="000000"/>
                <w:sz w:val="32"/>
                <w:szCs w:val="32"/>
                <w:lang w:eastAsia="zh-CN"/>
              </w:rPr>
              <w:t>所盖章印须</w:t>
            </w:r>
            <w:r>
              <w:rPr>
                <w:rFonts w:hint="eastAsia" w:ascii="仿宋" w:hAnsi="仿宋" w:eastAsia="仿宋" w:cs="仿宋"/>
                <w:color w:val="000000"/>
                <w:sz w:val="32"/>
                <w:szCs w:val="32"/>
              </w:rPr>
              <w:t>位置准确、端正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清晰。</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3、书标</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每册书贴两个同号书标，一张贴在书名页的右上角，另一张贴在书脊下方距书脊底线2cm处，书标粘贴位置端正，在书脊处的书标需加贴透明胶纸，大小为能够</w:t>
            </w:r>
            <w:r>
              <w:rPr>
                <w:rFonts w:hint="eastAsia" w:ascii="仿宋" w:hAnsi="仿宋" w:eastAsia="仿宋" w:cs="仿宋"/>
                <w:color w:val="000000"/>
                <w:sz w:val="32"/>
                <w:szCs w:val="32"/>
                <w:lang w:eastAsia="zh-CN"/>
              </w:rPr>
              <w:t>完全遮住</w:t>
            </w:r>
            <w:r>
              <w:rPr>
                <w:rFonts w:hint="eastAsia" w:ascii="仿宋" w:hAnsi="仿宋" w:eastAsia="仿宋" w:cs="仿宋"/>
                <w:color w:val="000000"/>
                <w:sz w:val="32"/>
                <w:szCs w:val="32"/>
              </w:rPr>
              <w:t>该处书标。</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4、附件</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随书光盘附件使用光盘套。每个光盘袋右上角贴书标，光盘上书标要求不遮挡文字信息并同文字方向保持一致。每个光盘袋正下方需贴一个与原书同号条形码。附件需单独包装在每包书包里，不能夹在书里，否则此图书不予以验收。</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5、条形码</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每册书贴2个同号条码，一张贴在书名页的出版社偏上，不压字，有重要文字稍微调整避开，尽量左右移动，如果此位置不能贴，可以上下移动。另一张贴在正文的11页书楣上居中的位置，不压字。所贴条码号连贯，并按号码顺序排好。条码粘贴位置端正，无错漏。</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条码号段：由采购方提供。</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条形码规格：长×宽：6.5cm ×2cm     </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 RFID标签技术参数</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在图书封三处粘贴RFID标签，必须确保标签粘贴牢固，位置端正，并进行数据转换。</w:t>
            </w:r>
          </w:p>
          <w:p>
            <w:pPr>
              <w:keepNext w:val="0"/>
              <w:keepLines w:val="0"/>
              <w:pageBreakBefore w:val="0"/>
              <w:numPr>
                <w:ilvl w:val="0"/>
                <w:numId w:val="5"/>
              </w:numPr>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为保证按时间进度和质量要求完成图书加工整理工作，提供给读者使用，</w:t>
            </w:r>
            <w:r>
              <w:rPr>
                <w:rFonts w:hint="eastAsia" w:ascii="仿宋" w:hAnsi="仿宋" w:eastAsia="仿宋" w:cs="仿宋"/>
                <w:color w:val="000000"/>
                <w:sz w:val="32"/>
                <w:szCs w:val="32"/>
                <w:lang w:eastAsia="zh-CN"/>
              </w:rPr>
              <w:t>中标人</w:t>
            </w:r>
            <w:r>
              <w:rPr>
                <w:rFonts w:hint="eastAsia" w:ascii="仿宋" w:hAnsi="仿宋" w:eastAsia="仿宋" w:cs="仿宋"/>
                <w:color w:val="000000"/>
                <w:sz w:val="32"/>
                <w:szCs w:val="32"/>
              </w:rPr>
              <w:t>须保证在图书送达并经采购方验收后20之内派员按照采购方既定的质量要求完成图书</w:t>
            </w:r>
            <w:r>
              <w:rPr>
                <w:rFonts w:hint="eastAsia" w:ascii="仿宋" w:hAnsi="仿宋" w:eastAsia="仿宋" w:cs="仿宋"/>
                <w:color w:val="000000"/>
                <w:sz w:val="32"/>
                <w:szCs w:val="32"/>
                <w:lang w:eastAsia="zh-CN"/>
              </w:rPr>
              <w:t>标签转换、</w:t>
            </w:r>
            <w:r>
              <w:rPr>
                <w:rFonts w:hint="eastAsia" w:ascii="仿宋" w:hAnsi="仿宋" w:eastAsia="仿宋" w:cs="仿宋"/>
                <w:color w:val="000000"/>
                <w:sz w:val="32"/>
                <w:szCs w:val="32"/>
              </w:rPr>
              <w:t>整理</w:t>
            </w:r>
            <w:r>
              <w:rPr>
                <w:rFonts w:hint="eastAsia" w:ascii="仿宋" w:hAnsi="仿宋" w:eastAsia="仿宋" w:cs="仿宋"/>
                <w:color w:val="000000"/>
                <w:sz w:val="32"/>
                <w:szCs w:val="32"/>
                <w:lang w:eastAsia="zh-CN"/>
              </w:rPr>
              <w:t>上架等</w:t>
            </w:r>
            <w:r>
              <w:rPr>
                <w:rFonts w:hint="eastAsia" w:ascii="仿宋" w:hAnsi="仿宋" w:eastAsia="仿宋" w:cs="仿宋"/>
                <w:color w:val="000000"/>
                <w:sz w:val="32"/>
                <w:szCs w:val="32"/>
              </w:rPr>
              <w:t>工作。</w:t>
            </w:r>
          </w:p>
          <w:p>
            <w:pPr>
              <w:adjustRightInd w:val="0"/>
              <w:snapToGrid w:val="0"/>
              <w:ind w:hanging="1"/>
              <w:jc w:val="center"/>
              <w:rPr>
                <w:rFonts w:ascii="仿宋_GB2312" w:hAnsi="仿宋_GB2312" w:eastAsia="仿宋_GB2312" w:cs="仿宋_GB2312"/>
                <w:sz w:val="21"/>
                <w:szCs w:val="21"/>
              </w:rPr>
            </w:pPr>
          </w:p>
        </w:tc>
        <w:tc>
          <w:tcPr>
            <w:tcW w:w="4428" w:type="dxa"/>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center"/>
              <w:rPr>
                <w:rFonts w:ascii="仿宋_GB2312" w:hAnsi="仿宋_GB2312" w:eastAsia="仿宋_GB2312" w:cs="仿宋_GB2312"/>
                <w:kern w:val="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58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w:t>
            </w:r>
          </w:p>
        </w:tc>
        <w:tc>
          <w:tcPr>
            <w:tcW w:w="4428" w:type="dxa"/>
            <w:tcBorders>
              <w:top w:val="single" w:color="auto" w:sz="4" w:space="0"/>
              <w:left w:val="single" w:color="auto" w:sz="4" w:space="0"/>
              <w:bottom w:val="single" w:color="auto" w:sz="4" w:space="0"/>
              <w:right w:val="single" w:color="auto" w:sz="4" w:space="0"/>
            </w:tcBorders>
            <w:noWrap w:val="0"/>
            <w:vAlign w:val="center"/>
          </w:tcPr>
          <w:p>
            <w:pPr>
              <w:tabs>
                <w:tab w:val="left" w:pos="-61"/>
              </w:tabs>
              <w:adjustRightInd w:val="0"/>
              <w:snapToGrid w:val="0"/>
              <w:ind w:right="-54" w:rightChars="-26"/>
              <w:jc w:val="left"/>
              <w:rPr>
                <w:rFonts w:ascii="仿宋_GB2312" w:hAnsi="仿宋_GB2312" w:eastAsia="仿宋_GB2312" w:cs="仿宋_GB2312"/>
                <w:kern w:val="0"/>
                <w:sz w:val="21"/>
                <w:szCs w:val="21"/>
              </w:rPr>
            </w:pPr>
            <w:r>
              <w:rPr>
                <w:rFonts w:hint="eastAsia" w:ascii="仿宋_GB2312" w:hAnsi="仿宋_GB2312" w:eastAsia="仿宋_GB2312" w:cs="仿宋_GB2312"/>
                <w:sz w:val="21"/>
                <w:szCs w:val="21"/>
              </w:rPr>
              <w:t>采购单位未提供需求而投标人认为需说明及补充的内容在此填列</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ascii="仿宋_GB2312" w:hAnsi="仿宋_GB2312" w:eastAsia="仿宋_GB2312" w:cs="仿宋_GB2312"/>
                <w:kern w:val="0"/>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left"/>
        <w:textAlignment w:val="auto"/>
        <w:rPr>
          <w:rFonts w:ascii="仿宋_GB2312" w:hAnsi="仿宋_GB2312" w:eastAsia="仿宋_GB2312" w:cs="仿宋_GB2312"/>
          <w:b/>
          <w:sz w:val="21"/>
          <w:szCs w:val="21"/>
        </w:rPr>
      </w:pPr>
      <w:r>
        <w:rPr>
          <w:rFonts w:hint="eastAsia" w:ascii="仿宋_GB2312" w:hAnsi="仿宋_GB2312" w:eastAsia="仿宋_GB2312" w:cs="仿宋_GB2312"/>
          <w:b/>
          <w:sz w:val="21"/>
          <w:szCs w:val="21"/>
        </w:rPr>
        <w:t>填表要求：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w:t>
      </w:r>
      <w:r>
        <w:rPr>
          <w:rFonts w:hint="eastAsia" w:ascii="仿宋_GB2312" w:hAnsi="仿宋_GB2312" w:eastAsia="仿宋_GB2312" w:cs="仿宋_GB2312"/>
          <w:b w:val="0"/>
          <w:bCs w:val="0"/>
          <w:sz w:val="21"/>
          <w:szCs w:val="21"/>
        </w:rPr>
        <w:t>“投标文件响应内容”一栏由投标人</w:t>
      </w:r>
      <w:r>
        <w:rPr>
          <w:rFonts w:hint="eastAsia" w:ascii="仿宋_GB2312" w:hAnsi="仿宋_GB2312" w:eastAsia="仿宋_GB2312" w:cs="仿宋_GB2312"/>
          <w:b w:val="0"/>
          <w:bCs w:val="0"/>
          <w:sz w:val="21"/>
          <w:szCs w:val="21"/>
          <w:lang w:val="en-US" w:eastAsia="zh-CN"/>
        </w:rPr>
        <w:t>根据所投报产品的真实技术参数</w:t>
      </w:r>
      <w:r>
        <w:rPr>
          <w:rFonts w:hint="eastAsia" w:ascii="仿宋_GB2312" w:hAnsi="仿宋_GB2312" w:eastAsia="仿宋_GB2312" w:cs="仿宋_GB2312"/>
          <w:b w:val="0"/>
          <w:bCs w:val="0"/>
          <w:sz w:val="21"/>
          <w:szCs w:val="21"/>
        </w:rPr>
        <w:t>逐项对照</w:t>
      </w:r>
      <w:r>
        <w:rPr>
          <w:rFonts w:hint="eastAsia" w:ascii="仿宋_GB2312" w:hAnsi="仿宋_GB2312" w:eastAsia="仿宋_GB2312" w:cs="仿宋_GB2312"/>
          <w:b w:val="0"/>
          <w:bCs w:val="0"/>
          <w:sz w:val="21"/>
          <w:szCs w:val="21"/>
          <w:lang w:val="en-US" w:eastAsia="zh-CN"/>
        </w:rPr>
        <w:t>填写，且</w:t>
      </w:r>
      <w:r>
        <w:rPr>
          <w:rFonts w:hint="eastAsia" w:ascii="仿宋_GB2312" w:hAnsi="仿宋_GB2312" w:eastAsia="仿宋_GB2312" w:cs="仿宋_GB2312"/>
          <w:b w:val="0"/>
          <w:bCs w:val="0"/>
          <w:sz w:val="21"/>
          <w:szCs w:val="21"/>
        </w:rPr>
        <w:t>须与所提供的投</w:t>
      </w:r>
      <w:r>
        <w:rPr>
          <w:rFonts w:hint="eastAsia" w:ascii="仿宋_GB2312" w:hAnsi="仿宋_GB2312" w:eastAsia="仿宋_GB2312" w:cs="仿宋_GB2312"/>
          <w:b w:val="0"/>
          <w:bCs w:val="0"/>
          <w:sz w:val="21"/>
          <w:szCs w:val="21"/>
          <w:lang w:val="en-US" w:eastAsia="zh-CN"/>
        </w:rPr>
        <w:t>报</w:t>
      </w:r>
      <w:r>
        <w:rPr>
          <w:rFonts w:hint="eastAsia" w:ascii="仿宋_GB2312" w:hAnsi="仿宋_GB2312" w:eastAsia="仿宋_GB2312" w:cs="仿宋_GB2312"/>
          <w:b w:val="0"/>
          <w:bCs w:val="0"/>
          <w:sz w:val="21"/>
          <w:szCs w:val="21"/>
        </w:rPr>
        <w:t>产品的</w:t>
      </w:r>
      <w:r>
        <w:rPr>
          <w:rFonts w:hint="eastAsia" w:ascii="仿宋_GB2312" w:hAnsi="仿宋_GB2312" w:eastAsia="仿宋_GB2312" w:cs="仿宋_GB2312"/>
          <w:b w:val="0"/>
          <w:bCs w:val="0"/>
          <w:sz w:val="21"/>
          <w:szCs w:val="21"/>
          <w:lang w:eastAsia="zh-CN"/>
        </w:rPr>
        <w:t>证明</w:t>
      </w:r>
      <w:r>
        <w:rPr>
          <w:rFonts w:hint="eastAsia" w:ascii="仿宋_GB2312" w:hAnsi="仿宋_GB2312" w:eastAsia="仿宋_GB2312" w:cs="仿宋_GB2312"/>
          <w:b w:val="0"/>
          <w:bCs w:val="0"/>
          <w:sz w:val="21"/>
          <w:szCs w:val="21"/>
        </w:rPr>
        <w:t>资料相</w:t>
      </w:r>
      <w:r>
        <w:rPr>
          <w:rFonts w:hint="eastAsia" w:ascii="仿宋_GB2312" w:hAnsi="仿宋_GB2312" w:eastAsia="仿宋_GB2312" w:cs="仿宋_GB2312"/>
          <w:b w:val="0"/>
          <w:bCs w:val="0"/>
          <w:sz w:val="21"/>
          <w:szCs w:val="21"/>
          <w:lang w:eastAsia="zh-CN"/>
        </w:rPr>
        <w:t>一致。</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“偏离程度”一栏根据“投标文件响应内容”与招标文件逐项对照的结果填写。偏离必须用 “正偏离、负偏离或无偏离”三个名称中的一种进行标注。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“偏离说明”一栏由投标人对偏离的情况做详细说明。</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4.投标人填报本表有以下情形之一的，将被认定为无效投标文件：</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仿宋_GB2312" w:hAnsi="仿宋_GB2312" w:eastAsia="仿宋_GB2312" w:cs="仿宋_GB2312"/>
          <w:b/>
          <w:bCs/>
          <w:sz w:val="21"/>
          <w:szCs w:val="21"/>
          <w:lang w:eastAsia="zh-CN"/>
        </w:rPr>
      </w:pPr>
      <w:r>
        <w:rPr>
          <w:rFonts w:hint="eastAsia" w:ascii="仿宋_GB2312" w:hAnsi="仿宋_GB2312" w:eastAsia="仿宋_GB2312" w:cs="仿宋_GB2312"/>
          <w:b/>
          <w:bCs/>
          <w:sz w:val="21"/>
          <w:szCs w:val="21"/>
        </w:rPr>
        <w:t>①★标注项</w:t>
      </w:r>
      <w:r>
        <w:rPr>
          <w:rFonts w:hint="eastAsia" w:ascii="仿宋_GB2312" w:hAnsi="仿宋_GB2312" w:eastAsia="仿宋_GB2312" w:cs="仿宋_GB2312"/>
          <w:b/>
          <w:bCs/>
          <w:sz w:val="21"/>
          <w:szCs w:val="21"/>
          <w:lang w:val="en-US" w:eastAsia="zh-CN"/>
        </w:rPr>
        <w:t>出现</w:t>
      </w:r>
      <w:r>
        <w:rPr>
          <w:rFonts w:hint="eastAsia" w:ascii="仿宋_GB2312" w:hAnsi="仿宋_GB2312" w:eastAsia="仿宋_GB2312" w:cs="仿宋_GB2312"/>
          <w:b/>
          <w:bCs/>
          <w:sz w:val="21"/>
          <w:szCs w:val="21"/>
        </w:rPr>
        <w:t>负偏离</w:t>
      </w:r>
      <w:r>
        <w:rPr>
          <w:rFonts w:hint="eastAsia" w:ascii="仿宋_GB2312" w:hAnsi="仿宋_GB2312" w:eastAsia="仿宋_GB2312" w:cs="仿宋_GB2312"/>
          <w:b/>
          <w:bCs/>
          <w:sz w:val="21"/>
          <w:szCs w:val="21"/>
          <w:lang w:val="en-US" w:eastAsia="zh-CN"/>
        </w:rPr>
        <w:t>的</w:t>
      </w:r>
      <w:r>
        <w:rPr>
          <w:rFonts w:hint="eastAsia" w:ascii="仿宋_GB2312" w:hAnsi="仿宋_GB2312" w:eastAsia="仿宋_GB2312" w:cs="仿宋_GB2312"/>
          <w:b/>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仿宋_GB2312" w:hAnsi="仿宋_GB2312" w:eastAsia="仿宋_GB2312" w:cs="仿宋_GB2312"/>
          <w:b/>
          <w:bCs/>
          <w:sz w:val="21"/>
          <w:szCs w:val="21"/>
          <w:lang w:val="en-US"/>
        </w:rPr>
      </w:pPr>
      <w:r>
        <w:rPr>
          <w:rFonts w:hint="eastAsia" w:ascii="仿宋_GB2312" w:hAnsi="仿宋_GB2312" w:eastAsia="仿宋_GB2312" w:cs="仿宋_GB2312"/>
          <w:b/>
          <w:bCs/>
          <w:sz w:val="21"/>
          <w:szCs w:val="21"/>
        </w:rPr>
        <w:t>②</w:t>
      </w:r>
      <w:r>
        <w:rPr>
          <w:rFonts w:hint="eastAsia" w:ascii="仿宋_GB2312" w:hAnsi="仿宋_GB2312" w:eastAsia="仿宋_GB2312" w:cs="仿宋_GB2312"/>
          <w:b/>
          <w:bCs/>
          <w:sz w:val="21"/>
          <w:szCs w:val="21"/>
          <w:lang w:val="en-US" w:eastAsia="zh-CN"/>
        </w:rPr>
        <w:t>投标文件响应内容未逐项填写的；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仿宋_GB2312" w:hAnsi="仿宋_GB2312" w:eastAsia="仿宋_GB2312" w:cs="仿宋_GB2312"/>
          <w:b/>
          <w:bCs/>
          <w:sz w:val="21"/>
          <w:szCs w:val="21"/>
          <w:lang w:val="en-US"/>
        </w:rPr>
      </w:pPr>
      <w:r>
        <w:rPr>
          <w:rFonts w:hint="eastAsia" w:ascii="仿宋_GB2312" w:hAnsi="仿宋_GB2312" w:eastAsia="仿宋_GB2312" w:cs="仿宋_GB2312"/>
          <w:b/>
          <w:bCs/>
          <w:sz w:val="21"/>
          <w:szCs w:val="21"/>
        </w:rPr>
        <w:t>③</w:t>
      </w:r>
      <w:r>
        <w:rPr>
          <w:rFonts w:hint="eastAsia" w:ascii="仿宋_GB2312" w:hAnsi="仿宋_GB2312" w:eastAsia="仿宋_GB2312" w:cs="仿宋_GB2312"/>
          <w:b/>
          <w:bCs/>
          <w:sz w:val="21"/>
          <w:szCs w:val="21"/>
          <w:lang w:val="en-US" w:eastAsia="zh-CN"/>
        </w:rPr>
        <w:t>所投报产品响应内容与证明资料不相符的；</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hint="eastAsia" w:ascii="仿宋_GB2312" w:hAnsi="仿宋_GB2312" w:eastAsia="仿宋_GB2312" w:cs="仿宋_GB2312"/>
          <w:b/>
          <w:bCs/>
          <w:sz w:val="21"/>
          <w:szCs w:val="21"/>
          <w:lang w:val="en-US"/>
        </w:rPr>
      </w:pPr>
      <w:r>
        <w:rPr>
          <w:rFonts w:hint="eastAsia" w:ascii="仿宋_GB2312" w:hAnsi="仿宋_GB2312" w:eastAsia="仿宋_GB2312" w:cs="仿宋_GB2312"/>
          <w:b/>
          <w:bCs/>
          <w:sz w:val="21"/>
          <w:szCs w:val="21"/>
        </w:rPr>
        <w:t>④</w:t>
      </w:r>
      <w:r>
        <w:rPr>
          <w:rFonts w:hint="eastAsia" w:ascii="仿宋_GB2312" w:hAnsi="仿宋_GB2312" w:eastAsia="仿宋_GB2312" w:cs="仿宋_GB2312"/>
          <w:b/>
          <w:bCs/>
          <w:sz w:val="21"/>
          <w:szCs w:val="21"/>
          <w:lang w:val="en-US" w:eastAsia="zh-CN"/>
        </w:rPr>
        <w:t>偏离程度表述不真实的。</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outlineLvl w:val="9"/>
        <w:rPr>
          <w:rFonts w:hint="eastAsia" w:ascii="仿宋_GB2312" w:hAnsi="仿宋_GB2312" w:eastAsia="仿宋_GB2312" w:cs="仿宋_GB2312"/>
          <w:b w:val="0"/>
          <w:szCs w:val="28"/>
        </w:rPr>
        <w:sectPr>
          <w:pgSz w:w="16838" w:h="11906" w:orient="landscape"/>
          <w:pgMar w:top="1803" w:right="1440" w:bottom="1803" w:left="1440" w:header="851" w:footer="992" w:gutter="0"/>
          <w:cols w:space="720" w:num="1"/>
          <w:docGrid w:type="linesAndChars" w:linePitch="319" w:charSpace="0"/>
        </w:sect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ind w:right="105" w:rightChars="50"/>
        <w:jc w:val="center"/>
        <w:rPr>
          <w:rFonts w:ascii="仿宋_GB2312" w:hAnsi="仿宋_GB2312" w:eastAsia="仿宋_GB2312" w:cs="仿宋_GB2312"/>
          <w:b/>
          <w:bCs/>
          <w:sz w:val="32"/>
          <w:szCs w:val="32"/>
        </w:rPr>
      </w:pPr>
      <w:bookmarkStart w:id="131" w:name="_Toc8488_WPSOffice_Level2"/>
      <w:bookmarkStart w:id="132" w:name="_Toc4431_WPSOffice_Level2"/>
      <w:r>
        <w:rPr>
          <w:rFonts w:hint="eastAsia" w:ascii="仿宋_GB2312" w:hAnsi="仿宋_GB2312" w:eastAsia="仿宋_GB2312" w:cs="仿宋_GB2312"/>
          <w:b/>
          <w:bCs/>
          <w:sz w:val="32"/>
          <w:szCs w:val="32"/>
        </w:rPr>
        <w:t>商务条款偏离表</w:t>
      </w:r>
      <w:bookmarkEnd w:id="131"/>
      <w:bookmarkEnd w:id="132"/>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3737"/>
        <w:gridCol w:w="2370"/>
        <w:gridCol w:w="92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44" w:type="dxa"/>
            <w:noWrap w:val="0"/>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737" w:type="dxa"/>
            <w:noWrap w:val="0"/>
            <w:vAlign w:val="center"/>
          </w:tcPr>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招标文件的商务条款</w:t>
            </w:r>
          </w:p>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实质性要求及重要指标用★标注，★标注项不得负偏离，如果负偏离，则投标文件无效。</w:t>
            </w:r>
            <w:r>
              <w:rPr>
                <w:rFonts w:hint="eastAsia" w:ascii="仿宋_GB2312" w:hAnsi="仿宋_GB2312" w:eastAsia="仿宋_GB2312" w:cs="仿宋_GB2312"/>
                <w:szCs w:val="21"/>
              </w:rPr>
              <w:t>）</w:t>
            </w:r>
          </w:p>
        </w:tc>
        <w:tc>
          <w:tcPr>
            <w:tcW w:w="2370" w:type="dxa"/>
            <w:noWrap w:val="0"/>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rPr>
              <w:t>投标文件响应内容</w:t>
            </w:r>
          </w:p>
        </w:tc>
        <w:tc>
          <w:tcPr>
            <w:tcW w:w="926"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936" w:type="dxa"/>
            <w:noWrap w:val="0"/>
            <w:vAlign w:val="center"/>
          </w:tcPr>
          <w:p>
            <w:pPr>
              <w:adjustRightInd w:val="0"/>
              <w:snapToGrid w:val="0"/>
              <w:ind w:left="-58"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交货时间：采购方确认订单后的每批图书，投标人须在50天内完成图书数据加工及在本馆指定馆藏地点分类排架上架工作，排架误差在１%以内。</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交货地点：投标人供货时须提前通知采购方，并负责将图书送达采购方指定地点。</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付款方式及条件：1、付款单位：营口市文化旅游和广播电视局</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2、付款方式：合同签订后，支付合同预付款30%，项目进度到50%支付至合同总价款60%，项目验收合格且无质量问题后支付剩余合同总价款40%。1、投标人的结算金额按其所报的折扣率及实际采购图书额度计算。</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2、图书折扣应包含图书加工、书标、条码、RFID标签、磁条、盖馆藏章、运输、包装、税费以及符合国家规定的相应的配套服务费用等。</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3、采购方的付款方式为转帐，以人民币结算。</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验收标准：1、根据标书要求及有关规定由采购方按照合同进行验收。</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2、打包：打包工整紧密，除无法合包的特殊情况，同种书复本应在一包，不得分包；一包内各复本应保证书脊题名方向一致。不同馆藏地点订单不得混包；各包外包装显著位置应标明供应商名称、分包馆藏地点、批次号、条码号段。</w:t>
            </w:r>
          </w:p>
          <w:p>
            <w:pPr>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3、清单：要与图书包装对应相符，做到每包内一本包明细清单、每批一总清单并随书送达，总清单须与各包内明细单一一对应。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4、图书质量：图书打包时质量须符合国家图书出版行业标准。对于拆包后发现图书有错订、破损、缺页、污损、附件不全、印刷错误等问题，及不符合采购方要求的图书，须予以退换。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验收程序：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验收报告：</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组织验收主体：本项目的履约验收工作由采购人依法组织实施。</w:t>
            </w:r>
          </w:p>
        </w:tc>
        <w:tc>
          <w:tcPr>
            <w:tcW w:w="2370"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4"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37" w:type="dxa"/>
            <w:noWrap w:val="0"/>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70" w:type="dxa"/>
            <w:noWrap w:val="0"/>
            <w:vAlign w:val="center"/>
          </w:tcPr>
          <w:p>
            <w:pPr>
              <w:adjustRightInd w:val="0"/>
              <w:snapToGrid w:val="0"/>
              <w:ind w:left="-52" w:leftChars="-25" w:right="-16" w:rightChars="-8"/>
              <w:jc w:val="left"/>
              <w:rPr>
                <w:rFonts w:ascii="仿宋_GB2312" w:hAnsi="仿宋_GB2312" w:eastAsia="仿宋_GB2312" w:cs="仿宋_GB2312"/>
                <w:szCs w:val="21"/>
              </w:rPr>
            </w:pPr>
            <w:r>
              <w:rPr>
                <w:rFonts w:hint="eastAsia" w:ascii="仿宋_GB2312" w:hAnsi="仿宋_GB2312" w:eastAsia="仿宋_GB2312" w:cs="仿宋_GB2312"/>
                <w:szCs w:val="21"/>
              </w:rPr>
              <w:t>采购单位未提供需求而投标人认为需说明及补充的内容在此填列</w:t>
            </w:r>
          </w:p>
        </w:tc>
        <w:tc>
          <w:tcPr>
            <w:tcW w:w="926"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936"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格式15</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33" w:name="_Toc20929_WPSOffice_Level2"/>
      <w:bookmarkStart w:id="134" w:name="_Toc9410_WPSOffice_Level2"/>
      <w:r>
        <w:rPr>
          <w:rFonts w:hint="eastAsia" w:ascii="仿宋_GB2312" w:hAnsi="仿宋_GB2312" w:eastAsia="仿宋_GB2312" w:cs="仿宋_GB2312"/>
          <w:b/>
          <w:bCs/>
          <w:sz w:val="32"/>
          <w:szCs w:val="32"/>
        </w:rPr>
        <w:t>投标人关联单位的说明</w:t>
      </w:r>
      <w:bookmarkEnd w:id="133"/>
      <w:bookmarkEnd w:id="134"/>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仿宋_GB2312" w:hAnsi="仿宋_GB2312" w:eastAsia="仿宋_GB2312" w:cs="仿宋_GB2312"/>
          <w:szCs w:val="21"/>
        </w:rPr>
      </w:pPr>
      <w:bookmarkStart w:id="135" w:name="_Toc2074_WPSOffice_Level2"/>
      <w:bookmarkStart w:id="136" w:name="_Toc31070_WPSOffice_Level2"/>
      <w:r>
        <w:rPr>
          <w:rFonts w:hint="eastAsia" w:ascii="仿宋_GB2312" w:hAnsi="仿宋_GB2312" w:eastAsia="仿宋_GB2312" w:cs="仿宋_GB2312"/>
          <w:szCs w:val="21"/>
        </w:rPr>
        <w:t>（1）与投标人单位法定代表人（或非法人组织负责人）为同一人的其他单位；</w:t>
      </w:r>
      <w:bookmarkEnd w:id="135"/>
      <w:bookmarkEnd w:id="136"/>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仿宋_GB2312" w:hAnsi="仿宋_GB2312" w:eastAsia="仿宋_GB2312" w:cs="仿宋_GB2312"/>
          <w:szCs w:val="21"/>
        </w:rPr>
      </w:pPr>
      <w:bookmarkStart w:id="137" w:name="_Toc27053_WPSOffice_Level2"/>
      <w:bookmarkStart w:id="138" w:name="_Toc889_WPSOffice_Level2"/>
      <w:r>
        <w:rPr>
          <w:rFonts w:hint="eastAsia" w:ascii="仿宋_GB2312" w:hAnsi="仿宋_GB2312" w:eastAsia="仿宋_GB2312" w:cs="仿宋_GB2312"/>
          <w:szCs w:val="21"/>
        </w:rPr>
        <w:t>（2）与投标人存在直接控股、管理关系的其他单位。</w:t>
      </w:r>
      <w:bookmarkEnd w:id="137"/>
      <w:bookmarkEnd w:id="138"/>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hint="default" w:ascii="仿宋_GB2312" w:hAnsi="仿宋_GB2312" w:eastAsia="仿宋_GB2312" w:cs="仿宋_GB2312"/>
          <w:b/>
          <w:bCs/>
          <w:szCs w:val="21"/>
          <w:lang w:val="en-US"/>
        </w:rPr>
      </w:pPr>
      <w:r>
        <w:rPr>
          <w:rFonts w:hint="eastAsia" w:ascii="仿宋_GB2312" w:hAnsi="仿宋_GB2312" w:eastAsia="仿宋_GB2312" w:cs="仿宋_GB2312"/>
          <w:b/>
          <w:bCs/>
          <w:szCs w:val="21"/>
        </w:rPr>
        <w:t>注：</w:t>
      </w:r>
      <w:r>
        <w:rPr>
          <w:rFonts w:hint="eastAsia" w:ascii="仿宋_GB2312" w:hAnsi="仿宋_GB2312" w:eastAsia="仿宋_GB2312" w:cs="仿宋_GB2312"/>
          <w:b/>
          <w:bCs/>
          <w:szCs w:val="21"/>
          <w:lang w:val="en-US" w:eastAsia="zh-CN"/>
        </w:rPr>
        <w:t>1.此说明必须提供，未提供视为无效投标；</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840" w:firstLineChars="400"/>
        <w:jc w:val="left"/>
        <w:textAlignment w:val="auto"/>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w:t>
      </w:r>
      <w:r>
        <w:rPr>
          <w:rFonts w:hint="eastAsia" w:ascii="仿宋_GB2312" w:hAnsi="仿宋_GB2312" w:eastAsia="仿宋_GB2312" w:cs="仿宋_GB2312"/>
          <w:b/>
          <w:bCs/>
          <w:szCs w:val="21"/>
        </w:rPr>
        <w:t>若无此情形，写“无”即可</w:t>
      </w:r>
      <w:r>
        <w:rPr>
          <w:rFonts w:hint="eastAsia" w:ascii="仿宋_GB2312" w:hAnsi="仿宋_GB2312" w:eastAsia="仿宋_GB2312" w:cs="仿宋_GB2312"/>
          <w:b/>
          <w:bCs/>
          <w:szCs w:val="21"/>
          <w:lang w:val="en-US" w:eastAsia="zh-CN"/>
        </w:rPr>
        <w:t>。</w:t>
      </w:r>
    </w:p>
    <w:p>
      <w:pPr>
        <w:adjustRightInd w:val="0"/>
        <w:snapToGrid w:val="0"/>
        <w:spacing w:line="360" w:lineRule="auto"/>
        <w:ind w:right="105" w:rightChars="50" w:firstLine="476" w:firstLineChars="227"/>
        <w:jc w:val="left"/>
        <w:rPr>
          <w:rFonts w:hint="default" w:ascii="仿宋_GB2312" w:hAnsi="仿宋_GB2312" w:eastAsia="仿宋_GB2312" w:cs="仿宋_GB2312"/>
          <w:szCs w:val="21"/>
          <w:lang w:val="en-US" w:eastAsia="zh-CN"/>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9" w:beforeLines="100" w:after="319" w:afterLines="100" w:line="360" w:lineRule="auto"/>
        <w:ind w:firstLine="640" w:firstLineChars="200"/>
        <w:jc w:val="center"/>
        <w:rPr>
          <w:rFonts w:ascii="仿宋_GB2312" w:hAnsi="仿宋_GB2312" w:eastAsia="仿宋_GB2312" w:cs="仿宋_GB2312"/>
          <w:b/>
          <w:bCs/>
          <w:sz w:val="32"/>
          <w:szCs w:val="32"/>
        </w:rPr>
      </w:pPr>
      <w:bookmarkStart w:id="139" w:name="_Toc13329_WPSOffice_Level2"/>
      <w:bookmarkStart w:id="140" w:name="_Toc6847_WPSOffice_Level2"/>
      <w:r>
        <w:rPr>
          <w:rFonts w:hint="eastAsia" w:ascii="仿宋_GB2312" w:hAnsi="仿宋_GB2312" w:eastAsia="仿宋_GB2312" w:cs="仿宋_GB2312"/>
          <w:b/>
          <w:bCs/>
          <w:sz w:val="32"/>
          <w:szCs w:val="32"/>
        </w:rPr>
        <w:t>进口产品制造厂家的授权书</w:t>
      </w:r>
      <w:bookmarkEnd w:id="139"/>
      <w:bookmarkEnd w:id="140"/>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color w:val="auto"/>
          <w:sz w:val="32"/>
          <w:szCs w:val="32"/>
        </w:rPr>
      </w:pPr>
      <w:bookmarkStart w:id="141" w:name="_Toc19164_WPSOffice_Level2"/>
      <w:bookmarkStart w:id="142" w:name="_Toc4541_WPSOffice_Level2"/>
      <w:r>
        <w:rPr>
          <w:rFonts w:hint="eastAsia" w:ascii="仿宋_GB2312" w:hAnsi="仿宋_GB2312" w:eastAsia="仿宋_GB2312" w:cs="仿宋_GB2312"/>
          <w:b/>
          <w:bCs/>
          <w:color w:val="auto"/>
          <w:sz w:val="32"/>
          <w:szCs w:val="32"/>
        </w:rPr>
        <w:t>中小企业声明函</w:t>
      </w:r>
      <w:bookmarkEnd w:id="141"/>
      <w:bookmarkEnd w:id="142"/>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b w:val="0"/>
          <w:bCs w:val="0"/>
          <w:i w:val="0"/>
          <w:i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b w:val="0"/>
          <w:bCs w:val="0"/>
          <w:i w:val="0"/>
          <w:iCs w:val="0"/>
          <w:color w:val="auto"/>
          <w:sz w:val="21"/>
          <w:szCs w:val="21"/>
          <w:u w:val="single"/>
          <w:lang w:val="en-US" w:eastAsia="zh-CN"/>
        </w:rPr>
        <w:t>（单位名称）</w:t>
      </w:r>
      <w:r>
        <w:rPr>
          <w:rFonts w:hint="eastAsia" w:ascii="仿宋_GB2312" w:hAnsi="仿宋_GB2312" w:eastAsia="仿宋_GB2312" w:cs="仿宋_GB2312"/>
          <w:b w:val="0"/>
          <w:bCs w:val="0"/>
          <w:i w:val="0"/>
          <w:iCs w:val="0"/>
          <w:color w:val="auto"/>
          <w:sz w:val="21"/>
          <w:szCs w:val="21"/>
          <w:lang w:val="en-US" w:eastAsia="zh-CN"/>
        </w:rPr>
        <w:t>的</w:t>
      </w:r>
      <w:r>
        <w:rPr>
          <w:rFonts w:hint="eastAsia" w:ascii="仿宋_GB2312" w:hAnsi="仿宋_GB2312" w:eastAsia="仿宋_GB2312" w:cs="仿宋_GB2312"/>
          <w:b w:val="0"/>
          <w:bCs w:val="0"/>
          <w:i w:val="0"/>
          <w:iCs w:val="0"/>
          <w:color w:val="auto"/>
          <w:sz w:val="21"/>
          <w:szCs w:val="21"/>
          <w:u w:val="single"/>
          <w:lang w:val="en-US" w:eastAsia="zh-CN"/>
        </w:rPr>
        <w:t>（项目名称）</w:t>
      </w:r>
      <w:r>
        <w:rPr>
          <w:rFonts w:hint="eastAsia" w:ascii="仿宋_GB2312" w:hAnsi="仿宋_GB2312" w:eastAsia="仿宋_GB2312" w:cs="仿宋_GB2312"/>
          <w:b w:val="0"/>
          <w:bCs w:val="0"/>
          <w:i w:val="0"/>
          <w:iCs w:val="0"/>
          <w:color w:val="auto"/>
          <w:sz w:val="21"/>
          <w:szCs w:val="21"/>
          <w:lang w:val="en-US" w:eastAsia="zh-CN"/>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hint="eastAsia" w:ascii="仿宋_GB2312" w:hAnsi="仿宋_GB2312" w:eastAsia="仿宋_GB2312" w:cs="仿宋_GB2312"/>
          <w:b w:val="0"/>
          <w:bCs w:val="0"/>
          <w:i w:val="0"/>
          <w:iCs w:val="0"/>
          <w:color w:val="auto"/>
          <w:sz w:val="21"/>
          <w:szCs w:val="21"/>
          <w:lang w:val="en-US"/>
        </w:rPr>
      </w:pPr>
      <w:r>
        <w:rPr>
          <w:rFonts w:hint="eastAsia" w:ascii="仿宋_GB2312" w:hAnsi="仿宋_GB2312" w:eastAsia="仿宋_GB2312" w:cs="仿宋_GB2312"/>
          <w:b w:val="0"/>
          <w:bCs w:val="0"/>
          <w:i w:val="0"/>
          <w:iCs w:val="0"/>
          <w:color w:val="auto"/>
          <w:sz w:val="21"/>
          <w:szCs w:val="21"/>
          <w:lang w:val="en-US" w:eastAsia="zh-CN"/>
        </w:rPr>
        <w:t>  1.</w:t>
      </w:r>
      <w:r>
        <w:rPr>
          <w:rFonts w:hint="eastAsia" w:ascii="仿宋_GB2312" w:hAnsi="仿宋_GB2312" w:eastAsia="仿宋_GB2312" w:cs="仿宋_GB2312"/>
          <w:b w:val="0"/>
          <w:bCs w:val="0"/>
          <w:i w:val="0"/>
          <w:iCs w:val="0"/>
          <w:color w:val="auto"/>
          <w:sz w:val="21"/>
          <w:szCs w:val="21"/>
          <w:u w:val="single"/>
          <w:lang w:val="en-US" w:eastAsia="zh-CN"/>
        </w:rPr>
        <w:t>（标的名称）</w:t>
      </w:r>
      <w:r>
        <w:rPr>
          <w:rFonts w:hint="eastAsia" w:ascii="仿宋_GB2312" w:hAnsi="仿宋_GB2312" w:eastAsia="仿宋_GB2312" w:cs="仿宋_GB2312"/>
          <w:b w:val="0"/>
          <w:bCs w:val="0"/>
          <w:i w:val="0"/>
          <w:iCs w:val="0"/>
          <w:color w:val="auto"/>
          <w:sz w:val="21"/>
          <w:szCs w:val="21"/>
          <w:lang w:val="en-US" w:eastAsia="zh-CN"/>
        </w:rPr>
        <w:t>，属于</w:t>
      </w:r>
      <w:r>
        <w:rPr>
          <w:rFonts w:hint="eastAsia" w:ascii="仿宋_GB2312" w:hAnsi="仿宋_GB2312" w:eastAsia="仿宋_GB2312" w:cs="仿宋_GB2312"/>
          <w:b w:val="0"/>
          <w:bCs w:val="0"/>
          <w:i w:val="0"/>
          <w:iCs w:val="0"/>
          <w:color w:val="auto"/>
          <w:sz w:val="21"/>
          <w:szCs w:val="21"/>
          <w:u w:val="single"/>
          <w:lang w:val="en-US" w:eastAsia="zh-CN"/>
        </w:rPr>
        <w:t>（采购文件中明确的所属行业）</w:t>
      </w:r>
      <w:r>
        <w:rPr>
          <w:rFonts w:hint="eastAsia" w:ascii="仿宋_GB2312" w:hAnsi="仿宋_GB2312" w:eastAsia="仿宋_GB2312" w:cs="仿宋_GB2312"/>
          <w:b w:val="0"/>
          <w:bCs w:val="0"/>
          <w:i w:val="0"/>
          <w:iCs w:val="0"/>
          <w:color w:val="auto"/>
          <w:sz w:val="21"/>
          <w:szCs w:val="21"/>
          <w:lang w:val="en-US" w:eastAsia="zh-CN"/>
        </w:rPr>
        <w:t>行业；所投产品制造商为</w:t>
      </w:r>
      <w:r>
        <w:rPr>
          <w:rFonts w:hint="eastAsia" w:ascii="仿宋_GB2312" w:hAnsi="仿宋_GB2312" w:eastAsia="仿宋_GB2312" w:cs="仿宋_GB2312"/>
          <w:b w:val="0"/>
          <w:bCs w:val="0"/>
          <w:i w:val="0"/>
          <w:iCs w:val="0"/>
          <w:color w:val="auto"/>
          <w:sz w:val="21"/>
          <w:szCs w:val="21"/>
          <w:u w:val="single"/>
          <w:lang w:val="en-US" w:eastAsia="zh-CN"/>
        </w:rPr>
        <w:t>（企业名称）</w:t>
      </w:r>
      <w:r>
        <w:rPr>
          <w:rFonts w:hint="eastAsia" w:ascii="仿宋_GB2312" w:hAnsi="仿宋_GB2312" w:eastAsia="仿宋_GB2312" w:cs="仿宋_GB2312"/>
          <w:b w:val="0"/>
          <w:bCs w:val="0"/>
          <w:i w:val="0"/>
          <w:iCs w:val="0"/>
          <w:color w:val="auto"/>
          <w:sz w:val="21"/>
          <w:szCs w:val="21"/>
          <w:lang w:val="en-US" w:eastAsia="zh-CN"/>
        </w:rPr>
        <w:t>，从业人员</w:t>
      </w:r>
      <w:r>
        <w:rPr>
          <w:rFonts w:hint="eastAsia" w:ascii="仿宋_GB2312" w:hAnsi="仿宋_GB2312" w:eastAsia="仿宋_GB2312" w:cs="仿宋_GB2312"/>
          <w:b w:val="0"/>
          <w:bCs w:val="0"/>
          <w:i w:val="0"/>
          <w:iCs w:val="0"/>
          <w:color w:val="auto"/>
          <w:sz w:val="21"/>
          <w:szCs w:val="21"/>
          <w:u w:val="single"/>
          <w:lang w:val="en-US" w:eastAsia="zh-CN"/>
        </w:rPr>
        <w:t>     </w:t>
      </w:r>
      <w:r>
        <w:rPr>
          <w:rFonts w:hint="eastAsia" w:ascii="仿宋_GB2312" w:hAnsi="仿宋_GB2312" w:eastAsia="仿宋_GB2312" w:cs="仿宋_GB2312"/>
          <w:b w:val="0"/>
          <w:bCs w:val="0"/>
          <w:i w:val="0"/>
          <w:iCs w:val="0"/>
          <w:color w:val="auto"/>
          <w:sz w:val="21"/>
          <w:szCs w:val="21"/>
          <w:lang w:val="en-US" w:eastAsia="zh-CN"/>
        </w:rPr>
        <w:t>人，营业收入为</w:t>
      </w:r>
      <w:r>
        <w:rPr>
          <w:rFonts w:hint="eastAsia" w:ascii="仿宋_GB2312" w:hAnsi="仿宋_GB2312" w:eastAsia="仿宋_GB2312" w:cs="仿宋_GB2312"/>
          <w:b w:val="0"/>
          <w:bCs w:val="0"/>
          <w:i w:val="0"/>
          <w:iCs w:val="0"/>
          <w:color w:val="auto"/>
          <w:sz w:val="21"/>
          <w:szCs w:val="21"/>
          <w:u w:val="single"/>
          <w:lang w:val="en-US" w:eastAsia="zh-CN"/>
        </w:rPr>
        <w:t xml:space="preserve">     </w:t>
      </w:r>
      <w:r>
        <w:rPr>
          <w:rFonts w:hint="eastAsia" w:ascii="仿宋_GB2312" w:hAnsi="仿宋_GB2312" w:eastAsia="仿宋_GB2312" w:cs="仿宋_GB2312"/>
          <w:b w:val="0"/>
          <w:bCs w:val="0"/>
          <w:i w:val="0"/>
          <w:iCs w:val="0"/>
          <w:color w:val="auto"/>
          <w:sz w:val="21"/>
          <w:szCs w:val="21"/>
          <w:lang w:val="en-US" w:eastAsia="zh-CN"/>
        </w:rPr>
        <w:t>万元，资产总额为</w:t>
      </w:r>
      <w:r>
        <w:rPr>
          <w:rFonts w:hint="eastAsia" w:ascii="仿宋_GB2312" w:hAnsi="仿宋_GB2312" w:eastAsia="仿宋_GB2312" w:cs="仿宋_GB2312"/>
          <w:b w:val="0"/>
          <w:bCs w:val="0"/>
          <w:i w:val="0"/>
          <w:iCs w:val="0"/>
          <w:color w:val="auto"/>
          <w:sz w:val="21"/>
          <w:szCs w:val="21"/>
          <w:u w:val="single"/>
          <w:lang w:val="en-US" w:eastAsia="zh-CN"/>
        </w:rPr>
        <w:t>      </w:t>
      </w:r>
      <w:r>
        <w:rPr>
          <w:rFonts w:hint="eastAsia" w:ascii="仿宋_GB2312" w:hAnsi="仿宋_GB2312" w:eastAsia="仿宋_GB2312" w:cs="仿宋_GB2312"/>
          <w:b w:val="0"/>
          <w:bCs w:val="0"/>
          <w:i w:val="0"/>
          <w:iCs w:val="0"/>
          <w:color w:val="auto"/>
          <w:sz w:val="21"/>
          <w:szCs w:val="21"/>
          <w:lang w:val="en-US" w:eastAsia="zh-CN"/>
        </w:rPr>
        <w:t xml:space="preserve">万元，属于（中型企业、小型企业、微型企业）； </w:t>
      </w:r>
    </w:p>
    <w:p>
      <w:pPr>
        <w:spacing w:line="360" w:lineRule="auto"/>
        <w:ind w:firstLine="420" w:firstLineChars="200"/>
        <w:rPr>
          <w:rFonts w:hint="eastAsia" w:ascii="仿宋_GB2312" w:hAnsi="仿宋_GB2312" w:eastAsia="仿宋_GB2312" w:cs="仿宋_GB2312"/>
          <w:b w:val="0"/>
          <w:bCs w:val="0"/>
          <w:i w:val="0"/>
          <w:iCs w:val="0"/>
          <w:color w:val="auto"/>
          <w:sz w:val="21"/>
          <w:szCs w:val="21"/>
          <w:lang w:val="en-US"/>
        </w:rPr>
      </w:pPr>
      <w:r>
        <w:rPr>
          <w:rFonts w:hint="eastAsia" w:ascii="仿宋_GB2312" w:hAnsi="仿宋_GB2312" w:eastAsia="仿宋_GB2312" w:cs="仿宋_GB2312"/>
          <w:b w:val="0"/>
          <w:bCs w:val="0"/>
          <w:i w:val="0"/>
          <w:iCs w:val="0"/>
          <w:color w:val="auto"/>
          <w:sz w:val="21"/>
          <w:szCs w:val="21"/>
          <w:lang w:val="en-US" w:eastAsia="zh-CN"/>
        </w:rPr>
        <w:t>  2.</w:t>
      </w:r>
      <w:r>
        <w:rPr>
          <w:rFonts w:hint="eastAsia" w:ascii="仿宋_GB2312" w:hAnsi="仿宋_GB2312" w:eastAsia="仿宋_GB2312" w:cs="仿宋_GB2312"/>
          <w:b w:val="0"/>
          <w:bCs w:val="0"/>
          <w:i w:val="0"/>
          <w:iCs w:val="0"/>
          <w:color w:val="auto"/>
          <w:sz w:val="21"/>
          <w:szCs w:val="21"/>
          <w:u w:val="single"/>
          <w:lang w:val="en-US" w:eastAsia="zh-CN"/>
        </w:rPr>
        <w:t>（标的名称）</w:t>
      </w:r>
      <w:r>
        <w:rPr>
          <w:rFonts w:hint="eastAsia" w:ascii="仿宋_GB2312" w:hAnsi="仿宋_GB2312" w:eastAsia="仿宋_GB2312" w:cs="仿宋_GB2312"/>
          <w:b w:val="0"/>
          <w:bCs w:val="0"/>
          <w:i w:val="0"/>
          <w:iCs w:val="0"/>
          <w:color w:val="auto"/>
          <w:sz w:val="21"/>
          <w:szCs w:val="21"/>
          <w:lang w:val="en-US" w:eastAsia="zh-CN"/>
        </w:rPr>
        <w:t xml:space="preserve"> ，属于</w:t>
      </w:r>
      <w:r>
        <w:rPr>
          <w:rFonts w:hint="eastAsia" w:ascii="仿宋_GB2312" w:hAnsi="仿宋_GB2312" w:eastAsia="仿宋_GB2312" w:cs="仿宋_GB2312"/>
          <w:b w:val="0"/>
          <w:bCs w:val="0"/>
          <w:i w:val="0"/>
          <w:iCs w:val="0"/>
          <w:color w:val="auto"/>
          <w:sz w:val="21"/>
          <w:szCs w:val="21"/>
          <w:u w:val="single"/>
          <w:lang w:val="en-US" w:eastAsia="zh-CN"/>
        </w:rPr>
        <w:t>（采购文件中明确的所属行业）</w:t>
      </w:r>
      <w:r>
        <w:rPr>
          <w:rFonts w:hint="eastAsia" w:ascii="仿宋_GB2312" w:hAnsi="仿宋_GB2312" w:eastAsia="仿宋_GB2312" w:cs="仿宋_GB2312"/>
          <w:b w:val="0"/>
          <w:bCs w:val="0"/>
          <w:i w:val="0"/>
          <w:iCs w:val="0"/>
          <w:color w:val="auto"/>
          <w:sz w:val="21"/>
          <w:szCs w:val="21"/>
          <w:lang w:val="en-US" w:eastAsia="zh-CN"/>
        </w:rPr>
        <w:t>行业；所投产品制造商为</w:t>
      </w:r>
      <w:r>
        <w:rPr>
          <w:rFonts w:hint="eastAsia" w:ascii="仿宋_GB2312" w:hAnsi="仿宋_GB2312" w:eastAsia="仿宋_GB2312" w:cs="仿宋_GB2312"/>
          <w:b w:val="0"/>
          <w:bCs w:val="0"/>
          <w:i w:val="0"/>
          <w:iCs w:val="0"/>
          <w:color w:val="auto"/>
          <w:sz w:val="21"/>
          <w:szCs w:val="21"/>
          <w:u w:val="single"/>
          <w:lang w:val="en-US" w:eastAsia="zh-CN"/>
        </w:rPr>
        <w:t>（企业名称）</w:t>
      </w:r>
      <w:r>
        <w:rPr>
          <w:rFonts w:hint="eastAsia" w:ascii="仿宋_GB2312" w:hAnsi="仿宋_GB2312" w:eastAsia="仿宋_GB2312" w:cs="仿宋_GB2312"/>
          <w:b w:val="0"/>
          <w:bCs w:val="0"/>
          <w:i w:val="0"/>
          <w:iCs w:val="0"/>
          <w:color w:val="auto"/>
          <w:sz w:val="21"/>
          <w:szCs w:val="21"/>
          <w:lang w:val="en-US" w:eastAsia="zh-CN"/>
        </w:rPr>
        <w:t>，从业人员</w:t>
      </w:r>
      <w:r>
        <w:rPr>
          <w:rFonts w:hint="eastAsia" w:ascii="仿宋_GB2312" w:hAnsi="仿宋_GB2312" w:eastAsia="仿宋_GB2312" w:cs="仿宋_GB2312"/>
          <w:b w:val="0"/>
          <w:bCs w:val="0"/>
          <w:i w:val="0"/>
          <w:iCs w:val="0"/>
          <w:color w:val="auto"/>
          <w:sz w:val="21"/>
          <w:szCs w:val="21"/>
          <w:u w:val="single"/>
          <w:lang w:val="en-US" w:eastAsia="zh-CN"/>
        </w:rPr>
        <w:t>      </w:t>
      </w:r>
      <w:r>
        <w:rPr>
          <w:rFonts w:hint="eastAsia" w:ascii="仿宋_GB2312" w:hAnsi="仿宋_GB2312" w:eastAsia="仿宋_GB2312" w:cs="仿宋_GB2312"/>
          <w:b w:val="0"/>
          <w:bCs w:val="0"/>
          <w:i w:val="0"/>
          <w:iCs w:val="0"/>
          <w:color w:val="auto"/>
          <w:sz w:val="21"/>
          <w:szCs w:val="21"/>
          <w:lang w:val="en-US" w:eastAsia="zh-CN"/>
        </w:rPr>
        <w:t>人，营业收入为</w:t>
      </w:r>
      <w:r>
        <w:rPr>
          <w:rFonts w:hint="eastAsia" w:ascii="仿宋_GB2312" w:hAnsi="仿宋_GB2312" w:eastAsia="仿宋_GB2312" w:cs="仿宋_GB2312"/>
          <w:b w:val="0"/>
          <w:bCs w:val="0"/>
          <w:i w:val="0"/>
          <w:iCs w:val="0"/>
          <w:color w:val="auto"/>
          <w:sz w:val="21"/>
          <w:szCs w:val="21"/>
          <w:u w:val="single"/>
          <w:lang w:val="en-US" w:eastAsia="zh-CN"/>
        </w:rPr>
        <w:t xml:space="preserve">        </w:t>
      </w:r>
      <w:r>
        <w:rPr>
          <w:rFonts w:hint="eastAsia" w:ascii="仿宋_GB2312" w:hAnsi="仿宋_GB2312" w:eastAsia="仿宋_GB2312" w:cs="仿宋_GB2312"/>
          <w:b w:val="0"/>
          <w:bCs w:val="0"/>
          <w:i w:val="0"/>
          <w:iCs w:val="0"/>
          <w:color w:val="auto"/>
          <w:sz w:val="21"/>
          <w:szCs w:val="21"/>
          <w:lang w:val="en-US" w:eastAsia="zh-CN"/>
        </w:rPr>
        <w:t>万元，资产总额为</w:t>
      </w:r>
      <w:r>
        <w:rPr>
          <w:rFonts w:hint="eastAsia" w:ascii="仿宋_GB2312" w:hAnsi="仿宋_GB2312" w:eastAsia="仿宋_GB2312" w:cs="仿宋_GB2312"/>
          <w:b w:val="0"/>
          <w:bCs w:val="0"/>
          <w:i w:val="0"/>
          <w:iCs w:val="0"/>
          <w:color w:val="auto"/>
          <w:sz w:val="21"/>
          <w:szCs w:val="21"/>
          <w:u w:val="single"/>
          <w:lang w:val="en-US" w:eastAsia="zh-CN"/>
        </w:rPr>
        <w:t xml:space="preserve">     </w:t>
      </w:r>
      <w:r>
        <w:rPr>
          <w:rFonts w:hint="eastAsia" w:ascii="仿宋_GB2312" w:hAnsi="仿宋_GB2312" w:eastAsia="仿宋_GB2312" w:cs="仿宋_GB2312"/>
          <w:b w:val="0"/>
          <w:bCs w:val="0"/>
          <w:i w:val="0"/>
          <w:iCs w:val="0"/>
          <w:color w:val="auto"/>
          <w:sz w:val="21"/>
          <w:szCs w:val="21"/>
          <w:lang w:val="en-US" w:eastAsia="zh-CN"/>
        </w:rPr>
        <w:t>万元，属于</w:t>
      </w:r>
      <w:r>
        <w:rPr>
          <w:rFonts w:hint="eastAsia" w:ascii="仿宋_GB2312" w:hAnsi="仿宋_GB2312" w:eastAsia="仿宋_GB2312" w:cs="仿宋_GB2312"/>
          <w:b w:val="0"/>
          <w:bCs w:val="0"/>
          <w:i w:val="0"/>
          <w:iCs w:val="0"/>
          <w:color w:val="auto"/>
          <w:sz w:val="21"/>
          <w:szCs w:val="21"/>
          <w:u w:val="single"/>
          <w:lang w:val="en-US" w:eastAsia="zh-CN"/>
        </w:rPr>
        <w:t>（中型企业、小型企业、微型企业）</w:t>
      </w:r>
      <w:r>
        <w:rPr>
          <w:rFonts w:hint="eastAsia" w:ascii="仿宋_GB2312" w:hAnsi="仿宋_GB2312" w:eastAsia="仿宋_GB2312" w:cs="仿宋_GB2312"/>
          <w:b w:val="0"/>
          <w:bCs w:val="0"/>
          <w:i w:val="0"/>
          <w:iCs w:val="0"/>
          <w:color w:val="auto"/>
          <w:sz w:val="21"/>
          <w:szCs w:val="21"/>
          <w:lang w:val="en-US" w:eastAsia="zh-CN"/>
        </w:rPr>
        <w:t xml:space="preserve">； </w:t>
      </w:r>
    </w:p>
    <w:p>
      <w:pPr>
        <w:spacing w:line="360" w:lineRule="auto"/>
        <w:ind w:firstLine="420" w:firstLineChars="200"/>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 xml:space="preserve">      …… </w:t>
      </w:r>
    </w:p>
    <w:p>
      <w:pPr>
        <w:spacing w:line="360" w:lineRule="auto"/>
        <w:ind w:firstLine="420" w:firstLineChars="200"/>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 xml:space="preserve">     以上企业，不属于大企业的分支机构，不存在控股股东为大企业的情形，也不存在与大企业的负责人为同一人的情形。</w:t>
      </w:r>
    </w:p>
    <w:p>
      <w:pPr>
        <w:spacing w:line="360" w:lineRule="auto"/>
        <w:ind w:firstLine="420" w:firstLineChars="200"/>
        <w:rPr>
          <w:rFonts w:hint="eastAsia" w:ascii="仿宋_GB2312" w:hAnsi="仿宋_GB2312" w:eastAsia="仿宋_GB2312" w:cs="仿宋_GB2312"/>
          <w:b w:val="0"/>
          <w:bCs w:val="0"/>
          <w:color w:val="auto"/>
          <w:sz w:val="21"/>
          <w:szCs w:val="21"/>
          <w:lang w:val="en-US" w:eastAsia="zh-CN"/>
        </w:rPr>
      </w:pPr>
      <w:r>
        <w:rPr>
          <w:rFonts w:hint="eastAsia" w:ascii="仿宋_GB2312" w:hAnsi="仿宋_GB2312" w:eastAsia="仿宋_GB2312" w:cs="仿宋_GB2312"/>
          <w:b w:val="0"/>
          <w:bCs w:val="0"/>
          <w:color w:val="auto"/>
          <w:sz w:val="21"/>
          <w:szCs w:val="21"/>
          <w:lang w:val="en-US" w:eastAsia="zh-CN"/>
        </w:rPr>
        <w:t>本企业对上述声明内容的真实性负责。如有虚假，将依 法承担相应责任。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仿宋_GB2312" w:hAnsi="仿宋_GB2312" w:eastAsia="仿宋_GB2312" w:cs="仿宋_GB2312"/>
          <w:b w:val="0"/>
          <w:bCs w:val="0"/>
          <w:color w:val="auto"/>
          <w:sz w:val="21"/>
          <w:szCs w:val="21"/>
          <w:lang w:val="en-US"/>
        </w:rPr>
      </w:pPr>
      <w:r>
        <w:rPr>
          <w:rFonts w:hint="eastAsia" w:ascii="仿宋_GB2312" w:hAnsi="仿宋_GB2312" w:eastAsia="仿宋_GB2312" w:cs="仿宋_GB2312"/>
          <w:b w:val="0"/>
          <w:bCs w:val="0"/>
          <w:color w:val="auto"/>
          <w:sz w:val="21"/>
          <w:szCs w:val="21"/>
          <w:lang w:val="en-US" w:eastAsia="zh-CN"/>
        </w:rPr>
        <w:t>日 期：</w:t>
      </w:r>
      <w:r>
        <w:rPr>
          <w:rFonts w:hint="eastAsia" w:ascii="仿宋_GB2312" w:hAnsi="仿宋_GB2312" w:eastAsia="仿宋_GB2312" w:cs="仿宋_GB2312"/>
          <w:b w:val="0"/>
          <w:bCs w:val="0"/>
          <w:color w:val="auto"/>
          <w:sz w:val="21"/>
          <w:szCs w:val="21"/>
          <w:u w:val="single"/>
          <w:lang w:val="en-US" w:eastAsia="zh-CN"/>
        </w:rPr>
        <w:t xml:space="preserve">                 </w:t>
      </w:r>
    </w:p>
    <w:p>
      <w:pPr>
        <w:spacing w:line="360" w:lineRule="auto"/>
        <w:jc w:val="left"/>
        <w:rPr>
          <w:rFonts w:hint="eastAsia" w:ascii="仿宋_GB2312" w:hAnsi="仿宋_GB2312" w:eastAsia="仿宋_GB2312" w:cs="仿宋_GB2312"/>
          <w:b w:val="0"/>
          <w:bCs w:val="0"/>
          <w:color w:val="auto"/>
          <w:sz w:val="21"/>
          <w:szCs w:val="21"/>
          <w:lang w:val="en-US" w:eastAsia="zh-CN"/>
        </w:rPr>
      </w:pPr>
    </w:p>
    <w:p>
      <w:pPr>
        <w:spacing w:line="360" w:lineRule="auto"/>
        <w:jc w:val="left"/>
        <w:rPr>
          <w:rFonts w:hint="eastAsia" w:ascii="仿宋_GB2312" w:hAnsi="仿宋_GB2312" w:eastAsia="仿宋_GB2312" w:cs="仿宋_GB2312"/>
          <w:b w:val="0"/>
          <w:bCs w:val="0"/>
          <w:color w:val="auto"/>
          <w:sz w:val="21"/>
          <w:szCs w:val="21"/>
          <w:lang w:val="en-US" w:eastAsia="zh-CN"/>
        </w:rPr>
      </w:pPr>
    </w:p>
    <w:p>
      <w:pPr>
        <w:spacing w:line="360" w:lineRule="auto"/>
        <w:rPr>
          <w:rFonts w:hint="eastAsia" w:ascii="仿宋_GB2312" w:hAnsi="仿宋_GB2312" w:eastAsia="仿宋_GB2312" w:cs="仿宋_GB2312"/>
          <w:b w:val="0"/>
          <w:bCs w:val="0"/>
          <w:color w:val="auto"/>
          <w:sz w:val="21"/>
          <w:szCs w:val="21"/>
          <w:lang w:val="en-US" w:eastAsia="zh-CN"/>
        </w:rPr>
      </w:pPr>
    </w:p>
    <w:p>
      <w:pPr>
        <w:spacing w:line="360" w:lineRule="auto"/>
        <w:rPr>
          <w:rFonts w:hint="eastAsia" w:ascii="仿宋_GB2312" w:hAnsi="仿宋_GB2312" w:eastAsia="仿宋_GB2312" w:cs="仿宋_GB2312"/>
          <w:b w:val="0"/>
          <w:bCs w:val="0"/>
          <w:color w:val="auto"/>
          <w:sz w:val="21"/>
          <w:szCs w:val="21"/>
          <w:lang w:val="en-US" w:eastAsia="zh-CN"/>
        </w:rPr>
      </w:pPr>
    </w:p>
    <w:p>
      <w:pPr>
        <w:spacing w:line="360" w:lineRule="auto"/>
        <w:rPr>
          <w:rFonts w:hint="eastAsia" w:ascii="仿宋_GB2312" w:hAnsi="仿宋_GB2312" w:eastAsia="仿宋_GB2312" w:cs="仿宋_GB2312"/>
          <w:b w:val="0"/>
          <w:bCs w:val="0"/>
          <w:color w:val="auto"/>
          <w:sz w:val="21"/>
          <w:szCs w:val="21"/>
          <w:lang w:val="en-US" w:eastAsia="zh-CN"/>
        </w:rPr>
      </w:pPr>
    </w:p>
    <w:p>
      <w:pPr>
        <w:spacing w:line="360" w:lineRule="auto"/>
        <w:rPr>
          <w:rFonts w:hint="eastAsia" w:ascii="仿宋_GB2312" w:hAnsi="仿宋_GB2312" w:eastAsia="仿宋_GB2312" w:cs="仿宋_GB2312"/>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sz w:val="21"/>
          <w:szCs w:val="21"/>
          <w:lang w:val="en-US" w:eastAsia="zh-CN"/>
        </w:rPr>
        <w:t>注：1从业人员、营业收入、资产总额填报上一年度数据，无上一年度数据的新成立企业可不填报。</w:t>
      </w:r>
    </w:p>
    <w:p>
      <w:pPr>
        <w:pStyle w:val="3"/>
        <w:adjustRightInd w:val="0"/>
        <w:snapToGrid w:val="0"/>
        <w:spacing w:before="0" w:after="0" w:line="240" w:lineRule="auto"/>
        <w:jc w:val="left"/>
        <w:rPr>
          <w:rFonts w:hint="eastAsia" w:ascii="仿宋_GB2312" w:hAnsi="仿宋_GB2312" w:eastAsia="仿宋_GB2312" w:cs="仿宋_GB2312"/>
          <w:szCs w:val="28"/>
          <w:lang w:eastAsia="zh-CN"/>
        </w:rPr>
      </w:pPr>
      <w:r>
        <w:rPr>
          <w:rFonts w:hint="eastAsia" w:ascii="仿宋_GB2312" w:hAnsi="仿宋_GB2312" w:eastAsia="仿宋_GB2312" w:cs="仿宋_GB2312"/>
          <w:szCs w:val="28"/>
        </w:rPr>
        <w:t>格式1</w:t>
      </w:r>
      <w:r>
        <w:rPr>
          <w:rFonts w:hint="eastAsia" w:ascii="仿宋_GB2312" w:hAnsi="仿宋_GB2312" w:eastAsia="仿宋_GB2312" w:cs="仿宋_GB2312"/>
          <w:szCs w:val="28"/>
          <w:lang w:val="en-US" w:eastAsia="zh-CN"/>
        </w:rPr>
        <w:t>8</w:t>
      </w:r>
    </w:p>
    <w:p>
      <w:pPr>
        <w:adjustRightInd w:val="0"/>
        <w:snapToGrid w:val="0"/>
        <w:spacing w:before="319" w:beforeLines="100" w:after="319" w:afterLines="100" w:line="360" w:lineRule="auto"/>
        <w:ind w:right="105" w:rightChars="50"/>
        <w:jc w:val="center"/>
        <w:rPr>
          <w:rFonts w:ascii="仿宋_GB2312" w:hAnsi="仿宋_GB2312" w:eastAsia="仿宋_GB2312" w:cs="仿宋_GB2312"/>
          <w:b/>
          <w:bCs/>
          <w:sz w:val="32"/>
          <w:szCs w:val="32"/>
        </w:rPr>
      </w:pPr>
      <w:bookmarkStart w:id="143" w:name="_Toc13566_WPSOffice_Level2"/>
      <w:bookmarkStart w:id="144" w:name="_Toc29880_WPSOffice_Level2"/>
      <w:r>
        <w:rPr>
          <w:rFonts w:hint="eastAsia" w:ascii="仿宋_GB2312" w:hAnsi="仿宋_GB2312" w:eastAsia="仿宋_GB2312" w:cs="仿宋_GB2312"/>
          <w:b/>
          <w:bCs/>
          <w:sz w:val="32"/>
          <w:szCs w:val="32"/>
        </w:rPr>
        <w:t>残疾人福利性单位声明函</w:t>
      </w:r>
      <w:bookmarkEnd w:id="143"/>
      <w:bookmarkEnd w:id="144"/>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7"/>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56" w:hRule="atLeast"/>
        </w:trPr>
        <w:tc>
          <w:tcPr>
            <w:tcW w:w="953"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noWrap w:val="0"/>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953"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953"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953"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trPr>
        <w:tc>
          <w:tcPr>
            <w:tcW w:w="953"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noWrap w:val="0"/>
            <w:vAlign w:val="center"/>
          </w:tcPr>
          <w:p>
            <w:pPr>
              <w:jc w:val="center"/>
              <w:rPr>
                <w:rFonts w:ascii="仿宋_GB2312" w:hAnsi="仿宋_GB2312" w:eastAsia="仿宋_GB2312" w:cs="仿宋_GB2312"/>
                <w:szCs w:val="21"/>
              </w:rPr>
            </w:pPr>
          </w:p>
        </w:tc>
        <w:tc>
          <w:tcPr>
            <w:tcW w:w="158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427" w:type="dxa"/>
            <w:noWrap w:val="0"/>
            <w:vAlign w:val="center"/>
          </w:tcPr>
          <w:p>
            <w:pPr>
              <w:jc w:val="center"/>
              <w:rPr>
                <w:rFonts w:ascii="仿宋_GB2312" w:hAnsi="仿宋_GB2312" w:eastAsia="仿宋_GB2312" w:cs="仿宋_GB2312"/>
                <w:szCs w:val="21"/>
              </w:rPr>
            </w:pPr>
          </w:p>
        </w:tc>
        <w:tc>
          <w:tcPr>
            <w:tcW w:w="1344" w:type="dxa"/>
            <w:noWrap w:val="0"/>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58" w:hRule="atLeast"/>
        </w:trPr>
        <w:tc>
          <w:tcPr>
            <w:tcW w:w="8320" w:type="dxa"/>
            <w:gridSpan w:val="6"/>
            <w:noWrap w:val="0"/>
            <w:vAlign w:val="center"/>
          </w:tcPr>
          <w:p>
            <w:pPr>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b w:val="0"/>
          <w:bCs w:val="0"/>
          <w:szCs w:val="21"/>
        </w:rPr>
        <w:t>注：</w:t>
      </w:r>
      <w:r>
        <w:rPr>
          <w:rFonts w:hint="eastAsia" w:ascii="仿宋_GB2312" w:hAnsi="仿宋_GB2312" w:eastAsia="仿宋_GB2312" w:cs="仿宋_GB2312"/>
          <w:szCs w:val="21"/>
        </w:rPr>
        <w:t>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kern w:val="44"/>
          <w:sz w:val="44"/>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bookmarkStart w:id="145" w:name="_Toc4498_WPSOffice_Level1"/>
    </w:p>
    <w:p>
      <w:pPr>
        <w:pStyle w:val="2"/>
        <w:numPr>
          <w:ilvl w:val="0"/>
          <w:numId w:val="3"/>
        </w:numPr>
        <w:snapToGrid w:val="0"/>
        <w:spacing w:before="319" w:beforeLines="100" w:after="319" w:afterLines="100" w:line="360" w:lineRule="auto"/>
        <w:ind w:left="0" w:leftChars="0" w:firstLine="880" w:firstLineChars="200"/>
        <w:rPr>
          <w:rFonts w:hint="eastAsia" w:ascii="仿宋_GB2312" w:hAnsi="仿宋_GB2312" w:eastAsia="仿宋_GB2312" w:cs="仿宋_GB2312"/>
        </w:rPr>
      </w:pPr>
      <w:bookmarkStart w:id="146" w:name="_Toc7298"/>
      <w:bookmarkStart w:id="147" w:name="_Toc17590"/>
      <w:r>
        <w:rPr>
          <w:rFonts w:hint="eastAsia" w:ascii="仿宋_GB2312" w:hAnsi="仿宋_GB2312" w:eastAsia="仿宋_GB2312" w:cs="仿宋_GB2312"/>
        </w:rPr>
        <w:t>货物需求</w:t>
      </w:r>
      <w:bookmarkEnd w:id="145"/>
      <w:bookmarkEnd w:id="146"/>
      <w:bookmarkEnd w:id="147"/>
    </w:p>
    <w:p>
      <w:pPr>
        <w:keepNext w:val="0"/>
        <w:keepLines w:val="0"/>
        <w:pageBreakBefore w:val="0"/>
        <w:kinsoku/>
        <w:overflowPunct/>
        <w:topLinePunct w:val="0"/>
        <w:bidi w:val="0"/>
        <w:adjustRightInd/>
        <w:snapToGrid w:val="0"/>
        <w:spacing w:beforeAutospacing="0" w:afterAutospacing="0" w:line="620" w:lineRule="exact"/>
        <w:ind w:right="-138" w:rightChars="-66" w:firstLine="420" w:firstLineChars="200"/>
        <w:textAlignment w:val="auto"/>
        <w:rPr>
          <w:rFonts w:hint="eastAsia" w:ascii="仿宋" w:hAnsi="仿宋" w:eastAsia="仿宋" w:cs="仿宋"/>
          <w:b w:val="0"/>
          <w:bCs w:val="0"/>
          <w:color w:val="000000"/>
          <w:sz w:val="32"/>
          <w:szCs w:val="32"/>
        </w:rPr>
      </w:pPr>
      <w:r>
        <w:rPr>
          <w:rFonts w:hint="eastAsia"/>
          <w:lang w:val="en-US" w:eastAsia="zh-CN"/>
        </w:rPr>
        <w:t xml:space="preserve">  </w:t>
      </w: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投标人的资格要求：</w:t>
      </w:r>
    </w:p>
    <w:p>
      <w:pPr>
        <w:keepNext w:val="0"/>
        <w:keepLines w:val="0"/>
        <w:pageBreakBefore w:val="0"/>
        <w:kinsoku/>
        <w:overflowPunct/>
        <w:topLinePunct w:val="0"/>
        <w:bidi w:val="0"/>
        <w:adjustRightInd/>
        <w:snapToGrid w:val="0"/>
        <w:spacing w:beforeAutospacing="0" w:afterAutospacing="0" w:line="620" w:lineRule="exact"/>
        <w:ind w:left="0" w:leftChars="0" w:right="0" w:rightChars="0" w:firstLine="640" w:firstLineChars="200"/>
        <w:jc w:val="left"/>
        <w:textAlignment w:val="auto"/>
        <w:outlineLvl w:val="9"/>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1．符合《中华人民共和国政府采购法》第二十二条规定应当具备的条件；</w:t>
      </w:r>
    </w:p>
    <w:p>
      <w:pPr>
        <w:keepNext w:val="0"/>
        <w:keepLines w:val="0"/>
        <w:pageBreakBefore w:val="0"/>
        <w:kinsoku/>
        <w:overflowPunct/>
        <w:topLinePunct w:val="0"/>
        <w:bidi w:val="0"/>
        <w:adjustRightInd/>
        <w:snapToGrid w:val="0"/>
        <w:spacing w:beforeAutospacing="0" w:afterAutospacing="0" w:line="620" w:lineRule="exact"/>
        <w:ind w:left="0" w:leftChars="0" w:right="0" w:rightChars="0" w:firstLine="640" w:firstLineChars="200"/>
        <w:jc w:val="left"/>
        <w:textAlignment w:val="auto"/>
        <w:outlineLvl w:val="9"/>
        <w:rPr>
          <w:rFonts w:hint="eastAsia" w:ascii="仿宋" w:hAnsi="仿宋" w:eastAsia="宋体" w:cs="仿宋"/>
          <w:b w:val="0"/>
          <w:bCs w:val="0"/>
          <w:color w:val="000000"/>
          <w:sz w:val="32"/>
          <w:szCs w:val="32"/>
          <w:lang w:eastAsia="zh-CN"/>
        </w:rPr>
      </w:pPr>
      <w:r>
        <w:rPr>
          <w:rFonts w:hint="eastAsia" w:ascii="仿宋" w:hAnsi="仿宋" w:eastAsia="仿宋" w:cs="仿宋"/>
          <w:b w:val="0"/>
          <w:bCs w:val="0"/>
          <w:color w:val="000000"/>
          <w:sz w:val="32"/>
          <w:szCs w:val="32"/>
          <w:lang w:eastAsia="zh-CN"/>
        </w:rPr>
        <w:t xml:space="preserve">2. 投标人具有省级以上（含省级）行政部门颁发的图书《中华人民共和国出版物经营许可证》 (须提供有效期内的投标人的营业执照、组织机构代码证、税务登记证、出版物经营许可证的复印件并加盖公章) </w:t>
      </w:r>
      <w:r>
        <w:rPr>
          <w:rFonts w:hint="eastAsia"/>
          <w:color w:val="000000"/>
          <w:lang w:eastAsia="zh-CN"/>
        </w:rPr>
        <w:t>。</w:t>
      </w:r>
    </w:p>
    <w:p>
      <w:pPr>
        <w:keepNext w:val="0"/>
        <w:keepLines w:val="0"/>
        <w:pageBreakBefore w:val="0"/>
        <w:kinsoku/>
        <w:overflowPunct/>
        <w:topLinePunct w:val="0"/>
        <w:bidi w:val="0"/>
        <w:adjustRightInd/>
        <w:snapToGrid w:val="0"/>
        <w:spacing w:beforeAutospacing="0" w:afterAutospacing="0" w:line="620" w:lineRule="exact"/>
        <w:ind w:left="0" w:leftChars="0" w:right="0" w:rightChars="0" w:firstLine="640" w:firstLineChars="200"/>
        <w:jc w:val="left"/>
        <w:textAlignment w:val="auto"/>
        <w:outlineLvl w:val="9"/>
        <w:rPr>
          <w:rFonts w:hint="eastAsia" w:ascii="仿宋" w:hAnsi="仿宋" w:eastAsia="仿宋" w:cs="仿宋"/>
          <w:b w:val="0"/>
          <w:bCs w:val="0"/>
          <w:color w:val="000000"/>
          <w:sz w:val="32"/>
          <w:szCs w:val="32"/>
          <w:lang w:eastAsia="zh-CN"/>
        </w:rPr>
      </w:pPr>
      <w:r>
        <w:rPr>
          <w:rFonts w:hint="eastAsia" w:ascii="仿宋" w:hAnsi="仿宋" w:cs="仿宋"/>
          <w:b w:val="0"/>
          <w:bCs w:val="0"/>
          <w:color w:val="000000"/>
          <w:sz w:val="32"/>
          <w:szCs w:val="32"/>
          <w:lang w:val="en-US" w:eastAsia="zh-CN"/>
        </w:rPr>
        <w:t>3</w:t>
      </w:r>
      <w:r>
        <w:rPr>
          <w:rFonts w:hint="eastAsia" w:ascii="仿宋" w:hAnsi="仿宋" w:eastAsia="仿宋" w:cs="仿宋"/>
          <w:b w:val="0"/>
          <w:bCs w:val="0"/>
          <w:color w:val="000000"/>
          <w:sz w:val="32"/>
          <w:szCs w:val="32"/>
          <w:lang w:val="en-US" w:eastAsia="zh-CN"/>
        </w:rPr>
        <w:t>、</w:t>
      </w:r>
      <w:r>
        <w:rPr>
          <w:rFonts w:hint="eastAsia" w:ascii="仿宋" w:hAnsi="仿宋" w:eastAsia="仿宋" w:cs="仿宋"/>
          <w:b w:val="0"/>
          <w:bCs w:val="0"/>
          <w:color w:val="000000"/>
          <w:sz w:val="32"/>
          <w:szCs w:val="32"/>
          <w:lang w:eastAsia="zh-CN"/>
        </w:rPr>
        <w:t>本项目不允许联合体投标。</w:t>
      </w:r>
    </w:p>
    <w:p>
      <w:pPr>
        <w:keepNext w:val="0"/>
        <w:keepLines w:val="0"/>
        <w:pageBreakBefore w:val="0"/>
        <w:kinsoku/>
        <w:overflowPunct/>
        <w:topLinePunct w:val="0"/>
        <w:bidi w:val="0"/>
        <w:adjustRightInd/>
        <w:snapToGrid w:val="0"/>
        <w:spacing w:beforeAutospacing="0" w:afterAutospacing="0" w:line="62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二、项目预算：</w:t>
      </w:r>
    </w:p>
    <w:p>
      <w:pPr>
        <w:keepNext w:val="0"/>
        <w:keepLines w:val="0"/>
        <w:pageBreakBefore w:val="0"/>
        <w:kinsoku/>
        <w:overflowPunct/>
        <w:topLinePunct w:val="0"/>
        <w:bidi w:val="0"/>
        <w:adjustRightInd/>
        <w:snapToGrid w:val="0"/>
        <w:spacing w:beforeAutospacing="0" w:afterAutospacing="0" w:line="620" w:lineRule="exact"/>
        <w:ind w:firstLine="640" w:firstLineChars="200"/>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50万元（以实际发生金额为准），不低于15000册</w:t>
      </w:r>
    </w:p>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采购方式：</w:t>
      </w:r>
    </w:p>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提供采购方式为现场采购（供应商需能够独立为采购方提供现场选书）、订单采购，其中现场采购图书至少70%，订单采购不超过30%。</w:t>
      </w: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须无条件接受采购方提供的任何公开发行的中文图书订单进行采购，并按照中标折扣率结算。</w:t>
      </w:r>
      <w:r>
        <w:rPr>
          <w:rFonts w:hint="eastAsia" w:ascii="仿宋" w:hAnsi="仿宋" w:eastAsia="仿宋" w:cs="仿宋"/>
          <w:color w:val="000000"/>
          <w:sz w:val="32"/>
          <w:szCs w:val="32"/>
          <w:lang w:eastAsia="zh-CN"/>
        </w:rPr>
        <w:t>采购册数以现采和订单的实际采购册数为准。</w:t>
      </w:r>
    </w:p>
    <w:p>
      <w:pPr>
        <w:ind w:firstLine="560"/>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四、付款方式</w:t>
      </w:r>
    </w:p>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default" w:ascii="仿宋_GB2312" w:hAnsi="宋体" w:eastAsia="仿宋_GB2312" w:cs="Lucida Sans Unicode"/>
          <w:color w:val="000000"/>
          <w:sz w:val="32"/>
          <w:szCs w:val="32"/>
          <w:lang w:val="en-US" w:eastAsia="zh-CN"/>
        </w:rPr>
      </w:pPr>
      <w:r>
        <w:rPr>
          <w:rFonts w:hint="eastAsia" w:ascii="仿宋_GB2312" w:hAnsi="宋体" w:eastAsia="仿宋_GB2312" w:cs="Lucida Sans Unicode"/>
          <w:color w:val="000000"/>
          <w:sz w:val="32"/>
          <w:szCs w:val="32"/>
          <w:lang w:val="en-US" w:eastAsia="zh-CN"/>
        </w:rPr>
        <w:t>1、付款单位：营口市文化旅游和广播电视局</w:t>
      </w:r>
    </w:p>
    <w:p>
      <w:pPr>
        <w:keepNext w:val="0"/>
        <w:keepLines w:val="0"/>
        <w:pageBreakBefore w:val="0"/>
        <w:kinsoku/>
        <w:overflowPunct/>
        <w:topLinePunct w:val="0"/>
        <w:bidi w:val="0"/>
        <w:adjustRightInd w:val="0"/>
        <w:snapToGrid w:val="0"/>
        <w:spacing w:beforeAutospacing="0" w:afterAutospacing="0" w:line="360" w:lineRule="auto"/>
        <w:ind w:firstLine="640" w:firstLineChars="200"/>
        <w:textAlignment w:val="auto"/>
        <w:rPr>
          <w:rFonts w:hint="eastAsia" w:ascii="仿宋_GB2312" w:hAnsi="宋体" w:eastAsia="仿宋_GB2312" w:cs="Lucida Sans Unicode"/>
          <w:color w:val="000000"/>
          <w:sz w:val="32"/>
          <w:szCs w:val="32"/>
          <w:lang w:val="en-US" w:eastAsia="zh-CN"/>
        </w:rPr>
      </w:pPr>
      <w:r>
        <w:rPr>
          <w:rFonts w:hint="eastAsia" w:ascii="仿宋_GB2312" w:hAnsi="宋体" w:eastAsia="仿宋_GB2312" w:cs="Lucida Sans Unicode"/>
          <w:color w:val="000000"/>
          <w:sz w:val="32"/>
          <w:szCs w:val="32"/>
          <w:lang w:val="en-US" w:eastAsia="zh-CN"/>
        </w:rPr>
        <w:t>2、付款方式：</w:t>
      </w:r>
      <w:r>
        <w:rPr>
          <w:rFonts w:hint="eastAsia" w:ascii="仿宋" w:hAnsi="仿宋" w:eastAsia="仿宋" w:cs="仿宋"/>
          <w:sz w:val="32"/>
          <w:szCs w:val="32"/>
        </w:rPr>
        <w:t>合同签订后，支付</w:t>
      </w:r>
      <w:r>
        <w:rPr>
          <w:rFonts w:hint="eastAsia" w:ascii="仿宋" w:hAnsi="仿宋" w:eastAsia="仿宋" w:cs="仿宋"/>
          <w:sz w:val="32"/>
          <w:szCs w:val="32"/>
          <w:lang w:val="en-US" w:eastAsia="zh-CN"/>
        </w:rPr>
        <w:t>合同预付款</w:t>
      </w:r>
      <w:r>
        <w:rPr>
          <w:rFonts w:hint="eastAsia" w:ascii="仿宋" w:hAnsi="仿宋" w:eastAsia="仿宋" w:cs="仿宋"/>
          <w:sz w:val="32"/>
          <w:szCs w:val="32"/>
        </w:rPr>
        <w:t>30%，项目</w:t>
      </w:r>
      <w:r>
        <w:rPr>
          <w:rFonts w:hint="eastAsia" w:ascii="仿宋" w:hAnsi="仿宋" w:eastAsia="仿宋" w:cs="仿宋"/>
          <w:sz w:val="32"/>
          <w:szCs w:val="32"/>
          <w:lang w:val="en-US" w:eastAsia="zh-CN"/>
        </w:rPr>
        <w:t>进度到50%支付至合同总价款60%</w:t>
      </w:r>
      <w:r>
        <w:rPr>
          <w:rFonts w:hint="eastAsia" w:ascii="仿宋" w:hAnsi="仿宋" w:eastAsia="仿宋" w:cs="仿宋"/>
          <w:sz w:val="32"/>
          <w:szCs w:val="32"/>
        </w:rPr>
        <w:t>，</w:t>
      </w:r>
      <w:r>
        <w:rPr>
          <w:rFonts w:hint="eastAsia" w:ascii="仿宋" w:hAnsi="仿宋" w:eastAsia="仿宋" w:cs="仿宋"/>
          <w:sz w:val="32"/>
          <w:szCs w:val="32"/>
          <w:lang w:val="en-US" w:eastAsia="zh-CN"/>
        </w:rPr>
        <w:t>项目验收合格且无质量问题后支付剩余合同总价款40%</w:t>
      </w:r>
      <w:r>
        <w:rPr>
          <w:rFonts w:hint="eastAsia" w:ascii="仿宋" w:hAnsi="仿宋" w:eastAsia="仿宋" w:cs="仿宋"/>
          <w:sz w:val="32"/>
          <w:szCs w:val="32"/>
        </w:rPr>
        <w:t>。</w:t>
      </w:r>
    </w:p>
    <w:p>
      <w:pPr>
        <w:numPr>
          <w:ilvl w:val="0"/>
          <w:numId w:val="0"/>
        </w:numPr>
        <w:rPr>
          <w:rFonts w:hint="eastAsia"/>
          <w:color w:val="000000"/>
          <w:lang w:eastAsia="zh-CN"/>
        </w:rPr>
      </w:pP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供货要求：</w:t>
      </w:r>
    </w:p>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一、配送要求</w:t>
      </w:r>
    </w:p>
    <w:p>
      <w:pPr>
        <w:keepNext w:val="0"/>
        <w:keepLines w:val="0"/>
        <w:pageBreakBefore w:val="0"/>
        <w:numPr>
          <w:ilvl w:val="0"/>
          <w:numId w:val="0"/>
        </w:numPr>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1.</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提供的图书必须完全符合国家出版部门规定的图书质量标准，保证采购方所采购图书</w:t>
      </w:r>
      <w:r>
        <w:rPr>
          <w:rFonts w:hint="eastAsia" w:ascii="仿宋_GB2312" w:eastAsia="仿宋_GB2312" w:cs="Lucida Sans Unicode"/>
          <w:color w:val="000000"/>
          <w:sz w:val="32"/>
          <w:szCs w:val="32"/>
          <w:lang w:val="en-US" w:eastAsia="zh-CN"/>
        </w:rPr>
        <w:t>80%以上</w:t>
      </w:r>
      <w:r>
        <w:rPr>
          <w:rFonts w:hint="eastAsia" w:ascii="仿宋_GB2312" w:eastAsia="仿宋_GB2312" w:cs="Lucida Sans Unicode"/>
          <w:color w:val="000000"/>
          <w:sz w:val="32"/>
          <w:szCs w:val="32"/>
        </w:rPr>
        <w:t>均为当年、上一年全新正版合法出版物。</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2.</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提供的中文图书编目数据字段需符合国家中文图书著录规则，格式为MARC格式，数据能与Interlib系统所兼容。著录细则详见招标单位具体要求。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3.</w:t>
      </w:r>
      <w:r>
        <w:rPr>
          <w:rFonts w:hint="eastAsia" w:ascii="仿宋_GB2312" w:eastAsia="仿宋_GB2312" w:cs="Lucida Sans Unicode"/>
          <w:color w:val="000000"/>
          <w:sz w:val="32"/>
          <w:szCs w:val="32"/>
        </w:rPr>
        <w:t>除出版商取消出版、推迟出版或发生影响合同履行的不可抗力以外，若不能按时供货的图书种数或册数超过订单数的10%，或需求方发现</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存在选择供货、搭配需求方未订购图书、特价图书、供货中有盗版图书等现象，即可认定成交</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违约(履约保证金不退还)，对此需求方有权向成交</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提出终止供货的要求，终止供货造成的损失由成交供应商承担。</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4.</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需按照招标采购要求供货，如有特殊情况导致不能供货时需与采购方协调更换类似书籍，不得私自更换，否则采购方有权利终止</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供货。</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lang w:val="en-US" w:eastAsia="zh-CN"/>
        </w:rPr>
        <w:t>5.</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供货时须提供详细</w:t>
      </w:r>
      <w:r>
        <w:rPr>
          <w:rFonts w:hint="eastAsia" w:ascii="仿宋_GB2312" w:eastAsia="仿宋_GB2312" w:cs="Lucida Sans Unicode"/>
          <w:color w:val="000000"/>
          <w:sz w:val="32"/>
          <w:szCs w:val="32"/>
          <w:lang w:eastAsia="zh-CN"/>
        </w:rPr>
        <w:t>的</w:t>
      </w:r>
      <w:r>
        <w:rPr>
          <w:rFonts w:hint="eastAsia" w:ascii="仿宋_GB2312" w:eastAsia="仿宋_GB2312" w:cs="Lucida Sans Unicode"/>
          <w:color w:val="000000"/>
          <w:sz w:val="32"/>
          <w:szCs w:val="32"/>
        </w:rPr>
        <w:t>图书供货目录纸质版和电子版各一份，目录内容包括ISBN、出版国别、题名、著者、分卷册号、版次、出版社、出版时间、页数、内容摘要、中图分类号、价格等。</w:t>
      </w:r>
    </w:p>
    <w:p>
      <w:pPr>
        <w:pStyle w:val="16"/>
        <w:ind w:left="0" w:leftChars="0" w:firstLine="640" w:firstLineChars="200"/>
        <w:rPr>
          <w:rFonts w:hint="eastAsia" w:ascii="仿宋_GB2312" w:hAnsi="宋体" w:eastAsia="仿宋_GB2312" w:cs="Lucida Sans Unicode"/>
          <w:color w:val="000000"/>
          <w:sz w:val="32"/>
          <w:szCs w:val="32"/>
          <w:lang w:val="en-US" w:eastAsia="zh-CN" w:bidi="ar-SA"/>
        </w:rPr>
      </w:pPr>
      <w:r>
        <w:rPr>
          <w:rFonts w:hint="eastAsia" w:ascii="仿宋_GB2312" w:hAnsi="宋体" w:eastAsia="仿宋_GB2312" w:cs="Lucida Sans Unicode"/>
          <w:color w:val="000000"/>
          <w:sz w:val="32"/>
          <w:szCs w:val="32"/>
          <w:lang w:val="en-US" w:eastAsia="zh-CN" w:bidi="ar-SA"/>
        </w:rPr>
        <w:t>6.具有现场加工能力，加工人员需6人以上</w:t>
      </w:r>
      <w:r>
        <w:rPr>
          <w:rFonts w:hint="eastAsia" w:ascii="仿宋_GB2312" w:eastAsia="仿宋_GB2312" w:cs="Lucida Sans Unicode"/>
          <w:color w:val="000000"/>
          <w:sz w:val="32"/>
          <w:szCs w:val="32"/>
          <w:lang w:val="en-US" w:eastAsia="zh-CN" w:bidi="ar-SA"/>
        </w:rPr>
        <w:t>，</w:t>
      </w:r>
      <w:r>
        <w:rPr>
          <w:rFonts w:hint="eastAsia" w:ascii="仿宋_GB2312" w:hAnsi="宋体" w:eastAsia="仿宋_GB2312" w:cs="Lucida Sans Unicode"/>
          <w:color w:val="000000"/>
          <w:sz w:val="32"/>
          <w:szCs w:val="32"/>
          <w:lang w:val="en-US" w:eastAsia="zh-CN" w:bidi="ar-SA"/>
        </w:rPr>
        <w:t>且具有国家图书馆颁发的国图编目证书或中国图书馆分类法（或中国机读目录格式CNMARC）上岗证。</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产品要求（包括配置、标准及技术指标等详细内容）</w:t>
      </w:r>
      <w:r>
        <w:rPr>
          <w:rFonts w:hint="eastAsia" w:ascii="黑体" w:hAnsi="黑体" w:eastAsia="黑体" w:cs="黑体"/>
          <w:b w:val="0"/>
          <w:bCs w:val="0"/>
          <w:color w:val="000000"/>
          <w:sz w:val="32"/>
          <w:szCs w:val="32"/>
          <w:lang w:eastAsia="zh-CN"/>
        </w:rPr>
        <w:t>：</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采购方面要求：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1、</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应能够提供本次采购指定出版社的全品种书目数据（MARC和EXCEL表格各一份），指定出版社为：</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人民文学出版社、人民日报出版社、中共党史出版社、红旗出版社、冶金工业出版社、中国电力出版社、中国纺织出版社、中国建筑工业出版社、中国轻工业出版社、中国中医药出版社、中国社会科学出版社、中国科学技术出版社、世界知识出版社、中信出版社、上海古籍出版社、译林出版社、作家出版社、人民邮电出版、中华书局、商务印书馆、科学普及出版社、湖南文艺出版社、北京出版社、电子工业出版社、化学工业出版社、机械工业出版社、党建读物出版社、法律出版社、湖南人民出版社、中国林业出版社、中国农业出版社、中国水利水电出版社、湖南科学技术出版社、北京大学出版社、复旦大学出版社、高等教育出版社、清华大学出版社、湖南美术出版社、吉林美术出版社、二十一世纪出版社、长江文艺出版社、北京理工大学出版社、天津人民出版社、文物出版社、中央文献出版社、科学技术文献出版社、地质出版社 、中国文史出版社、中共中央党校出版社、中国标准出版社、中国法制出版社、人民法院出版社、国防工业出版社、 哈尔滨工业大学出版社、浙江科学技术出版社、 浙江人民出版社、山东科学技术出版社、上海辞书出版社、上海三联书店 、上海译文出版社、上海社会科学院出版社、上海书店出版社、青岛出版社、商务印书馆、生活·读书·新知三联书店、上海人民出版社、上海科学技术文献出版社、 天津科学技术出版社。</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2、在本招标项目指定出版社外，</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还能提供不低于100家（含100家）国内正式出版社全品种出版图书书目数据（MARC和EXCEL表格各一份），供采购方选书；除非去重需要和采购方明示，</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不得以任何方式删减反映各出版社出版信息的书目数据。</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_GB2312" w:eastAsia="仿宋_GB2312" w:cs="Lucida Sans Unicode"/>
          <w:color w:val="000000"/>
          <w:sz w:val="32"/>
          <w:szCs w:val="32"/>
          <w:lang w:val="en-US" w:eastAsia="zh-CN"/>
        </w:rPr>
        <w:t>3、定标结果生效后，</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每月至少1次向采购方发送指定出版社的excel书目数据，并说明本次提交的指定出版社名称和数据条数；采购方有权按照采购需求并按照“谁提供数据、订单发给谁”的原则采购指定出版社以外的其他出版社图书；对书目数据中单册图书300元以上或单套图书1000元以上的，采购方有权向各图书供应商再次询价，并按照最低价成交的原则向最低报价供应商采购；除非采购方明示，</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不得更改采购方的现采和预订图书订单，不得搭配非采购方订购的图书；</w:t>
      </w:r>
      <w:r>
        <w:rPr>
          <w:rFonts w:hint="eastAsia" w:ascii="仿宋" w:hAnsi="仿宋" w:eastAsia="仿宋" w:cs="仿宋"/>
          <w:color w:val="000000"/>
          <w:sz w:val="32"/>
          <w:szCs w:val="32"/>
          <w:lang w:eastAsia="zh-CN"/>
        </w:rPr>
        <w:t>投标人需</w:t>
      </w:r>
      <w:r>
        <w:rPr>
          <w:rFonts w:hint="eastAsia" w:ascii="仿宋_GB2312" w:eastAsia="仿宋_GB2312" w:cs="Lucida Sans Unicode"/>
          <w:color w:val="000000"/>
          <w:sz w:val="32"/>
          <w:szCs w:val="32"/>
          <w:lang w:val="en-US" w:eastAsia="zh-CN"/>
        </w:rPr>
        <w:t>能够对已预订的图书进行查重。</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_GB2312" w:eastAsia="仿宋_GB2312" w:cs="Lucida Sans Unicode"/>
          <w:color w:val="000000"/>
          <w:sz w:val="32"/>
          <w:szCs w:val="32"/>
          <w:lang w:val="en-US" w:eastAsia="zh-CN"/>
        </w:rPr>
      </w:pP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lang w:val="en-US" w:eastAsia="zh-CN"/>
        </w:rPr>
        <w:t>提交电子版书目数据需另加一列：列名称为：是否为指定出版社（请勿合并表格），并在该条数据该列中加标识，举例如下。</w:t>
      </w:r>
    </w:p>
    <w:p>
      <w:pPr>
        <w:pStyle w:val="16"/>
        <w:rPr>
          <w:rFonts w:hint="eastAsia"/>
          <w:color w:val="000000"/>
          <w:lang w:val="en-US" w:eastAsia="zh-C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1676"/>
        <w:gridCol w:w="1676"/>
        <w:gridCol w:w="167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是否为指定出版社</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题名</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出版社</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出版时间</w:t>
            </w:r>
          </w:p>
        </w:tc>
        <w:tc>
          <w:tcPr>
            <w:tcW w:w="1676" w:type="dxa"/>
            <w:noWrap w:val="0"/>
            <w:vAlign w:val="center"/>
          </w:tcPr>
          <w:p>
            <w:pPr>
              <w:pStyle w:val="7"/>
              <w:widowControl w:val="0"/>
              <w:jc w:val="center"/>
              <w:rPr>
                <w:rFonts w:hint="eastAsia" w:ascii="仿宋_GB2312" w:eastAsia="仿宋_GB2312" w:cs="Lucida Sans Unicode"/>
                <w:color w:val="000000"/>
                <w:sz w:val="24"/>
                <w:szCs w:val="24"/>
                <w:lang w:val="en-US" w:eastAsia="zh-CN"/>
              </w:rPr>
            </w:pPr>
            <w:r>
              <w:rPr>
                <w:rFonts w:hint="eastAsia" w:ascii="仿宋_GB2312" w:eastAsia="仿宋_GB2312" w:cs="Lucida Sans Unicode"/>
                <w:color w:val="000000"/>
                <w:sz w:val="24"/>
                <w:szCs w:val="24"/>
                <w:lang w:val="en-US" w:eastAsia="zh-CN"/>
              </w:rPr>
              <w:t>其他内容</w:t>
            </w:r>
          </w:p>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是</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中国史纲</w:t>
            </w:r>
          </w:p>
        </w:tc>
        <w:tc>
          <w:tcPr>
            <w:tcW w:w="1676" w:type="dxa"/>
            <w:noWrap w:val="0"/>
            <w:vAlign w:val="center"/>
          </w:tcPr>
          <w:p>
            <w:pPr>
              <w:pStyle w:val="7"/>
              <w:widowControl w:val="0"/>
              <w:jc w:val="center"/>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北京出版社</w:t>
            </w:r>
          </w:p>
        </w:tc>
        <w:tc>
          <w:tcPr>
            <w:tcW w:w="1676" w:type="dxa"/>
            <w:noWrap w:val="0"/>
            <w:vAlign w:val="center"/>
          </w:tcPr>
          <w:p>
            <w:pPr>
              <w:keepNext w:val="0"/>
              <w:keepLines w:val="0"/>
              <w:pageBreakBefore w:val="0"/>
              <w:widowControl w:val="0"/>
              <w:kinsoku/>
              <w:overflowPunct/>
              <w:topLinePunct w:val="0"/>
              <w:bidi w:val="0"/>
              <w:adjustRightInd/>
              <w:spacing w:beforeAutospacing="0" w:afterAutospacing="0" w:line="240" w:lineRule="auto"/>
              <w:jc w:val="center"/>
              <w:textAlignment w:val="auto"/>
              <w:rPr>
                <w:rFonts w:hint="eastAsia"/>
                <w:color w:val="000000"/>
                <w:vertAlign w:val="baseline"/>
                <w:lang w:val="en-US" w:eastAsia="zh-CN"/>
              </w:rPr>
            </w:pPr>
            <w:r>
              <w:rPr>
                <w:rFonts w:hint="eastAsia" w:ascii="仿宋_GB2312" w:eastAsia="仿宋_GB2312" w:cs="Lucida Sans Unicode"/>
                <w:color w:val="000000"/>
                <w:sz w:val="24"/>
                <w:szCs w:val="24"/>
                <w:lang w:val="en-US" w:eastAsia="zh-CN"/>
              </w:rPr>
              <w:t>2020．10</w:t>
            </w:r>
          </w:p>
        </w:tc>
        <w:tc>
          <w:tcPr>
            <w:tcW w:w="1676" w:type="dxa"/>
            <w:noWrap w:val="0"/>
            <w:vAlign w:val="center"/>
          </w:tcPr>
          <w:p>
            <w:pPr>
              <w:pStyle w:val="7"/>
              <w:widowControl w:val="0"/>
              <w:jc w:val="center"/>
              <w:rPr>
                <w:rFonts w:hint="eastAsia"/>
                <w:color w:val="000000"/>
                <w:vertAlign w:val="baseline"/>
                <w:lang w:val="en-US" w:eastAsia="zh-CN"/>
              </w:rPr>
            </w:pPr>
          </w:p>
        </w:tc>
      </w:tr>
    </w:tbl>
    <w:p>
      <w:pPr>
        <w:keepNext w:val="0"/>
        <w:keepLines w:val="0"/>
        <w:pageBreakBefore w:val="0"/>
        <w:kinsoku/>
        <w:overflowPunct/>
        <w:topLinePunct w:val="0"/>
        <w:bidi w:val="0"/>
        <w:adjustRightInd/>
        <w:spacing w:beforeAutospacing="0" w:afterAutospacing="0" w:line="240" w:lineRule="auto"/>
        <w:textAlignment w:val="auto"/>
        <w:rPr>
          <w:rFonts w:hint="eastAsia" w:ascii="仿宋" w:hAnsi="仿宋" w:eastAsia="仿宋" w:cs="仿宋"/>
          <w:color w:val="000000"/>
          <w:sz w:val="32"/>
          <w:szCs w:val="32"/>
          <w:lang w:eastAsia="zh-CN"/>
        </w:rPr>
      </w:pPr>
    </w:p>
    <w:p>
      <w:pPr>
        <w:pStyle w:val="16"/>
        <w:ind w:left="0" w:leftChars="0" w:firstLine="0" w:firstLineChars="0"/>
        <w:rPr>
          <w:rFonts w:hint="eastAsia"/>
          <w:color w:val="000000"/>
          <w:lang w:eastAsia="zh-CN"/>
        </w:rPr>
      </w:pP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图书编目方面要求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能够随书提供符合招标单位基本要求的CNMARC格式编目数据。</w:t>
      </w:r>
      <w:r>
        <w:rPr>
          <w:rFonts w:hint="eastAsia" w:ascii="仿宋" w:hAnsi="仿宋" w:eastAsia="仿宋" w:cs="仿宋"/>
          <w:color w:val="000000"/>
          <w:sz w:val="32"/>
          <w:szCs w:val="32"/>
          <w:lang w:eastAsia="zh-CN"/>
        </w:rPr>
        <w:t>编目数据应符合采购方编目著录格式要求，差错率应不超过</w:t>
      </w:r>
      <w:r>
        <w:rPr>
          <w:rFonts w:hint="eastAsia" w:ascii="仿宋" w:hAnsi="仿宋" w:eastAsia="仿宋" w:cs="仿宋"/>
          <w:color w:val="000000"/>
          <w:sz w:val="32"/>
          <w:szCs w:val="32"/>
          <w:lang w:val="en-US" w:eastAsia="zh-CN"/>
        </w:rPr>
        <w:t>0.2%</w:t>
      </w:r>
      <w:r>
        <w:rPr>
          <w:rFonts w:hint="eastAsia" w:ascii="仿宋" w:hAnsi="仿宋" w:eastAsia="仿宋" w:cs="仿宋"/>
          <w:color w:val="000000"/>
          <w:sz w:val="32"/>
          <w:szCs w:val="32"/>
          <w:lang w:eastAsia="zh-CN"/>
        </w:rPr>
        <w:t>，若发现编目数据质量或图书物理加工格式不符合采购方标准，采购方有权要求供货方</w:t>
      </w:r>
      <w:r>
        <w:rPr>
          <w:rFonts w:hint="eastAsia" w:ascii="仿宋" w:hAnsi="仿宋" w:eastAsia="仿宋" w:cs="仿宋"/>
          <w:color w:val="000000"/>
          <w:sz w:val="32"/>
          <w:szCs w:val="32"/>
        </w:rPr>
        <w:t>派员</w:t>
      </w:r>
      <w:r>
        <w:rPr>
          <w:rFonts w:hint="eastAsia" w:ascii="仿宋" w:hAnsi="仿宋" w:eastAsia="仿宋" w:cs="仿宋"/>
          <w:color w:val="000000"/>
          <w:sz w:val="32"/>
          <w:szCs w:val="32"/>
          <w:lang w:eastAsia="zh-CN"/>
        </w:rPr>
        <w:t>提供上门修改数据服务</w:t>
      </w:r>
      <w:r>
        <w:rPr>
          <w:rFonts w:hint="eastAsia" w:ascii="仿宋" w:hAnsi="仿宋" w:eastAsia="仿宋" w:cs="仿宋"/>
          <w:color w:val="000000"/>
          <w:sz w:val="32"/>
          <w:szCs w:val="32"/>
          <w:lang w:val="en-US" w:eastAsia="zh-CN"/>
        </w:rPr>
        <w:t>。</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加工方面要求：</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投标人</w:t>
      </w:r>
      <w:r>
        <w:rPr>
          <w:rFonts w:hint="eastAsia" w:ascii="仿宋" w:hAnsi="仿宋" w:eastAsia="仿宋" w:cs="仿宋"/>
          <w:color w:val="000000"/>
          <w:sz w:val="32"/>
          <w:szCs w:val="32"/>
        </w:rPr>
        <w:t>必须有图书加工的能力，按采购方要求提供下列免费服务：</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1、磁条</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图书加装16cm钴基永久磁条。粘贴磁条前对图书进行检查，确认无其它磁条，并对新夹磁条进行充消磁检查。磁条紧贴书缝装订线安放，最大间隙不超过0.5毫米，要求隐蔽性好，牢固、不外露。所有图书加装磁条，300页及以上图书须加装2根磁条。如发现磁条有质量问题或图书有磁条遗漏情况</w:t>
      </w:r>
      <w:r>
        <w:rPr>
          <w:rFonts w:hint="eastAsia" w:ascii="仿宋" w:hAnsi="仿宋" w:eastAsia="仿宋" w:cs="仿宋"/>
          <w:color w:val="000000"/>
          <w:sz w:val="32"/>
          <w:szCs w:val="32"/>
          <w:lang w:eastAsia="zh-CN"/>
        </w:rPr>
        <w:t>，采购方</w:t>
      </w:r>
      <w:r>
        <w:rPr>
          <w:rFonts w:hint="eastAsia" w:ascii="仿宋" w:hAnsi="仿宋" w:eastAsia="仿宋" w:cs="仿宋"/>
          <w:color w:val="000000"/>
          <w:sz w:val="32"/>
          <w:szCs w:val="32"/>
        </w:rPr>
        <w:t>有权要求供货方根据市场行情提供磁条和人工费，</w:t>
      </w:r>
      <w:r>
        <w:rPr>
          <w:rFonts w:hint="eastAsia" w:ascii="仿宋" w:hAnsi="仿宋" w:eastAsia="仿宋" w:cs="仿宋"/>
          <w:color w:val="000000"/>
          <w:sz w:val="32"/>
          <w:szCs w:val="32"/>
          <w:lang w:eastAsia="zh-CN"/>
        </w:rPr>
        <w:t>采购方</w:t>
      </w:r>
      <w:r>
        <w:rPr>
          <w:rFonts w:hint="eastAsia" w:ascii="仿宋" w:hAnsi="仿宋" w:eastAsia="仿宋" w:cs="仿宋"/>
          <w:color w:val="000000"/>
          <w:sz w:val="32"/>
          <w:szCs w:val="32"/>
        </w:rPr>
        <w:t>自己加工。</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2、馆藏章</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给每册图书加盖</w:t>
      </w:r>
      <w:r>
        <w:rPr>
          <w:rFonts w:hint="eastAsia" w:ascii="仿宋" w:hAnsi="仿宋" w:eastAsia="仿宋" w:cs="仿宋"/>
          <w:color w:val="0000FF"/>
          <w:sz w:val="32"/>
          <w:szCs w:val="32"/>
        </w:rPr>
        <w:t>红色“</w:t>
      </w:r>
      <w:r>
        <w:rPr>
          <w:rFonts w:hint="eastAsia" w:ascii="仿宋" w:hAnsi="仿宋" w:eastAsia="仿宋" w:cs="仿宋"/>
          <w:color w:val="0000FF"/>
          <w:sz w:val="32"/>
          <w:szCs w:val="32"/>
          <w:lang w:val="en-US" w:eastAsia="zh-CN"/>
        </w:rPr>
        <w:t>**</w:t>
      </w:r>
      <w:r>
        <w:rPr>
          <w:rFonts w:hint="eastAsia" w:ascii="仿宋" w:hAnsi="仿宋" w:eastAsia="仿宋" w:cs="仿宋"/>
          <w:color w:val="0000FF"/>
          <w:sz w:val="32"/>
          <w:szCs w:val="32"/>
        </w:rPr>
        <w:t>图书馆藏”</w:t>
      </w:r>
      <w:r>
        <w:rPr>
          <w:rFonts w:hint="eastAsia" w:ascii="仿宋" w:hAnsi="仿宋" w:eastAsia="仿宋" w:cs="仿宋"/>
          <w:color w:val="000000"/>
          <w:sz w:val="32"/>
          <w:szCs w:val="32"/>
        </w:rPr>
        <w:t>专用章，位于书名页</w:t>
      </w:r>
      <w:r>
        <w:rPr>
          <w:rFonts w:hint="eastAsia" w:ascii="仿宋" w:hAnsi="仿宋" w:eastAsia="仿宋" w:cs="仿宋"/>
          <w:color w:val="000000"/>
          <w:sz w:val="32"/>
          <w:szCs w:val="32"/>
          <w:lang w:eastAsia="zh-CN"/>
        </w:rPr>
        <w:t>偏下</w:t>
      </w:r>
      <w:r>
        <w:rPr>
          <w:rFonts w:hint="eastAsia" w:ascii="仿宋" w:hAnsi="仿宋" w:eastAsia="仿宋" w:cs="仿宋"/>
          <w:color w:val="000000"/>
          <w:sz w:val="32"/>
          <w:szCs w:val="32"/>
        </w:rPr>
        <w:t>居中出版社上方一厘米空白处(条码上面)，如该位置有文字则做适当调整，不</w:t>
      </w:r>
      <w:r>
        <w:rPr>
          <w:rFonts w:hint="eastAsia" w:ascii="仿宋" w:hAnsi="仿宋" w:eastAsia="仿宋" w:cs="仿宋"/>
          <w:color w:val="000000"/>
          <w:sz w:val="32"/>
          <w:szCs w:val="32"/>
          <w:lang w:eastAsia="zh-CN"/>
        </w:rPr>
        <w:t>能遮挡</w:t>
      </w:r>
      <w:r>
        <w:rPr>
          <w:rFonts w:hint="eastAsia" w:ascii="仿宋" w:hAnsi="仿宋" w:eastAsia="仿宋" w:cs="仿宋"/>
          <w:color w:val="000000"/>
          <w:sz w:val="32"/>
          <w:szCs w:val="32"/>
        </w:rPr>
        <w:t>文字。</w:t>
      </w:r>
      <w:r>
        <w:rPr>
          <w:rFonts w:hint="eastAsia" w:ascii="仿宋" w:hAnsi="仿宋" w:eastAsia="仿宋" w:cs="仿宋"/>
          <w:color w:val="000000"/>
          <w:sz w:val="32"/>
          <w:szCs w:val="32"/>
          <w:lang w:eastAsia="zh-CN"/>
        </w:rPr>
        <w:t>所盖章印须</w:t>
      </w:r>
      <w:r>
        <w:rPr>
          <w:rFonts w:hint="eastAsia" w:ascii="仿宋" w:hAnsi="仿宋" w:eastAsia="仿宋" w:cs="仿宋"/>
          <w:color w:val="000000"/>
          <w:sz w:val="32"/>
          <w:szCs w:val="32"/>
        </w:rPr>
        <w:t>位置准确、端正</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清晰。</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3、书标</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每册书贴两个同号书标，一张贴在书名页的右上角，另一张贴在书脊下方距书脊底线2cm处，书标粘贴位置端正，在书脊处的书标需加贴透明胶纸，大小为能够</w:t>
      </w:r>
      <w:r>
        <w:rPr>
          <w:rFonts w:hint="eastAsia" w:ascii="仿宋" w:hAnsi="仿宋" w:eastAsia="仿宋" w:cs="仿宋"/>
          <w:color w:val="000000"/>
          <w:sz w:val="32"/>
          <w:szCs w:val="32"/>
          <w:lang w:eastAsia="zh-CN"/>
        </w:rPr>
        <w:t>完全遮住</w:t>
      </w:r>
      <w:r>
        <w:rPr>
          <w:rFonts w:hint="eastAsia" w:ascii="仿宋" w:hAnsi="仿宋" w:eastAsia="仿宋" w:cs="仿宋"/>
          <w:color w:val="000000"/>
          <w:sz w:val="32"/>
          <w:szCs w:val="32"/>
        </w:rPr>
        <w:t>该处书标。</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4、附件</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随书光盘附件使用光盘套。每个光盘袋右上角贴书标，光盘上书标要求不遮挡文字信息并同文字方向保持一致。每个光盘袋正下方需贴一个与原书同号条形码。附件需单独包装在每包书包里，不能夹在书里，否则此图书不予以验收。</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5、条形码</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每册书贴2个同号条码，一张贴在书名页的出版社偏上，不压字，有重要文字稍微调整避开，尽量左右移动，如果此位置不能贴，可以上下移动。另一张贴在正文的11页书楣上居中的位置，不压字。所贴条码号连贯，并按号码顺序排好。条码粘贴位置端正，无错漏。</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条码号段：由采购方提供。</w:t>
      </w:r>
    </w:p>
    <w:p>
      <w:pPr>
        <w:keepNext w:val="0"/>
        <w:keepLines w:val="0"/>
        <w:pageBreakBefore w:val="0"/>
        <w:kinsoku/>
        <w:overflowPunct/>
        <w:topLinePunct w:val="0"/>
        <w:bidi w:val="0"/>
        <w:adjustRightInd/>
        <w:spacing w:beforeAutospacing="0" w:afterAutospacing="0" w:line="240" w:lineRule="auto"/>
        <w:ind w:firstLine="640" w:firstLineChars="2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条形码规格：长×宽：6.5cm ×2cm     </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6、 RFID标签技术参数</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在图书封三处粘贴RFID标签，必须确保标签粘贴牢固，位置端正，并进行数据转换。</w:t>
      </w:r>
    </w:p>
    <w:p>
      <w:pPr>
        <w:keepNext w:val="0"/>
        <w:keepLines w:val="0"/>
        <w:pageBreakBefore w:val="0"/>
        <w:numPr>
          <w:ilvl w:val="0"/>
          <w:numId w:val="5"/>
        </w:numPr>
        <w:kinsoku/>
        <w:overflowPunct/>
        <w:topLinePunct w:val="0"/>
        <w:bidi w:val="0"/>
        <w:adjustRightInd/>
        <w:spacing w:beforeAutospacing="0" w:afterAutospacing="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为保证按时间进度和质量要求完成图书加工整理工作，提供给读者使用，</w:t>
      </w:r>
      <w:r>
        <w:rPr>
          <w:rFonts w:hint="eastAsia" w:ascii="仿宋" w:hAnsi="仿宋" w:eastAsia="仿宋" w:cs="仿宋"/>
          <w:color w:val="000000"/>
          <w:sz w:val="32"/>
          <w:szCs w:val="32"/>
          <w:lang w:eastAsia="zh-CN"/>
        </w:rPr>
        <w:t>中标人</w:t>
      </w:r>
      <w:r>
        <w:rPr>
          <w:rFonts w:hint="eastAsia" w:ascii="仿宋" w:hAnsi="仿宋" w:eastAsia="仿宋" w:cs="仿宋"/>
          <w:color w:val="000000"/>
          <w:sz w:val="32"/>
          <w:szCs w:val="32"/>
        </w:rPr>
        <w:t>须保证在图书送达并经采购方验收后20之内派员按照采购方既定的质量要求完成图书</w:t>
      </w:r>
      <w:r>
        <w:rPr>
          <w:rFonts w:hint="eastAsia" w:ascii="仿宋" w:hAnsi="仿宋" w:eastAsia="仿宋" w:cs="仿宋"/>
          <w:color w:val="000000"/>
          <w:sz w:val="32"/>
          <w:szCs w:val="32"/>
          <w:lang w:eastAsia="zh-CN"/>
        </w:rPr>
        <w:t>标签转换、</w:t>
      </w:r>
      <w:r>
        <w:rPr>
          <w:rFonts w:hint="eastAsia" w:ascii="仿宋" w:hAnsi="仿宋" w:eastAsia="仿宋" w:cs="仿宋"/>
          <w:color w:val="000000"/>
          <w:sz w:val="32"/>
          <w:szCs w:val="32"/>
        </w:rPr>
        <w:t>整理</w:t>
      </w:r>
      <w:r>
        <w:rPr>
          <w:rFonts w:hint="eastAsia" w:ascii="仿宋" w:hAnsi="仿宋" w:eastAsia="仿宋" w:cs="仿宋"/>
          <w:color w:val="000000"/>
          <w:sz w:val="32"/>
          <w:szCs w:val="32"/>
          <w:lang w:eastAsia="zh-CN"/>
        </w:rPr>
        <w:t>上架等</w:t>
      </w:r>
      <w:r>
        <w:rPr>
          <w:rFonts w:hint="eastAsia" w:ascii="仿宋" w:hAnsi="仿宋" w:eastAsia="仿宋" w:cs="仿宋"/>
          <w:color w:val="000000"/>
          <w:sz w:val="32"/>
          <w:szCs w:val="32"/>
        </w:rPr>
        <w:t>工作。</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七、</w:t>
      </w:r>
      <w:r>
        <w:rPr>
          <w:rFonts w:hint="eastAsia" w:ascii="黑体" w:hAnsi="黑体" w:eastAsia="黑体" w:cs="黑体"/>
          <w:b w:val="0"/>
          <w:bCs w:val="0"/>
          <w:color w:val="000000"/>
          <w:sz w:val="32"/>
          <w:szCs w:val="32"/>
        </w:rPr>
        <w:t>验收</w:t>
      </w:r>
      <w:r>
        <w:rPr>
          <w:rFonts w:hint="eastAsia" w:ascii="黑体" w:hAnsi="黑体" w:eastAsia="黑体" w:cs="黑体"/>
          <w:b w:val="0"/>
          <w:bCs w:val="0"/>
          <w:color w:val="000000"/>
          <w:sz w:val="32"/>
          <w:szCs w:val="32"/>
          <w:lang w:eastAsia="zh-CN"/>
        </w:rPr>
        <w:t>标准：</w:t>
      </w:r>
    </w:p>
    <w:p>
      <w:pPr>
        <w:keepNext w:val="0"/>
        <w:keepLines w:val="0"/>
        <w:pageBreakBefore w:val="0"/>
        <w:kinsoku/>
        <w:overflowPunct/>
        <w:topLinePunct w:val="0"/>
        <w:bidi w:val="0"/>
        <w:adjustRightInd/>
        <w:spacing w:beforeAutospacing="0" w:afterAutospacing="0" w:line="240" w:lineRule="auto"/>
        <w:ind w:firstLine="640" w:firstLineChars="200"/>
        <w:textAlignment w:val="auto"/>
        <w:rPr>
          <w:rFonts w:ascii="仿宋_GB2312" w:hAnsi="宋体" w:eastAsia="仿宋_GB2312" w:cs="Lucida Sans Unicode"/>
          <w:color w:val="000000"/>
          <w:sz w:val="32"/>
          <w:szCs w:val="32"/>
        </w:rPr>
      </w:pPr>
      <w:r>
        <w:rPr>
          <w:rFonts w:hint="eastAsia" w:ascii="仿宋_GB2312" w:hAnsi="宋体" w:eastAsia="仿宋_GB2312" w:cs="Lucida Sans Unicode"/>
          <w:color w:val="000000"/>
          <w:sz w:val="32"/>
          <w:szCs w:val="32"/>
        </w:rPr>
        <w:t>1、根据标书要求及有关规定由采购方按照合同进行验收。</w:t>
      </w:r>
    </w:p>
    <w:p>
      <w:pPr>
        <w:pStyle w:val="14"/>
        <w:keepNext w:val="0"/>
        <w:keepLines w:val="0"/>
        <w:pageBreakBefore w:val="0"/>
        <w:widowControl w:val="0"/>
        <w:kinsoku/>
        <w:overflowPunct/>
        <w:topLinePunct w:val="0"/>
        <w:bidi w:val="0"/>
        <w:adjustRightInd/>
        <w:snapToGrid w:val="0"/>
        <w:spacing w:before="0" w:beforeAutospacing="0" w:after="0" w:afterAutospacing="0" w:line="560" w:lineRule="exact"/>
        <w:ind w:firstLine="640" w:firstLineChars="200"/>
        <w:textAlignment w:val="auto"/>
        <w:rPr>
          <w:rFonts w:hint="eastAsia" w:ascii="仿宋_GB2312" w:eastAsia="仿宋_GB2312" w:cs="Lucida Sans Unicode"/>
          <w:color w:val="000000"/>
          <w:kern w:val="2"/>
          <w:sz w:val="32"/>
          <w:szCs w:val="32"/>
        </w:rPr>
      </w:pPr>
      <w:r>
        <w:rPr>
          <w:rFonts w:hint="eastAsia" w:ascii="仿宋_GB2312" w:eastAsia="仿宋_GB2312" w:cs="Lucida Sans Unicode"/>
          <w:color w:val="000000"/>
          <w:kern w:val="2"/>
          <w:sz w:val="32"/>
          <w:szCs w:val="32"/>
        </w:rPr>
        <w:t>2</w:t>
      </w:r>
      <w:r>
        <w:rPr>
          <w:rFonts w:ascii="仿宋_GB2312" w:eastAsia="仿宋_GB2312" w:cs="Lucida Sans Unicode"/>
          <w:color w:val="000000"/>
          <w:kern w:val="2"/>
          <w:sz w:val="32"/>
          <w:szCs w:val="32"/>
        </w:rPr>
        <w:t>、打包：打包工整紧密，除无法合包的特殊情况，同种书复本应在一包，不得分包；一包内各复本应保证书脊题名方向一致。</w:t>
      </w:r>
      <w:r>
        <w:rPr>
          <w:rFonts w:hint="eastAsia" w:ascii="仿宋_GB2312" w:eastAsia="仿宋_GB2312" w:cs="Lucida Sans Unicode"/>
          <w:color w:val="000000"/>
          <w:kern w:val="2"/>
          <w:sz w:val="32"/>
          <w:szCs w:val="32"/>
        </w:rPr>
        <w:t>不同馆藏地点订单不得混包；各包外包装显著位置应标明供应商名称、分包馆藏地点、批次号、条码号段。</w:t>
      </w:r>
    </w:p>
    <w:p>
      <w:pPr>
        <w:keepNext w:val="0"/>
        <w:keepLines w:val="0"/>
        <w:pageBreakBefore w:val="0"/>
        <w:kinsoku/>
        <w:overflowPunct/>
        <w:topLinePunct w:val="0"/>
        <w:bidi w:val="0"/>
        <w:adjustRightInd/>
        <w:spacing w:beforeAutospacing="0" w:afterAutospacing="0" w:line="640" w:lineRule="exact"/>
        <w:ind w:firstLine="640" w:firstLineChars="200"/>
        <w:textAlignment w:val="auto"/>
        <w:rPr>
          <w:rFonts w:ascii="仿宋_GB2312" w:eastAsia="仿宋_GB2312" w:cs="Lucida Sans Unicode"/>
          <w:color w:val="000000"/>
          <w:sz w:val="32"/>
          <w:szCs w:val="32"/>
        </w:rPr>
      </w:pPr>
      <w:r>
        <w:rPr>
          <w:rFonts w:hint="eastAsia" w:ascii="仿宋_GB2312" w:hAnsi="宋体" w:eastAsia="仿宋_GB2312" w:cs="Lucida Sans Unicode"/>
          <w:color w:val="000000"/>
          <w:sz w:val="32"/>
          <w:szCs w:val="32"/>
        </w:rPr>
        <w:t>3</w:t>
      </w:r>
      <w:r>
        <w:rPr>
          <w:rFonts w:ascii="仿宋_GB2312" w:hAnsi="宋体" w:eastAsia="仿宋_GB2312" w:cs="Lucida Sans Unicode"/>
          <w:color w:val="000000"/>
          <w:sz w:val="32"/>
          <w:szCs w:val="32"/>
        </w:rPr>
        <w:t>、清单：要与图书包装对应相符，做到每包</w:t>
      </w:r>
      <w:r>
        <w:rPr>
          <w:rFonts w:hint="eastAsia" w:ascii="仿宋_GB2312" w:eastAsia="仿宋_GB2312" w:cs="Lucida Sans Unicode"/>
          <w:color w:val="000000"/>
          <w:sz w:val="32"/>
          <w:szCs w:val="32"/>
        </w:rPr>
        <w:t>内</w:t>
      </w:r>
      <w:r>
        <w:rPr>
          <w:rFonts w:ascii="仿宋_GB2312" w:eastAsia="仿宋_GB2312" w:cs="Lucida Sans Unicode"/>
          <w:color w:val="000000"/>
          <w:sz w:val="32"/>
          <w:szCs w:val="32"/>
        </w:rPr>
        <w:t>一</w:t>
      </w:r>
      <w:r>
        <w:rPr>
          <w:rFonts w:hint="eastAsia" w:ascii="仿宋_GB2312" w:eastAsia="仿宋_GB2312" w:cs="Lucida Sans Unicode"/>
          <w:color w:val="000000"/>
          <w:sz w:val="32"/>
          <w:szCs w:val="32"/>
        </w:rPr>
        <w:t>本包明细清</w:t>
      </w:r>
      <w:r>
        <w:rPr>
          <w:rFonts w:ascii="仿宋_GB2312" w:eastAsia="仿宋_GB2312" w:cs="Lucida Sans Unicode"/>
          <w:color w:val="000000"/>
          <w:sz w:val="32"/>
          <w:szCs w:val="32"/>
        </w:rPr>
        <w:t>单、每批一总</w:t>
      </w:r>
      <w:r>
        <w:rPr>
          <w:rFonts w:hint="eastAsia" w:ascii="仿宋_GB2312" w:eastAsia="仿宋_GB2312" w:cs="Lucida Sans Unicode"/>
          <w:color w:val="000000"/>
          <w:sz w:val="32"/>
          <w:szCs w:val="32"/>
        </w:rPr>
        <w:t>清</w:t>
      </w:r>
      <w:r>
        <w:rPr>
          <w:rFonts w:ascii="仿宋_GB2312" w:eastAsia="仿宋_GB2312" w:cs="Lucida Sans Unicode"/>
          <w:color w:val="000000"/>
          <w:sz w:val="32"/>
          <w:szCs w:val="32"/>
        </w:rPr>
        <w:t>单</w:t>
      </w:r>
      <w:r>
        <w:rPr>
          <w:rFonts w:hint="eastAsia" w:ascii="仿宋_GB2312" w:eastAsia="仿宋_GB2312" w:cs="Lucida Sans Unicode"/>
          <w:color w:val="000000"/>
          <w:sz w:val="32"/>
          <w:szCs w:val="32"/>
        </w:rPr>
        <w:t>并随书送达，</w:t>
      </w:r>
      <w:r>
        <w:rPr>
          <w:rFonts w:ascii="仿宋_GB2312" w:eastAsia="仿宋_GB2312" w:cs="Lucida Sans Unicode"/>
          <w:color w:val="000000"/>
          <w:sz w:val="32"/>
          <w:szCs w:val="32"/>
        </w:rPr>
        <w:t>总清单</w:t>
      </w:r>
      <w:r>
        <w:rPr>
          <w:rFonts w:hint="eastAsia" w:ascii="仿宋_GB2312" w:eastAsia="仿宋_GB2312" w:cs="Lucida Sans Unicode"/>
          <w:color w:val="000000"/>
          <w:sz w:val="32"/>
          <w:szCs w:val="32"/>
        </w:rPr>
        <w:t>须与各包内明细单一一对应。</w:t>
      </w:r>
    </w:p>
    <w:p>
      <w:pPr>
        <w:keepNext w:val="0"/>
        <w:keepLines w:val="0"/>
        <w:pageBreakBefore w:val="0"/>
        <w:numPr>
          <w:ilvl w:val="0"/>
          <w:numId w:val="0"/>
        </w:numPr>
        <w:kinsoku/>
        <w:overflowPunct/>
        <w:topLinePunct w:val="0"/>
        <w:bidi w:val="0"/>
        <w:adjustRightInd/>
        <w:spacing w:beforeAutospacing="0" w:afterAutospacing="0" w:line="640" w:lineRule="exact"/>
        <w:ind w:leftChars="0"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rPr>
        <w:t>4、</w:t>
      </w:r>
      <w:r>
        <w:rPr>
          <w:rFonts w:ascii="仿宋_GB2312" w:eastAsia="仿宋_GB2312" w:cs="Lucida Sans Unicode"/>
          <w:color w:val="000000"/>
          <w:sz w:val="32"/>
          <w:szCs w:val="32"/>
        </w:rPr>
        <w:t>图书质量：</w:t>
      </w:r>
      <w:r>
        <w:rPr>
          <w:rFonts w:hint="eastAsia" w:ascii="仿宋_GB2312" w:eastAsia="仿宋_GB2312" w:cs="Lucida Sans Unicode"/>
          <w:color w:val="000000"/>
          <w:sz w:val="32"/>
          <w:szCs w:val="32"/>
        </w:rPr>
        <w:t>图书打包时质量须</w:t>
      </w:r>
      <w:r>
        <w:rPr>
          <w:rFonts w:ascii="仿宋_GB2312" w:eastAsia="仿宋_GB2312" w:cs="Lucida Sans Unicode"/>
          <w:color w:val="000000"/>
          <w:sz w:val="32"/>
          <w:szCs w:val="32"/>
        </w:rPr>
        <w:t>符合国家</w:t>
      </w:r>
      <w:r>
        <w:rPr>
          <w:rFonts w:hint="eastAsia" w:ascii="仿宋_GB2312" w:eastAsia="仿宋_GB2312" w:cs="Lucida Sans Unicode"/>
          <w:color w:val="000000"/>
          <w:sz w:val="32"/>
          <w:szCs w:val="32"/>
        </w:rPr>
        <w:t>图书出版</w:t>
      </w:r>
      <w:r>
        <w:rPr>
          <w:rFonts w:ascii="仿宋_GB2312" w:eastAsia="仿宋_GB2312" w:cs="Lucida Sans Unicode"/>
          <w:color w:val="000000"/>
          <w:sz w:val="32"/>
          <w:szCs w:val="32"/>
        </w:rPr>
        <w:t>行业标准。对于</w:t>
      </w:r>
      <w:r>
        <w:rPr>
          <w:rFonts w:hint="eastAsia" w:ascii="仿宋_GB2312" w:eastAsia="仿宋_GB2312" w:cs="Lucida Sans Unicode"/>
          <w:color w:val="000000"/>
          <w:sz w:val="32"/>
          <w:szCs w:val="32"/>
        </w:rPr>
        <w:t>拆包后发现图书有</w:t>
      </w:r>
      <w:r>
        <w:rPr>
          <w:rFonts w:ascii="仿宋_GB2312" w:eastAsia="仿宋_GB2312" w:cs="Lucida Sans Unicode"/>
          <w:color w:val="000000"/>
          <w:sz w:val="32"/>
          <w:szCs w:val="32"/>
        </w:rPr>
        <w:t>错订、破损、缺页、污损、附件不全</w:t>
      </w:r>
      <w:r>
        <w:rPr>
          <w:rFonts w:hint="eastAsia" w:ascii="仿宋_GB2312" w:eastAsia="仿宋_GB2312" w:cs="Lucida Sans Unicode"/>
          <w:color w:val="000000"/>
          <w:sz w:val="32"/>
          <w:szCs w:val="32"/>
          <w:lang w:eastAsia="zh-CN"/>
        </w:rPr>
        <w:t>、</w:t>
      </w:r>
      <w:r>
        <w:rPr>
          <w:rFonts w:ascii="仿宋_GB2312" w:eastAsia="仿宋_GB2312" w:cs="Lucida Sans Unicode"/>
          <w:color w:val="000000"/>
          <w:sz w:val="32"/>
          <w:szCs w:val="32"/>
        </w:rPr>
        <w:t>印刷错误</w:t>
      </w:r>
      <w:r>
        <w:rPr>
          <w:rFonts w:hint="eastAsia" w:ascii="仿宋_GB2312" w:eastAsia="仿宋_GB2312" w:cs="Lucida Sans Unicode"/>
          <w:color w:val="000000"/>
          <w:sz w:val="32"/>
          <w:szCs w:val="32"/>
          <w:lang w:eastAsia="zh-CN"/>
        </w:rPr>
        <w:t>等问题，及不符合采购方要求的图书，</w:t>
      </w:r>
      <w:r>
        <w:rPr>
          <w:rFonts w:ascii="仿宋_GB2312" w:eastAsia="仿宋_GB2312" w:cs="Lucida Sans Unicode"/>
          <w:color w:val="000000"/>
          <w:sz w:val="32"/>
          <w:szCs w:val="32"/>
        </w:rPr>
        <w:t>须</w:t>
      </w:r>
      <w:r>
        <w:rPr>
          <w:rFonts w:hint="eastAsia" w:ascii="仿宋_GB2312" w:eastAsia="仿宋_GB2312" w:cs="Lucida Sans Unicode"/>
          <w:color w:val="000000"/>
          <w:sz w:val="32"/>
          <w:szCs w:val="32"/>
        </w:rPr>
        <w:t>予以</w:t>
      </w:r>
      <w:r>
        <w:rPr>
          <w:rFonts w:ascii="仿宋_GB2312" w:eastAsia="仿宋_GB2312" w:cs="Lucida Sans Unicode"/>
          <w:color w:val="000000"/>
          <w:sz w:val="32"/>
          <w:szCs w:val="32"/>
        </w:rPr>
        <w:t>退换</w:t>
      </w:r>
      <w:r>
        <w:rPr>
          <w:rFonts w:hint="eastAsia" w:ascii="仿宋_GB2312" w:eastAsia="仿宋_GB2312" w:cs="Lucida Sans Unicode"/>
          <w:color w:val="000000"/>
          <w:sz w:val="32"/>
          <w:szCs w:val="32"/>
        </w:rPr>
        <w:t>。</w:t>
      </w:r>
    </w:p>
    <w:p>
      <w:pPr>
        <w:keepNext w:val="0"/>
        <w:keepLines w:val="0"/>
        <w:pageBreakBefore w:val="0"/>
        <w:kinsoku/>
        <w:overflowPunct/>
        <w:topLinePunct w:val="0"/>
        <w:bidi w:val="0"/>
        <w:adjustRightInd/>
        <w:spacing w:beforeAutospacing="0" w:afterAutospacing="0" w:line="6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八、</w:t>
      </w:r>
      <w:r>
        <w:rPr>
          <w:rFonts w:hint="eastAsia" w:ascii="黑体" w:hAnsi="黑体" w:eastAsia="黑体" w:cs="黑体"/>
          <w:b w:val="0"/>
          <w:bCs w:val="0"/>
          <w:color w:val="000000"/>
          <w:sz w:val="32"/>
          <w:szCs w:val="32"/>
        </w:rPr>
        <w:t>交货时间</w:t>
      </w:r>
      <w:r>
        <w:rPr>
          <w:rFonts w:hint="eastAsia" w:ascii="黑体" w:hAnsi="黑体" w:eastAsia="黑体" w:cs="黑体"/>
          <w:b w:val="0"/>
          <w:bCs w:val="0"/>
          <w:color w:val="000000"/>
          <w:sz w:val="32"/>
          <w:szCs w:val="32"/>
          <w:lang w:eastAsia="zh-CN"/>
        </w:rPr>
        <w:t>：</w:t>
      </w:r>
    </w:p>
    <w:p>
      <w:pPr>
        <w:keepNext w:val="0"/>
        <w:keepLines w:val="0"/>
        <w:pageBreakBefore w:val="0"/>
        <w:kinsoku/>
        <w:overflowPunct/>
        <w:topLinePunct w:val="0"/>
        <w:bidi w:val="0"/>
        <w:adjustRightInd/>
        <w:spacing w:beforeAutospacing="0" w:afterAutospacing="0" w:line="640" w:lineRule="exact"/>
        <w:ind w:firstLine="640" w:firstLineChars="200"/>
        <w:textAlignment w:val="auto"/>
        <w:rPr>
          <w:rFonts w:hint="eastAsia" w:ascii="仿宋_GB2312" w:eastAsia="仿宋_GB2312" w:cs="Lucida Sans Unicode"/>
          <w:color w:val="000000"/>
          <w:sz w:val="32"/>
          <w:szCs w:val="32"/>
        </w:rPr>
      </w:pPr>
      <w:r>
        <w:rPr>
          <w:rFonts w:hint="eastAsia" w:ascii="仿宋_GB2312" w:eastAsia="仿宋_GB2312" w:cs="Lucida Sans Unicode"/>
          <w:color w:val="000000"/>
          <w:sz w:val="32"/>
          <w:szCs w:val="32"/>
        </w:rPr>
        <w:t>采购方确认订单后的每批图书，</w:t>
      </w: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须在50天内完成图书数据加工及在本馆指定馆藏地点分类排架上架工作，排架误差在１%以内。</w:t>
      </w:r>
    </w:p>
    <w:p>
      <w:pPr>
        <w:keepNext w:val="0"/>
        <w:keepLines w:val="0"/>
        <w:pageBreakBefore w:val="0"/>
        <w:numPr>
          <w:ilvl w:val="0"/>
          <w:numId w:val="6"/>
        </w:numPr>
        <w:kinsoku/>
        <w:overflowPunct/>
        <w:topLinePunct w:val="0"/>
        <w:bidi w:val="0"/>
        <w:adjustRightInd/>
        <w:spacing w:beforeAutospacing="0" w:afterAutospacing="0" w:line="6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交货地点</w:t>
      </w:r>
      <w:r>
        <w:rPr>
          <w:rFonts w:hint="eastAsia" w:ascii="黑体" w:hAnsi="黑体" w:eastAsia="黑体" w:cs="黑体"/>
          <w:b w:val="0"/>
          <w:bCs w:val="0"/>
          <w:color w:val="000000"/>
          <w:sz w:val="32"/>
          <w:szCs w:val="32"/>
          <w:lang w:eastAsia="zh-CN"/>
        </w:rPr>
        <w:t>：</w:t>
      </w:r>
    </w:p>
    <w:p>
      <w:pPr>
        <w:keepNext w:val="0"/>
        <w:keepLines w:val="0"/>
        <w:pageBreakBefore w:val="0"/>
        <w:numPr>
          <w:ilvl w:val="0"/>
          <w:numId w:val="0"/>
        </w:numPr>
        <w:kinsoku/>
        <w:overflowPunct/>
        <w:topLinePunct w:val="0"/>
        <w:bidi w:val="0"/>
        <w:adjustRightInd/>
        <w:spacing w:beforeAutospacing="0" w:afterAutospacing="0" w:line="640" w:lineRule="exact"/>
        <w:ind w:firstLine="640" w:firstLineChars="200"/>
        <w:textAlignment w:val="auto"/>
        <w:rPr>
          <w:rFonts w:hint="eastAsia" w:ascii="仿宋_GB2312" w:eastAsia="仿宋_GB2312" w:cs="Lucida Sans Unicode"/>
          <w:color w:val="000000"/>
          <w:sz w:val="32"/>
          <w:szCs w:val="32"/>
        </w:rPr>
      </w:pPr>
      <w:r>
        <w:rPr>
          <w:rFonts w:hint="eastAsia" w:ascii="仿宋" w:hAnsi="仿宋" w:eastAsia="仿宋" w:cs="仿宋"/>
          <w:color w:val="000000"/>
          <w:sz w:val="32"/>
          <w:szCs w:val="32"/>
          <w:lang w:eastAsia="zh-CN"/>
        </w:rPr>
        <w:t>投标人</w:t>
      </w:r>
      <w:r>
        <w:rPr>
          <w:rFonts w:hint="eastAsia" w:ascii="仿宋_GB2312" w:eastAsia="仿宋_GB2312" w:cs="Lucida Sans Unicode"/>
          <w:color w:val="000000"/>
          <w:sz w:val="32"/>
          <w:szCs w:val="32"/>
        </w:rPr>
        <w:t>供货时须提前通知采购方，并负责将图书送达采购方指定地点。</w:t>
      </w:r>
    </w:p>
    <w:p>
      <w:pPr>
        <w:keepNext w:val="0"/>
        <w:keepLines w:val="0"/>
        <w:pageBreakBefore w:val="0"/>
        <w:kinsoku/>
        <w:overflowPunct/>
        <w:topLinePunct w:val="0"/>
        <w:bidi w:val="0"/>
        <w:adjustRightInd/>
        <w:spacing w:beforeAutospacing="0" w:afterAutospacing="0" w:line="640" w:lineRule="exact"/>
        <w:ind w:firstLine="640" w:firstLineChars="200"/>
        <w:textAlignment w:val="auto"/>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eastAsia="zh-CN"/>
        </w:rPr>
        <w:t>十、</w:t>
      </w:r>
      <w:r>
        <w:rPr>
          <w:rFonts w:hint="eastAsia" w:ascii="黑体" w:hAnsi="黑体" w:eastAsia="黑体" w:cs="黑体"/>
          <w:b w:val="0"/>
          <w:bCs w:val="0"/>
          <w:color w:val="000000"/>
          <w:sz w:val="32"/>
          <w:szCs w:val="32"/>
        </w:rPr>
        <w:t>付款条件</w:t>
      </w:r>
      <w:r>
        <w:rPr>
          <w:rFonts w:hint="eastAsia" w:ascii="黑体" w:hAnsi="黑体" w:eastAsia="黑体" w:cs="黑体"/>
          <w:b w:val="0"/>
          <w:bCs w:val="0"/>
          <w:color w:val="000000"/>
          <w:sz w:val="32"/>
          <w:szCs w:val="32"/>
          <w:lang w:eastAsia="zh-CN"/>
        </w:rPr>
        <w:t>：</w:t>
      </w:r>
    </w:p>
    <w:p>
      <w:pPr>
        <w:keepNext w:val="0"/>
        <w:keepLines w:val="0"/>
        <w:pageBreakBefore w:val="0"/>
        <w:numPr>
          <w:ilvl w:val="0"/>
          <w:numId w:val="0"/>
        </w:numPr>
        <w:kinsoku/>
        <w:overflowPunct/>
        <w:topLinePunct w:val="0"/>
        <w:bidi w:val="0"/>
        <w:adjustRightInd/>
        <w:spacing w:beforeAutospacing="0" w:afterAutospacing="0" w:line="640" w:lineRule="exact"/>
        <w:ind w:firstLine="960" w:firstLineChars="300"/>
        <w:textAlignment w:val="auto"/>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1、</w:t>
      </w:r>
      <w:r>
        <w:rPr>
          <w:rFonts w:hint="eastAsia" w:ascii="仿宋" w:hAnsi="仿宋" w:eastAsia="仿宋" w:cs="仿宋"/>
          <w:color w:val="000000"/>
          <w:sz w:val="32"/>
          <w:szCs w:val="32"/>
          <w:lang w:eastAsia="zh-CN"/>
        </w:rPr>
        <w:t>投标人</w:t>
      </w:r>
      <w:r>
        <w:rPr>
          <w:rFonts w:hint="eastAsia" w:ascii="仿宋_GB2312" w:hAnsi="宋体" w:eastAsia="仿宋_GB2312"/>
          <w:color w:val="000000"/>
          <w:sz w:val="32"/>
          <w:szCs w:val="32"/>
        </w:rPr>
        <w:t>的结算金额按其所报的折扣率及实际采购图书额度计算。</w:t>
      </w:r>
    </w:p>
    <w:p>
      <w:pPr>
        <w:keepNext w:val="0"/>
        <w:keepLines w:val="0"/>
        <w:pageBreakBefore w:val="0"/>
        <w:numPr>
          <w:ilvl w:val="0"/>
          <w:numId w:val="0"/>
        </w:numPr>
        <w:kinsoku/>
        <w:overflowPunct/>
        <w:topLinePunct w:val="0"/>
        <w:bidi w:val="0"/>
        <w:adjustRightInd/>
        <w:spacing w:beforeAutospacing="0" w:afterAutospacing="0" w:line="640" w:lineRule="exact"/>
        <w:ind w:firstLine="960" w:firstLineChars="300"/>
        <w:textAlignment w:val="auto"/>
        <w:rPr>
          <w:rFonts w:ascii="仿宋_GB2312" w:hAnsi="宋体" w:eastAsia="仿宋_GB2312"/>
          <w:color w:val="000000"/>
          <w:sz w:val="32"/>
          <w:szCs w:val="32"/>
        </w:rPr>
      </w:pPr>
      <w:r>
        <w:rPr>
          <w:rFonts w:hint="eastAsia" w:ascii="仿宋_GB2312" w:eastAsia="仿宋_GB2312" w:cs="Lucida Sans Unicode"/>
          <w:color w:val="000000"/>
          <w:sz w:val="32"/>
          <w:szCs w:val="32"/>
          <w:lang w:val="en-US" w:eastAsia="zh-CN"/>
        </w:rPr>
        <w:t>2、</w:t>
      </w:r>
      <w:r>
        <w:rPr>
          <w:rFonts w:hint="eastAsia" w:ascii="仿宋_GB2312" w:eastAsia="仿宋_GB2312" w:cs="Lucida Sans Unicode"/>
          <w:color w:val="000000"/>
          <w:sz w:val="32"/>
          <w:szCs w:val="32"/>
        </w:rPr>
        <w:t>图书折扣应包含图书加工、书标、条码、RFID标签、磁条、盖馆藏章、运输、包装、税费以及符合国家规定的相应的配套服务费用等。</w:t>
      </w:r>
    </w:p>
    <w:p>
      <w:pPr>
        <w:keepNext w:val="0"/>
        <w:keepLines w:val="0"/>
        <w:pageBreakBefore w:val="0"/>
        <w:numPr>
          <w:ilvl w:val="0"/>
          <w:numId w:val="0"/>
        </w:numPr>
        <w:kinsoku/>
        <w:overflowPunct/>
        <w:topLinePunct w:val="0"/>
        <w:bidi w:val="0"/>
        <w:adjustRightInd/>
        <w:spacing w:beforeAutospacing="0" w:afterAutospacing="0" w:line="640" w:lineRule="exact"/>
        <w:ind w:leftChars="0" w:firstLine="960" w:firstLineChars="300"/>
        <w:textAlignment w:val="auto"/>
        <w:rPr>
          <w:rFonts w:hint="eastAsia" w:ascii="仿宋_GB2312" w:hAnsi="宋体" w:eastAsia="仿宋_GB2312"/>
          <w:b/>
          <w:color w:val="000000"/>
          <w:sz w:val="32"/>
          <w:szCs w:val="32"/>
        </w:rPr>
      </w:pPr>
      <w:r>
        <w:rPr>
          <w:rFonts w:hint="eastAsia" w:ascii="仿宋_GB2312" w:hAnsi="宋体" w:eastAsia="仿宋_GB2312"/>
          <w:color w:val="000000"/>
          <w:sz w:val="32"/>
          <w:szCs w:val="32"/>
          <w:lang w:val="en-US" w:eastAsia="zh-CN"/>
        </w:rPr>
        <w:t>3、</w:t>
      </w:r>
      <w:r>
        <w:rPr>
          <w:rFonts w:hint="eastAsia" w:ascii="仿宋_GB2312" w:hAnsi="宋体" w:eastAsia="仿宋_GB2312"/>
          <w:color w:val="000000"/>
          <w:sz w:val="32"/>
          <w:szCs w:val="32"/>
        </w:rPr>
        <w:t>采购方的付款方式为转帐，以人民币结算。</w:t>
      </w:r>
      <w:r>
        <w:rPr>
          <w:rFonts w:hint="eastAsia" w:ascii="仿宋_GB2312" w:hAnsi="宋体" w:eastAsia="仿宋_GB2312"/>
          <w:b/>
          <w:color w:val="000000"/>
          <w:sz w:val="32"/>
          <w:szCs w:val="32"/>
        </w:rPr>
        <w:t>图书价格=图书码洋*折扣率</w:t>
      </w:r>
    </w:p>
    <w:p>
      <w:pPr>
        <w:numPr>
          <w:ilvl w:val="0"/>
          <w:numId w:val="0"/>
        </w:numPr>
        <w:rPr>
          <w:rFonts w:hint="default" w:eastAsia="仿宋"/>
          <w:lang w:val="en-US" w:eastAsia="zh-CN"/>
        </w:rPr>
      </w:pPr>
    </w:p>
    <w:p>
      <w:pPr>
        <w:pStyle w:val="2"/>
        <w:snapToGrid w:val="0"/>
        <w:spacing w:before="319" w:beforeLines="100" w:after="319" w:afterLines="100" w:line="360" w:lineRule="auto"/>
        <w:rPr>
          <w:rFonts w:ascii="仿宋_GB2312" w:hAnsi="仿宋_GB2312" w:eastAsia="仿宋_GB2312" w:cs="仿宋_GB2312"/>
        </w:rPr>
      </w:pPr>
      <w:bookmarkStart w:id="148" w:name="_Toc27579"/>
      <w:bookmarkStart w:id="149" w:name="_Toc25237"/>
      <w:bookmarkStart w:id="150" w:name="_Toc2821_WPSOffice_Level1"/>
      <w:r>
        <w:rPr>
          <w:rFonts w:hint="eastAsia" w:ascii="仿宋_GB2312" w:hAnsi="仿宋_GB2312" w:eastAsia="仿宋_GB2312" w:cs="仿宋_GB2312"/>
        </w:rPr>
        <w:t>第四章 评标方法</w:t>
      </w:r>
      <w:bookmarkEnd w:id="148"/>
      <w:bookmarkEnd w:id="149"/>
      <w:bookmarkEnd w:id="150"/>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kern w:val="0"/>
          <w:szCs w:val="21"/>
        </w:rPr>
      </w:pPr>
      <w:bookmarkStart w:id="151" w:name="_Toc22313_WPSOffice_Level2"/>
      <w:r>
        <w:rPr>
          <w:rFonts w:hint="eastAsia" w:ascii="仿宋_GB2312" w:hAnsi="仿宋_GB2312" w:eastAsia="仿宋_GB2312" w:cs="仿宋_GB2312"/>
          <w:b/>
          <w:kern w:val="0"/>
          <w:szCs w:val="21"/>
        </w:rPr>
        <w:t>一、评标方法</w:t>
      </w:r>
      <w:bookmarkEnd w:id="151"/>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color w:val="FF0000"/>
          <w:kern w:val="0"/>
          <w:szCs w:val="21"/>
          <w:u w:val="single"/>
        </w:rPr>
        <w:t>综合评分法</w:t>
      </w:r>
      <w:r>
        <w:rPr>
          <w:rFonts w:hint="eastAsia" w:ascii="仿宋_GB2312" w:hAnsi="仿宋_GB2312" w:eastAsia="仿宋_GB2312" w:cs="仿宋_GB2312"/>
          <w:kern w:val="0"/>
          <w:szCs w:val="21"/>
        </w:rPr>
        <w:t>进行评标。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bookmarkStart w:id="152" w:name="_Toc21368_WPSOffice_Level2"/>
      <w:r>
        <w:rPr>
          <w:rFonts w:hint="eastAsia" w:ascii="仿宋_GB2312" w:hAnsi="仿宋_GB2312" w:eastAsia="仿宋_GB2312" w:cs="仿宋_GB2312"/>
          <w:b/>
          <w:kern w:val="0"/>
          <w:szCs w:val="21"/>
        </w:rPr>
        <w:t>二、评标原则及程序</w:t>
      </w:r>
      <w:bookmarkEnd w:id="15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对投标报价给予价格扣除，用扣除后的价格参与评审。投标报价扣除比例如下：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w:t>
      </w:r>
      <w:r>
        <w:rPr>
          <w:rFonts w:hint="eastAsia" w:ascii="仿宋_GB2312" w:hAnsi="仿宋_GB2312" w:eastAsia="仿宋_GB2312" w:cs="仿宋_GB2312"/>
          <w:szCs w:val="21"/>
          <w:lang w:val="en-US" w:eastAsia="zh-CN"/>
        </w:rPr>
        <w:t>6</w:t>
      </w:r>
      <w:r>
        <w:rPr>
          <w:rFonts w:hint="eastAsia" w:ascii="仿宋_GB2312" w:hAnsi="仿宋_GB2312" w:eastAsia="仿宋_GB2312" w:cs="仿宋_GB2312"/>
          <w:szCs w:val="21"/>
        </w:rPr>
        <w:t>.1.1条款的比例予以扣除</w:t>
      </w:r>
      <w:r>
        <w:rPr>
          <w:rFonts w:hint="eastAsia" w:ascii="仿宋_GB2312" w:hAnsi="仿宋_GB2312" w:eastAsia="仿宋_GB2312" w:cs="仿宋_GB2312"/>
          <w:kern w:val="0"/>
          <w:szCs w:val="21"/>
        </w:rPr>
        <w:t>，用扣除后的价格参与评审。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keepNext w:val="0"/>
        <w:keepLines w:val="0"/>
        <w:pageBreakBefore w:val="0"/>
        <w:widowControl w:val="0"/>
        <w:kinsoku/>
        <w:wordWrap/>
        <w:overflowPunct/>
        <w:topLinePunct w:val="0"/>
        <w:autoSpaceDE/>
        <w:autoSpaceDN/>
        <w:bidi w:val="0"/>
        <w:adjustRightInd w:val="0"/>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b/>
          <w:kern w:val="0"/>
          <w:szCs w:val="21"/>
        </w:rPr>
      </w:pPr>
      <w:bookmarkStart w:id="153"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5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bookmarkStart w:id="154"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54"/>
    </w:p>
    <w:tbl>
      <w:tblPr>
        <w:tblStyle w:val="17"/>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2" w:hRule="atLeast"/>
          <w:jc w:val="center"/>
        </w:trPr>
        <w:tc>
          <w:tcPr>
            <w:tcW w:w="668" w:type="dxa"/>
            <w:vMerge w:val="restart"/>
            <w:noWrap w:val="0"/>
            <w:vAlign w:val="center"/>
          </w:tcPr>
          <w:p>
            <w:pPr>
              <w:ind w:left="-96"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noWrap w:val="0"/>
            <w:vAlign w:val="center"/>
          </w:tcPr>
          <w:p>
            <w:pPr>
              <w:pStyle w:val="3"/>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noWrap w:val="0"/>
            <w:vAlign w:val="center"/>
          </w:tcPr>
          <w:p>
            <w:pPr>
              <w:pStyle w:val="3"/>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noWrap w:val="0"/>
            <w:vAlign w:val="center"/>
          </w:tcPr>
          <w:p>
            <w:pPr>
              <w:pStyle w:val="3"/>
              <w:adjustRightInd w:val="0"/>
              <w:snapToGrid w:val="0"/>
              <w:spacing w:before="0" w:after="0" w:line="240" w:lineRule="auto"/>
              <w:ind w:left="-96"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7" w:hRule="atLeast"/>
          <w:jc w:val="center"/>
        </w:trPr>
        <w:tc>
          <w:tcPr>
            <w:tcW w:w="668" w:type="dxa"/>
            <w:vMerge w:val="continue"/>
            <w:noWrap w:val="0"/>
            <w:vAlign w:val="center"/>
          </w:tcPr>
          <w:p>
            <w:pPr>
              <w:pStyle w:val="3"/>
              <w:adjustRightInd w:val="0"/>
              <w:snapToGrid w:val="0"/>
              <w:spacing w:before="0" w:after="0" w:line="240" w:lineRule="auto"/>
              <w:outlineLvl w:val="9"/>
              <w:rPr>
                <w:rFonts w:ascii="仿宋_GB2312" w:hAnsi="仿宋_GB2312" w:eastAsia="仿宋_GB2312" w:cs="仿宋_GB2312"/>
              </w:rPr>
            </w:pPr>
          </w:p>
        </w:tc>
        <w:tc>
          <w:tcPr>
            <w:tcW w:w="3837" w:type="dxa"/>
            <w:vMerge w:val="continue"/>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1982" w:type="dxa"/>
            <w:vMerge w:val="continue"/>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0"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68"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jc w:val="center"/>
        </w:trPr>
        <w:tc>
          <w:tcPr>
            <w:tcW w:w="668"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668"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8" w:hRule="atLeast"/>
          <w:jc w:val="center"/>
        </w:trPr>
        <w:tc>
          <w:tcPr>
            <w:tcW w:w="668"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6" w:hRule="atLeast"/>
          <w:jc w:val="center"/>
        </w:trPr>
        <w:tc>
          <w:tcPr>
            <w:tcW w:w="668" w:type="dxa"/>
            <w:noWrap w:val="0"/>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1"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2"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6"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8"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66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both"/>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668" w:type="dxa"/>
            <w:noWrap w:val="0"/>
            <w:vAlign w:val="center"/>
          </w:tcPr>
          <w:p>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3837" w:type="dxa"/>
            <w:noWrap w:val="0"/>
            <w:vAlign w:val="center"/>
          </w:tcPr>
          <w:p>
            <w:pPr>
              <w:snapToGrid w:val="0"/>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中小企业声明函</w:t>
            </w:r>
          </w:p>
        </w:tc>
        <w:tc>
          <w:tcPr>
            <w:tcW w:w="1982"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668" w:type="dxa"/>
            <w:noWrap w:val="0"/>
            <w:vAlign w:val="center"/>
          </w:tcPr>
          <w:p>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3837"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rPr>
              <w:t>……</w:t>
            </w:r>
          </w:p>
        </w:tc>
        <w:tc>
          <w:tcPr>
            <w:tcW w:w="1982" w:type="dxa"/>
            <w:noWrap w:val="0"/>
            <w:vAlign w:val="center"/>
          </w:tcPr>
          <w:p>
            <w:pPr>
              <w:pStyle w:val="3"/>
              <w:adjustRightInd w:val="0"/>
              <w:snapToGrid w:val="0"/>
              <w:spacing w:before="0" w:after="0" w:line="240" w:lineRule="auto"/>
              <w:jc w:val="both"/>
              <w:outlineLvl w:val="9"/>
              <w:rPr>
                <w:rFonts w:ascii="仿宋_GB2312" w:hAnsi="仿宋_GB2312" w:eastAsia="仿宋_GB2312" w:cs="仿宋_GB2312"/>
                <w:b w:val="0"/>
                <w:sz w:val="21"/>
                <w:szCs w:val="21"/>
              </w:rPr>
            </w:pP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6" w:hRule="atLeast"/>
          <w:jc w:val="center"/>
        </w:trPr>
        <w:tc>
          <w:tcPr>
            <w:tcW w:w="668" w:type="dxa"/>
            <w:noWrap w:val="0"/>
            <w:vAlign w:val="center"/>
          </w:tcPr>
          <w:p>
            <w:pPr>
              <w:snapToGrid w:val="0"/>
              <w:jc w:val="center"/>
              <w:rPr>
                <w:rFonts w:ascii="仿宋_GB2312" w:hAnsi="仿宋_GB2312" w:eastAsia="仿宋_GB2312" w:cs="仿宋_GB2312"/>
              </w:rPr>
            </w:pPr>
          </w:p>
        </w:tc>
        <w:tc>
          <w:tcPr>
            <w:tcW w:w="3837"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noWrap w:val="0"/>
            <w:vAlign w:val="center"/>
          </w:tcPr>
          <w:p>
            <w:pPr>
              <w:pStyle w:val="3"/>
              <w:adjustRightInd w:val="0"/>
              <w:snapToGrid w:val="0"/>
              <w:spacing w:before="0" w:after="0" w:line="240" w:lineRule="auto"/>
              <w:jc w:val="both"/>
              <w:outlineLvl w:val="9"/>
              <w:rPr>
                <w:rFonts w:ascii="仿宋_GB2312" w:hAnsi="仿宋_GB2312" w:eastAsia="仿宋_GB2312" w:cs="仿宋_GB2312"/>
                <w:sz w:val="21"/>
                <w:szCs w:val="21"/>
              </w:rPr>
            </w:pPr>
          </w:p>
        </w:tc>
        <w:tc>
          <w:tcPr>
            <w:tcW w:w="986"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962"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c>
          <w:tcPr>
            <w:tcW w:w="888" w:type="dxa"/>
            <w:noWrap w:val="0"/>
            <w:vAlign w:val="center"/>
          </w:tcPr>
          <w:p>
            <w:pPr>
              <w:pStyle w:val="3"/>
              <w:adjustRightInd w:val="0"/>
              <w:snapToGrid w:val="0"/>
              <w:spacing w:before="0" w:after="0" w:line="240" w:lineRule="auto"/>
              <w:jc w:val="center"/>
              <w:outlineLvl w:val="9"/>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pStyle w:val="14"/>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sz w:val="21"/>
          <w:szCs w:val="21"/>
        </w:rPr>
        <w:t>审查人签字：</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55" w:name="_Toc11558_WPSOffice_Level2"/>
      <w:r>
        <w:rPr>
          <w:rFonts w:hint="eastAsia" w:ascii="仿宋_GB2312" w:hAnsi="仿宋_GB2312" w:eastAsia="仿宋_GB2312" w:cs="仿宋_GB2312"/>
          <w:szCs w:val="28"/>
        </w:rPr>
        <w:t>附件2</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55"/>
    </w:p>
    <w:tbl>
      <w:tblPr>
        <w:tblStyle w:val="17"/>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2" w:hRule="atLeast"/>
          <w:jc w:val="center"/>
        </w:trPr>
        <w:tc>
          <w:tcPr>
            <w:tcW w:w="648" w:type="dxa"/>
            <w:vMerge w:val="restart"/>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noWrap w:val="0"/>
            <w:vAlign w:val="center"/>
          </w:tcPr>
          <w:p>
            <w:pPr>
              <w:ind w:left="-84" w:leftChars="-40" w:right="-75"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7" w:hRule="atLeast"/>
          <w:jc w:val="center"/>
        </w:trPr>
        <w:tc>
          <w:tcPr>
            <w:tcW w:w="648" w:type="dxa"/>
            <w:vMerge w:val="continue"/>
            <w:noWrap w:val="0"/>
            <w:vAlign w:val="center"/>
          </w:tcPr>
          <w:p>
            <w:pPr>
              <w:pStyle w:val="3"/>
              <w:adjustRightInd w:val="0"/>
              <w:snapToGrid w:val="0"/>
              <w:spacing w:before="0" w:after="0" w:line="240" w:lineRule="auto"/>
              <w:outlineLvl w:val="9"/>
              <w:rPr>
                <w:rFonts w:ascii="仿宋_GB2312" w:hAnsi="仿宋_GB2312" w:eastAsia="仿宋_GB2312" w:cs="仿宋_GB2312"/>
              </w:rPr>
            </w:pPr>
          </w:p>
        </w:tc>
        <w:tc>
          <w:tcPr>
            <w:tcW w:w="2606" w:type="dxa"/>
            <w:vMerge w:val="continue"/>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3004" w:type="dxa"/>
            <w:vMerge w:val="continue"/>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1095" w:type="dxa"/>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4"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center"/>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6" w:hRule="atLeast"/>
          <w:jc w:val="center"/>
        </w:trPr>
        <w:tc>
          <w:tcPr>
            <w:tcW w:w="648"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8"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1"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14"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1"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9"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70"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noWrap w:val="0"/>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3" w:hRule="atLeast"/>
          <w:jc w:val="center"/>
        </w:trPr>
        <w:tc>
          <w:tcPr>
            <w:tcW w:w="64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1" w:hRule="atLeast"/>
          <w:jc w:val="center"/>
        </w:trPr>
        <w:tc>
          <w:tcPr>
            <w:tcW w:w="64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noWrap w:val="0"/>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noWrap w:val="0"/>
            <w:vAlign w:val="top"/>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62" w:hRule="atLeast"/>
          <w:jc w:val="center"/>
        </w:trPr>
        <w:tc>
          <w:tcPr>
            <w:tcW w:w="648"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noWrap w:val="0"/>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noWrap w:val="0"/>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20" w:hRule="atLeast"/>
          <w:jc w:val="center"/>
        </w:trPr>
        <w:tc>
          <w:tcPr>
            <w:tcW w:w="648" w:type="dxa"/>
            <w:noWrap w:val="0"/>
            <w:vAlign w:val="center"/>
          </w:tcPr>
          <w:p>
            <w:pPr>
              <w:snapToGrid w:val="0"/>
              <w:jc w:val="center"/>
              <w:rPr>
                <w:rFonts w:ascii="仿宋_GB2312" w:hAnsi="仿宋_GB2312" w:eastAsia="仿宋_GB2312" w:cs="仿宋_GB2312"/>
              </w:rPr>
            </w:pPr>
          </w:p>
        </w:tc>
        <w:tc>
          <w:tcPr>
            <w:tcW w:w="2606" w:type="dxa"/>
            <w:noWrap w:val="0"/>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109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85"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c>
          <w:tcPr>
            <w:tcW w:w="912" w:type="dxa"/>
            <w:noWrap w:val="0"/>
            <w:vAlign w:val="top"/>
          </w:tcPr>
          <w:p>
            <w:pPr>
              <w:pStyle w:val="3"/>
              <w:adjustRightInd w:val="0"/>
              <w:snapToGrid w:val="0"/>
              <w:spacing w:before="0" w:after="0" w:line="240" w:lineRule="auto"/>
              <w:outlineLvl w:val="9"/>
              <w:rPr>
                <w:rFonts w:ascii="仿宋_GB2312" w:hAnsi="仿宋_GB2312" w:eastAsia="仿宋_GB2312" w:cs="仿宋_GB2312"/>
                <w:sz w:val="21"/>
                <w:szCs w:val="21"/>
              </w:rPr>
            </w:pPr>
          </w:p>
        </w:tc>
      </w:tr>
    </w:tbl>
    <w:p>
      <w:pPr>
        <w:ind w:right="-630" w:rightChars="-300"/>
        <w:rPr>
          <w:rFonts w:hint="eastAsia"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ascii="仿宋_GB2312" w:hAnsi="仿宋_GB2312" w:eastAsia="仿宋_GB2312" w:cs="仿宋_GB2312"/>
        </w:rPr>
      </w:pPr>
    </w:p>
    <w:p>
      <w:pPr>
        <w:pStyle w:val="14"/>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4"/>
        <w:widowControl w:val="0"/>
        <w:snapToGrid w:val="0"/>
        <w:spacing w:before="0" w:beforeAutospacing="0" w:after="0" w:afterAutospacing="0" w:line="480" w:lineRule="auto"/>
        <w:ind w:left="5880" w:hanging="5880" w:hangingChars="2800"/>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sz w:val="32"/>
          <w:szCs w:val="32"/>
        </w:rPr>
      </w:pPr>
      <w:bookmarkStart w:id="156" w:name="_Toc17433_WPSOffice_Level2"/>
      <w:r>
        <w:rPr>
          <w:rFonts w:hint="eastAsia" w:ascii="仿宋_GB2312" w:hAnsi="仿宋_GB2312" w:eastAsia="仿宋_GB2312" w:cs="仿宋_GB2312"/>
          <w:szCs w:val="28"/>
        </w:rPr>
        <w:t>附件3</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6"/>
    </w:p>
    <w:p>
      <w:pPr>
        <w:jc w:val="center"/>
        <w:rPr>
          <w:rFonts w:ascii="仿宋_GB2312" w:hAnsi="仿宋_GB2312" w:eastAsia="仿宋_GB2312" w:cs="仿宋_GB2312"/>
          <w:b/>
          <w:sz w:val="28"/>
          <w:szCs w:val="28"/>
        </w:rPr>
      </w:pPr>
      <w:bookmarkStart w:id="157" w:name="_Toc28142_WPSOffice_Level2"/>
      <w:r>
        <w:rPr>
          <w:rFonts w:hint="eastAsia" w:ascii="仿宋_GB2312" w:hAnsi="仿宋_GB2312" w:eastAsia="仿宋_GB2312" w:cs="仿宋_GB2312"/>
          <w:b/>
          <w:sz w:val="28"/>
          <w:szCs w:val="28"/>
        </w:rPr>
        <w:t>（综合评分法适用）</w:t>
      </w:r>
      <w:bookmarkEnd w:id="157"/>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tbl>
      <w:tblPr>
        <w:tblStyle w:val="17"/>
        <w:tblW w:w="5363" w:type="pct"/>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363"/>
        <w:gridCol w:w="6169"/>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b/>
                <w:color w:val="000000"/>
                <w:sz w:val="21"/>
              </w:rPr>
            </w:pPr>
            <w:r>
              <w:rPr>
                <w:rFonts w:ascii="仿宋_GB2312" w:hAnsi="仿宋_GB2312" w:eastAsia="仿宋_GB2312" w:cs="仿宋_GB2312"/>
                <w:b/>
                <w:color w:val="000000"/>
                <w:sz w:val="21"/>
              </w:rPr>
              <w:t>项目</w:t>
            </w: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b/>
                <w:color w:val="000000"/>
                <w:sz w:val="21"/>
              </w:rPr>
            </w:pPr>
            <w:r>
              <w:rPr>
                <w:rFonts w:ascii="仿宋_GB2312" w:hAnsi="仿宋_GB2312" w:eastAsia="仿宋_GB2312" w:cs="仿宋_GB2312"/>
                <w:b/>
                <w:color w:val="000000"/>
                <w:sz w:val="21"/>
              </w:rPr>
              <w:t>分项名称</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b/>
                <w:color w:val="000000"/>
                <w:sz w:val="21"/>
              </w:rPr>
            </w:pPr>
            <w:r>
              <w:rPr>
                <w:rFonts w:ascii="仿宋_GB2312" w:hAnsi="仿宋_GB2312" w:eastAsia="仿宋_GB2312" w:cs="仿宋_GB2312"/>
                <w:b/>
                <w:color w:val="000000"/>
                <w:sz w:val="21"/>
              </w:rPr>
              <w:t>评分标准</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b/>
                <w:color w:val="000000"/>
                <w:sz w:val="21"/>
              </w:rPr>
            </w:pPr>
            <w:r>
              <w:rPr>
                <w:rFonts w:ascii="仿宋_GB2312" w:hAnsi="仿宋_GB2312" w:eastAsia="仿宋_GB2312" w:cs="仿宋_GB2312"/>
                <w:b/>
                <w:color w:val="000000"/>
                <w:sz w:val="21"/>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价格部分</w:t>
            </w: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kern w:val="2"/>
                <w:sz w:val="21"/>
                <w:szCs w:val="21"/>
                <w:shd w:val="clear" w:color="auto" w:fill="FFFFFF"/>
                <w:lang w:val="en-US" w:eastAsia="zh-CN" w:bidi="ar-SA"/>
              </w:rPr>
              <w:t>优惠报价折价系数（折扣）</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jc w:val="left"/>
              <w:rPr>
                <w:rFonts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1:合理最低优惠报价折价系数满分。</w:t>
            </w:r>
          </w:p>
          <w:p>
            <w:pPr>
              <w:jc w:val="left"/>
              <w:rPr>
                <w:rFonts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2:投标人优惠报价折价系数得分为：</w:t>
            </w:r>
          </w:p>
          <w:p>
            <w:pPr>
              <w:jc w:val="left"/>
              <w:rPr>
                <w:rFonts w:hint="default"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投标人价格部分得分=合理最低优惠报价折价系数/投标人优惠报价折价系数×30</w:t>
            </w:r>
          </w:p>
          <w:p>
            <w:pPr>
              <w:jc w:val="left"/>
              <w:rPr>
                <w:rFonts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关于合理最低优惠报价折价系数的说明：</w:t>
            </w:r>
          </w:p>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kern w:val="2"/>
                <w:sz w:val="21"/>
                <w:szCs w:val="21"/>
                <w:shd w:val="clear" w:color="auto" w:fill="FFFFFF"/>
                <w:lang w:val="en-US" w:eastAsia="zh-CN" w:bidi="ar-SA"/>
              </w:rPr>
              <w:t>合理最低优惠报价折价系数为投标人有效最低优惠报价折价系数。投标人优惠报价折价系数中明显低于其他通过符合性审查投标人的优惠报价折价系数，有可能影响产品质量或者不能诚信履约的，应当要求其在评标现场合理的时间内提供书面说明，必要时提交相关证明材料；投标人不能证明合理性的，评标委员会应当将其作为无效投标处理。</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default" w:ascii="仿宋_GB2312" w:hAnsi="仿宋_GB2312" w:eastAsia="仿宋_GB2312" w:cs="仿宋_GB2312"/>
                <w:color w:val="000000"/>
                <w:sz w:val="21"/>
                <w:lang w:val="en-US" w:eastAsia="zh-CN"/>
              </w:rPr>
            </w:pPr>
            <w:r>
              <w:rPr>
                <w:rFonts w:ascii="仿宋_GB2312" w:hAnsi="仿宋_GB2312" w:eastAsia="仿宋_GB2312" w:cs="仿宋_GB2312"/>
                <w:color w:val="000000"/>
                <w:sz w:val="21"/>
              </w:rPr>
              <w:t>3</w:t>
            </w:r>
            <w:r>
              <w:rPr>
                <w:rFonts w:hint="eastAsia" w:ascii="仿宋_GB2312" w:hAnsi="仿宋_GB2312" w:eastAsia="仿宋_GB2312" w:cs="仿宋_GB2312"/>
                <w:color w:val="000000"/>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restar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技术部分</w:t>
            </w: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售后服务保障方案</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投标人</w:t>
            </w:r>
            <w:r>
              <w:rPr>
                <w:rFonts w:ascii="仿宋_GB2312" w:hAnsi="仿宋_GB2312" w:eastAsia="仿宋_GB2312" w:cs="仿宋_GB2312"/>
                <w:color w:val="000000"/>
                <w:sz w:val="21"/>
              </w:rPr>
              <w:t>根据本项目需求，提供售后服务保障方案：</w:t>
            </w:r>
          </w:p>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1.优秀标准：售后服务保障措施科学、合理、售后服务系统完善、针对性强，综合实力强大，充分考虑采购人订单需求、退货处理等各方面需求，得5-6分；</w:t>
            </w:r>
          </w:p>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2.良好标准：售后服务保障措施比较科学、合理、售后服务系统完善、针对性强，综合实力较为强大，比较合理的考虑采购人订单需求、退货处理等各方面需求，得3-4分；</w:t>
            </w:r>
          </w:p>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3.一般标准：售后服务保障措施一般，未考虑采购人订单需求、退货处理等各方面需求，得1-2分；</w:t>
            </w:r>
          </w:p>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4.方案不明确或无方案不得分。（提供方案，格式自拟）</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kern w:val="2"/>
                <w:sz w:val="21"/>
                <w:szCs w:val="21"/>
                <w:shd w:val="clear" w:color="auto" w:fill="FFFFFF"/>
                <w:lang w:val="en-US" w:eastAsia="zh-CN" w:bidi="ar-SA"/>
              </w:rPr>
              <w:t>图书到货率</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14"/>
              <w:snapToGrid w:val="0"/>
              <w:spacing w:before="0" w:beforeAutospacing="0" w:after="0" w:afterAutospacing="0"/>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现货≥98%,且预订≥92％的，得3分；</w:t>
            </w:r>
          </w:p>
          <w:p>
            <w:pPr>
              <w:pStyle w:val="14"/>
              <w:numPr>
                <w:ilvl w:val="0"/>
                <w:numId w:val="11"/>
              </w:numPr>
              <w:snapToGrid w:val="0"/>
              <w:spacing w:before="0" w:beforeAutospacing="0" w:after="0" w:afterAutospacing="0"/>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98%＞现货≥95%,且92%＞预订≥90％的，得2分；</w:t>
            </w:r>
          </w:p>
          <w:p>
            <w:pPr>
              <w:pStyle w:val="14"/>
              <w:numPr>
                <w:ilvl w:val="0"/>
                <w:numId w:val="11"/>
              </w:numPr>
              <w:snapToGrid w:val="0"/>
              <w:spacing w:before="0" w:beforeAutospacing="0" w:after="0" w:afterAutospacing="0"/>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98%＞现货≥95%或92%＞预订≥90％中仅达到其中一项的，得1分；</w:t>
            </w:r>
          </w:p>
          <w:p>
            <w:pPr>
              <w:pStyle w:val="14"/>
              <w:numPr>
                <w:ilvl w:val="0"/>
                <w:numId w:val="11"/>
              </w:numPr>
              <w:snapToGrid w:val="0"/>
              <w:spacing w:before="0" w:beforeAutospacing="0" w:after="0" w:afterAutospacing="0"/>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现货＜95%或者预订＜90%的，不得分。</w:t>
            </w:r>
          </w:p>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kern w:val="2"/>
                <w:sz w:val="21"/>
                <w:szCs w:val="21"/>
                <w:shd w:val="clear" w:color="auto" w:fill="FFFFFF"/>
                <w:lang w:val="en-US" w:eastAsia="zh-CN" w:bidi="ar-SA"/>
              </w:rPr>
              <w:t>以明确提供符合上述要求的盖章承诺书加盖投标人公章作为得分依据。</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供货能力</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 xml:space="preserve">1、授权投标人销售图书的国内正式图书出版社的数量≥200家，得3分； </w:t>
            </w:r>
          </w:p>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2、200家＞授权投标人销售图书的国内正式图书出版社的数量≥150家，得2分；</w:t>
            </w:r>
          </w:p>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3、150家＞授权投标人销售图书的国内正式图书出版社的数量≥100家，得1分；</w:t>
            </w:r>
          </w:p>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不符合上述条件不得分。</w:t>
            </w:r>
          </w:p>
          <w:p>
            <w:pPr>
              <w:pStyle w:val="39"/>
              <w:numPr>
                <w:ilvl w:val="0"/>
                <w:numId w:val="0"/>
              </w:numPr>
              <w:rPr>
                <w:rFonts w:ascii="仿宋_GB2312" w:hAnsi="仿宋_GB2312" w:eastAsia="仿宋_GB2312" w:cs="仿宋_GB2312"/>
                <w:color w:val="000000"/>
                <w:sz w:val="21"/>
              </w:rPr>
            </w:pPr>
            <w:r>
              <w:rPr>
                <w:rFonts w:hint="eastAsia" w:ascii="仿宋_GB2312" w:hAnsi="仿宋_GB2312" w:eastAsia="仿宋_GB2312" w:cs="仿宋_GB2312"/>
                <w:color w:val="000000"/>
                <w:kern w:val="2"/>
                <w:sz w:val="21"/>
                <w:szCs w:val="21"/>
                <w:shd w:val="clear" w:color="auto" w:fill="FFFFFF"/>
                <w:lang w:val="en-US" w:eastAsia="zh-CN" w:bidi="ar-SA"/>
              </w:rPr>
              <w:t>（提供授权投标人销售的出版社名录一览表，提供2022年度出版社销售授权委托书复印件，一家出版社一份授权。</w:t>
            </w:r>
            <w:r>
              <w:rPr>
                <w:rFonts w:hint="eastAsia" w:ascii="仿宋_GB2312" w:hAnsi="仿宋_GB2312" w:eastAsia="仿宋_GB2312" w:cs="仿宋_GB2312"/>
                <w:color w:val="000000"/>
                <w:sz w:val="21"/>
              </w:rPr>
              <w:t>提供联系方式现场</w:t>
            </w:r>
            <w:r>
              <w:rPr>
                <w:rFonts w:hint="eastAsia" w:ascii="仿宋_GB2312" w:hAnsi="仿宋_GB2312" w:eastAsia="仿宋_GB2312" w:cs="仿宋_GB2312"/>
                <w:color w:val="000000"/>
                <w:sz w:val="21"/>
                <w:lang w:val="en-US" w:eastAsia="zh-CN"/>
              </w:rPr>
              <w:t>核</w:t>
            </w:r>
            <w:r>
              <w:rPr>
                <w:rFonts w:hint="eastAsia" w:ascii="仿宋_GB2312" w:hAnsi="仿宋_GB2312" w:eastAsia="仿宋_GB2312" w:cs="仿宋_GB2312"/>
                <w:color w:val="000000"/>
                <w:sz w:val="21"/>
              </w:rPr>
              <w:t>查</w:t>
            </w:r>
            <w:r>
              <w:rPr>
                <w:rFonts w:hint="eastAsia" w:ascii="仿宋_GB2312" w:hAnsi="仿宋_GB2312" w:eastAsia="仿宋_GB2312" w:cs="仿宋_GB2312"/>
                <w:color w:val="000000"/>
                <w:sz w:val="21"/>
                <w:lang w:eastAsia="zh-CN"/>
              </w:rPr>
              <w:t>。</w:t>
            </w:r>
            <w:r>
              <w:rPr>
                <w:rFonts w:hint="eastAsia" w:ascii="仿宋_GB2312" w:hAnsi="仿宋_GB2312" w:eastAsia="仿宋_GB2312" w:cs="仿宋_GB2312"/>
                <w:color w:val="000000"/>
                <w:sz w:val="21"/>
              </w:rPr>
              <w:t>）</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vMerge w:val="restar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专业技术力量</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16"/>
              <w:ind w:left="0" w:leftChars="0" w:firstLine="0" w:firstLineChars="0"/>
              <w:rPr>
                <w:rFonts w:hint="eastAsia" w:ascii="仿宋_GB2312" w:hAnsi="仿宋_GB2312" w:eastAsia="仿宋_GB2312" w:cs="仿宋_GB2312"/>
                <w:color w:val="000000"/>
                <w:kern w:val="2"/>
                <w:sz w:val="21"/>
                <w:szCs w:val="21"/>
                <w:shd w:val="clear" w:color="auto" w:fill="FFFFFF"/>
                <w:lang w:val="en-US" w:eastAsia="zh-CN" w:bidi="ar-SA"/>
              </w:rPr>
            </w:pPr>
            <w:r>
              <w:rPr>
                <w:rStyle w:val="23"/>
                <w:rFonts w:hint="eastAsia" w:ascii="仿宋_GB2312" w:hAnsi="仿宋_GB2312" w:eastAsia="仿宋_GB2312" w:cs="仿宋_GB2312"/>
                <w:color w:val="000000"/>
                <w:sz w:val="21"/>
                <w:lang w:val="en-US" w:eastAsia="zh-CN"/>
              </w:rPr>
              <w:t>1.投标人具备专业技术力量，</w:t>
            </w:r>
            <w:r>
              <w:rPr>
                <w:rFonts w:hint="eastAsia" w:ascii="仿宋_GB2312" w:hAnsi="仿宋_GB2312" w:eastAsia="仿宋_GB2312" w:cs="仿宋_GB2312"/>
                <w:color w:val="000000"/>
                <w:kern w:val="2"/>
                <w:sz w:val="21"/>
                <w:szCs w:val="21"/>
                <w:shd w:val="clear" w:color="auto" w:fill="FFFFFF"/>
                <w:lang w:val="en-US" w:eastAsia="zh-CN" w:bidi="ar-SA"/>
              </w:rPr>
              <w:t>能提供CALIS联机合作编目中心编目员证书或国家图书馆颁发的国图编目证书或中图分类法（或中国机读目录格式CNMARC）上岗证。</w:t>
            </w:r>
            <w:r>
              <w:rPr>
                <w:rStyle w:val="23"/>
                <w:rFonts w:hint="eastAsia" w:ascii="仿宋_GB2312" w:hAnsi="仿宋_GB2312" w:eastAsia="仿宋_GB2312" w:cs="仿宋_GB2312"/>
                <w:color w:val="000000"/>
                <w:sz w:val="21"/>
              </w:rPr>
              <w:t>数量大于</w:t>
            </w:r>
            <w:r>
              <w:rPr>
                <w:rStyle w:val="23"/>
                <w:rFonts w:hint="eastAsia" w:ascii="仿宋_GB2312" w:hAnsi="仿宋_GB2312" w:eastAsia="仿宋_GB2312" w:cs="仿宋_GB2312"/>
                <w:color w:val="000000"/>
                <w:sz w:val="21"/>
                <w:lang w:val="en-US" w:eastAsia="zh-CN"/>
              </w:rPr>
              <w:t>10</w:t>
            </w:r>
            <w:r>
              <w:rPr>
                <w:rStyle w:val="23"/>
                <w:rFonts w:hint="eastAsia" w:ascii="仿宋_GB2312" w:hAnsi="仿宋_GB2312" w:eastAsia="仿宋_GB2312" w:cs="仿宋_GB2312"/>
                <w:color w:val="000000"/>
                <w:sz w:val="21"/>
              </w:rPr>
              <w:t>人（含</w:t>
            </w:r>
            <w:r>
              <w:rPr>
                <w:rStyle w:val="23"/>
                <w:rFonts w:hint="eastAsia" w:ascii="仿宋_GB2312" w:hAnsi="仿宋_GB2312" w:eastAsia="仿宋_GB2312" w:cs="仿宋_GB2312"/>
                <w:color w:val="000000"/>
                <w:sz w:val="21"/>
                <w:lang w:val="en-US" w:eastAsia="zh-CN"/>
              </w:rPr>
              <w:t>10</w:t>
            </w:r>
            <w:r>
              <w:rPr>
                <w:rStyle w:val="23"/>
                <w:rFonts w:hint="eastAsia" w:ascii="仿宋_GB2312" w:hAnsi="仿宋_GB2312" w:eastAsia="仿宋_GB2312" w:cs="仿宋_GB2312"/>
                <w:color w:val="000000"/>
                <w:sz w:val="21"/>
              </w:rPr>
              <w:t>人），</w:t>
            </w:r>
            <w:r>
              <w:rPr>
                <w:rStyle w:val="23"/>
                <w:rFonts w:hint="eastAsia" w:ascii="仿宋_GB2312" w:hAnsi="仿宋_GB2312" w:eastAsia="仿宋_GB2312" w:cs="仿宋_GB2312"/>
                <w:color w:val="000000"/>
                <w:sz w:val="21"/>
                <w:lang w:eastAsia="zh-CN"/>
              </w:rPr>
              <w:t>每提供一份得</w:t>
            </w:r>
            <w:r>
              <w:rPr>
                <w:rStyle w:val="23"/>
                <w:rFonts w:hint="eastAsia" w:ascii="仿宋_GB2312" w:hAnsi="仿宋_GB2312" w:eastAsia="仿宋_GB2312" w:cs="仿宋_GB2312"/>
                <w:color w:val="000000"/>
                <w:sz w:val="21"/>
                <w:lang w:val="en-US" w:eastAsia="zh-CN"/>
              </w:rPr>
              <w:t>0.5分，最多得5</w:t>
            </w:r>
            <w:r>
              <w:rPr>
                <w:rStyle w:val="23"/>
                <w:rFonts w:hint="eastAsia" w:ascii="仿宋_GB2312" w:hAnsi="仿宋_GB2312" w:eastAsia="仿宋_GB2312" w:cs="仿宋_GB2312"/>
                <w:color w:val="000000"/>
                <w:sz w:val="21"/>
              </w:rPr>
              <w:t>分</w:t>
            </w:r>
            <w:r>
              <w:rPr>
                <w:rStyle w:val="23"/>
                <w:rFonts w:hint="eastAsia" w:ascii="仿宋_GB2312" w:hAnsi="仿宋_GB2312" w:eastAsia="仿宋_GB2312" w:cs="仿宋_GB2312"/>
                <w:color w:val="000000"/>
                <w:sz w:val="21"/>
                <w:lang w:eastAsia="zh-CN"/>
              </w:rPr>
              <w:t>（</w:t>
            </w:r>
            <w:r>
              <w:rPr>
                <w:rStyle w:val="23"/>
                <w:rFonts w:hint="eastAsia" w:ascii="仿宋_GB2312" w:hAnsi="仿宋_GB2312" w:eastAsia="仿宋_GB2312" w:cs="仿宋_GB2312"/>
                <w:color w:val="000000"/>
                <w:sz w:val="21"/>
              </w:rPr>
              <w:t>提供</w:t>
            </w:r>
            <w:r>
              <w:rPr>
                <w:rStyle w:val="23"/>
                <w:rFonts w:hint="eastAsia" w:ascii="仿宋_GB2312" w:hAnsi="仿宋_GB2312" w:eastAsia="仿宋_GB2312" w:cs="仿宋_GB2312"/>
                <w:color w:val="000000"/>
                <w:sz w:val="21"/>
                <w:lang w:val="en-US" w:eastAsia="zh-CN"/>
              </w:rPr>
              <w:t>人员</w:t>
            </w:r>
            <w:r>
              <w:rPr>
                <w:rStyle w:val="23"/>
                <w:rFonts w:hint="eastAsia" w:ascii="仿宋_GB2312" w:hAnsi="仿宋_GB2312" w:eastAsia="仿宋_GB2312" w:cs="仿宋_GB2312"/>
                <w:color w:val="000000"/>
                <w:sz w:val="21"/>
              </w:rPr>
              <w:t>证书、社保证明</w:t>
            </w:r>
            <w:r>
              <w:rPr>
                <w:rStyle w:val="23"/>
                <w:rFonts w:hint="eastAsia" w:ascii="仿宋_GB2312" w:hAnsi="仿宋_GB2312" w:eastAsia="仿宋_GB2312" w:cs="仿宋_GB2312"/>
                <w:color w:val="000000"/>
                <w:sz w:val="21"/>
                <w:lang w:val="en-US" w:eastAsia="zh-CN"/>
              </w:rPr>
              <w:t>复印件加盖公章</w:t>
            </w:r>
            <w:r>
              <w:rPr>
                <w:rStyle w:val="23"/>
                <w:rFonts w:hint="eastAsia" w:ascii="仿宋_GB2312" w:hAnsi="仿宋_GB2312" w:eastAsia="仿宋_GB2312" w:cs="仿宋_GB2312"/>
                <w:color w:val="000000"/>
                <w:sz w:val="21"/>
                <w:lang w:eastAsia="zh-CN"/>
              </w:rPr>
              <w:t>）。</w:t>
            </w:r>
          </w:p>
          <w:p>
            <w:pPr>
              <w:pStyle w:val="39"/>
              <w:numPr>
                <w:ilvl w:val="0"/>
                <w:numId w:val="0"/>
              </w:numPr>
              <w:rPr>
                <w:rStyle w:val="23"/>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证书须网上核验calis查询:http://ucc.calis.edu.cn:8090/jsp/check.jsp;国图编目网址：</w:t>
            </w:r>
            <w:r>
              <w:rPr>
                <w:rFonts w:hint="eastAsia" w:ascii="仿宋_GB2312" w:hAnsi="仿宋_GB2312" w:eastAsia="仿宋_GB2312" w:cs="仿宋_GB2312"/>
                <w:color w:val="000000"/>
                <w:kern w:val="2"/>
                <w:sz w:val="21"/>
                <w:szCs w:val="21"/>
                <w:shd w:val="clear" w:color="auto" w:fill="FFFFFF"/>
                <w:lang w:val="en-US" w:eastAsia="zh-CN" w:bidi="ar-SA"/>
              </w:rPr>
              <w:fldChar w:fldCharType="begin"/>
            </w:r>
            <w:r>
              <w:rPr>
                <w:rFonts w:hint="eastAsia" w:ascii="仿宋_GB2312" w:hAnsi="仿宋_GB2312" w:eastAsia="仿宋_GB2312" w:cs="仿宋_GB2312"/>
                <w:color w:val="000000"/>
                <w:kern w:val="2"/>
                <w:sz w:val="21"/>
                <w:szCs w:val="21"/>
                <w:shd w:val="clear" w:color="auto" w:fill="FFFFFF"/>
                <w:lang w:val="en-US" w:eastAsia="zh-CN" w:bidi="ar-SA"/>
              </w:rPr>
              <w:instrText xml:space="preserve"> HYPERLINK "http://edu.nlc.cn/study/list/zscx.php），每具有一个得1分，最多得4分（复印件加盖投标人公章）投标人具备专业技术力量，有CALIS三级及以上编目员资格证书的专业编目人员数量大于10人（含10人），每提供一份得0.5分，最多得5分（提供人员证书、社保证明原件现场核查，无原件不得分）；" </w:instrText>
            </w:r>
            <w:r>
              <w:rPr>
                <w:rFonts w:hint="eastAsia" w:ascii="仿宋_GB2312" w:hAnsi="仿宋_GB2312" w:eastAsia="仿宋_GB2312" w:cs="仿宋_GB2312"/>
                <w:color w:val="000000"/>
                <w:kern w:val="2"/>
                <w:sz w:val="21"/>
                <w:szCs w:val="21"/>
                <w:shd w:val="clear" w:color="auto" w:fill="FFFFFF"/>
                <w:lang w:val="en-US" w:eastAsia="zh-CN" w:bidi="ar-SA"/>
              </w:rPr>
              <w:fldChar w:fldCharType="separate"/>
            </w:r>
            <w:r>
              <w:rPr>
                <w:rStyle w:val="23"/>
                <w:rFonts w:hint="eastAsia" w:ascii="仿宋_GB2312" w:hAnsi="仿宋_GB2312" w:eastAsia="仿宋_GB2312" w:cs="仿宋_GB2312"/>
                <w:color w:val="000000"/>
                <w:kern w:val="2"/>
                <w:sz w:val="21"/>
                <w:szCs w:val="21"/>
                <w:shd w:val="clear" w:color="auto" w:fill="FFFFFF"/>
                <w:lang w:val="en-US" w:eastAsia="zh-CN" w:bidi="ar-SA"/>
              </w:rPr>
              <w:t>http://edu.nlc.cn/study/list/zscx.php）</w:t>
            </w:r>
          </w:p>
          <w:p>
            <w:pPr>
              <w:pStyle w:val="39"/>
              <w:numPr>
                <w:ilvl w:val="0"/>
                <w:numId w:val="0"/>
              </w:numPr>
              <w:rPr>
                <w:rStyle w:val="23"/>
                <w:rFonts w:hint="eastAsia" w:ascii="仿宋_GB2312" w:hAnsi="仿宋_GB2312" w:eastAsia="仿宋_GB2312" w:cs="仿宋_GB2312"/>
                <w:color w:val="000000"/>
                <w:kern w:val="2"/>
                <w:sz w:val="21"/>
                <w:szCs w:val="21"/>
                <w:shd w:val="clear" w:color="auto" w:fill="FFFFFF"/>
                <w:lang w:val="en-US" w:eastAsia="zh-CN" w:bidi="ar-SA"/>
              </w:rPr>
            </w:pPr>
          </w:p>
          <w:p>
            <w:pPr>
              <w:pStyle w:val="39"/>
              <w:numPr>
                <w:ilvl w:val="0"/>
                <w:numId w:val="0"/>
              </w:numPr>
              <w:rPr>
                <w:rFonts w:hint="eastAsia" w:ascii="仿宋_GB2312" w:hAnsi="仿宋_GB2312" w:eastAsia="仿宋_GB2312" w:cs="仿宋_GB2312"/>
                <w:color w:val="000000"/>
                <w:sz w:val="21"/>
                <w:shd w:val="clear" w:color="auto" w:fill="auto"/>
                <w:lang w:val="en-US" w:eastAsia="zh-CN"/>
              </w:rPr>
            </w:pPr>
            <w:r>
              <w:rPr>
                <w:rFonts w:hint="eastAsia" w:ascii="仿宋_GB2312" w:hAnsi="仿宋_GB2312" w:eastAsia="仿宋_GB2312" w:cs="仿宋_GB2312"/>
                <w:color w:val="000000"/>
                <w:kern w:val="2"/>
                <w:sz w:val="21"/>
                <w:szCs w:val="21"/>
                <w:shd w:val="clear" w:color="auto" w:fill="FFFFFF"/>
                <w:lang w:val="en-US" w:eastAsia="zh-CN" w:bidi="ar-SA"/>
              </w:rPr>
              <w:fldChar w:fldCharType="end"/>
            </w:r>
            <w:r>
              <w:rPr>
                <w:rFonts w:hint="eastAsia" w:ascii="仿宋_GB2312" w:hAnsi="仿宋_GB2312" w:eastAsia="仿宋_GB2312" w:cs="仿宋_GB2312"/>
                <w:color w:val="000000"/>
                <w:sz w:val="21"/>
                <w:shd w:val="clear" w:color="auto" w:fill="auto"/>
                <w:lang w:val="en-US" w:eastAsia="zh-CN"/>
              </w:rPr>
              <w:t>2、提供2021-2022年与国家图书馆联合编目中心签定数据上传协议的得2分，仅提供2022年与国家图书馆联合编目中心签定数据上传协议的得1分，否则得0分。（需提供上传协议复印件并加盖投标人公章，否则得0分。）</w:t>
            </w:r>
          </w:p>
          <w:p>
            <w:pPr>
              <w:pStyle w:val="39"/>
              <w:rPr>
                <w:rFonts w:hint="eastAsia" w:ascii="仿宋_GB2312" w:hAnsi="仿宋_GB2312" w:eastAsia="仿宋_GB2312" w:cs="仿宋_GB2312"/>
                <w:color w:val="000000"/>
                <w:kern w:val="2"/>
                <w:sz w:val="21"/>
                <w:szCs w:val="21"/>
                <w:shd w:val="clear" w:color="auto" w:fill="FFFFFF"/>
                <w:lang w:val="en-US" w:eastAsia="zh-CN" w:bidi="ar-SA"/>
              </w:rPr>
            </w:pP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lang w:val="en-US" w:eastAsia="zh-CN"/>
              </w:rPr>
            </w:pPr>
            <w:r>
              <w:rPr>
                <w:rFonts w:hint="eastAsia" w:ascii="仿宋_GB2312" w:hAnsi="仿宋_GB2312" w:eastAsia="仿宋_GB2312" w:cs="仿宋_GB2312"/>
                <w:color w:val="000000"/>
                <w:sz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vMerge w:val="continue"/>
            <w:tcBorders>
              <w:left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3376" w:type="pc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rPr>
            </w:pPr>
            <w:r>
              <w:rPr>
                <w:rFonts w:hint="eastAsia" w:ascii="仿宋_GB2312" w:hAnsi="仿宋_GB2312" w:eastAsia="仿宋_GB2312" w:cs="仿宋_GB2312"/>
                <w:color w:val="000000"/>
                <w:kern w:val="2"/>
                <w:sz w:val="21"/>
                <w:szCs w:val="21"/>
                <w:shd w:val="clear" w:color="auto" w:fill="FFFFFF"/>
                <w:lang w:val="en-US" w:eastAsia="zh-CN" w:bidi="ar-SA"/>
              </w:rPr>
              <w:t>投标人能提供投标单位或出版发行单位送检的由质量技术监督检测部门授权的具有第三方公正性的质量监督检验机构出具的产品（图书）质量检测报告，每提供一种图书质检报告得1分，最多得6分，不提供者得0分。（复印件加盖投标人公章）</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default" w:ascii="仿宋_GB2312" w:hAnsi="仿宋_GB2312" w:eastAsia="仿宋_GB2312" w:cs="仿宋_GB2312"/>
                <w:color w:val="000000"/>
                <w:sz w:val="21"/>
                <w:lang w:val="en-US" w:eastAsia="zh-CN"/>
              </w:rPr>
            </w:pPr>
            <w:r>
              <w:rPr>
                <w:rFonts w:hint="eastAsia" w:ascii="仿宋_GB2312" w:hAnsi="仿宋_GB2312" w:eastAsia="仿宋_GB2312" w:cs="仿宋_GB2312"/>
                <w:color w:val="000000"/>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配货误差率</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误差率＜0.1%的，得3分；</w:t>
            </w:r>
          </w:p>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0.1%≤误差率＜0.2%的，得1分；</w:t>
            </w:r>
          </w:p>
          <w:p>
            <w:pPr>
              <w:jc w:val="left"/>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误差率＞0.2%的，不得分。</w:t>
            </w:r>
          </w:p>
          <w:p>
            <w:pPr>
              <w:pStyle w:val="39"/>
              <w:rPr>
                <w:rFonts w:hint="eastAsia" w:ascii="仿宋_GB2312" w:hAnsi="仿宋_GB2312" w:eastAsia="仿宋_GB2312" w:cs="仿宋_GB2312"/>
                <w:color w:val="000000"/>
                <w:sz w:val="21"/>
                <w:szCs w:val="24"/>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以明确提供符合上述要求的盖章承诺书加盖投标人公章作为得分依据。</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szCs w:val="24"/>
                <w:lang w:bidi="ar-SA"/>
              </w:rPr>
            </w:pPr>
            <w:r>
              <w:rPr>
                <w:rFonts w:ascii="仿宋_GB2312" w:hAnsi="仿宋_GB2312" w:eastAsia="仿宋_GB2312" w:cs="仿宋_GB2312"/>
                <w:color w:val="00000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现采服务能力</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szCs w:val="24"/>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投标人须配备完善的选购图书的专门场所，满足招标方现场采书需求，可供我馆现场选择图书品种数量不得低于10万种。（提供现场采书样本室图片及其他相关证明材料并提供承诺书）符合要求得3分，不符合为0分。</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szCs w:val="24"/>
                <w:lang w:val="en-US" w:eastAsia="zh-CN" w:bidi="ar-SA"/>
              </w:rPr>
            </w:pPr>
            <w:r>
              <w:rPr>
                <w:rFonts w:ascii="仿宋_GB2312" w:hAnsi="仿宋_GB2312" w:eastAsia="仿宋_GB2312" w:cs="仿宋_GB2312"/>
                <w:color w:val="00000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vMerge w:val="restart"/>
            <w:tcBorders>
              <w:left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退换货</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投标人能提供现场采书实体销售地点，提供同步市场售卖的畅销图书。</w:t>
            </w:r>
            <w:r>
              <w:rPr>
                <w:rFonts w:hint="eastAsia" w:ascii="仿宋_GB2312" w:hAnsi="仿宋_GB2312" w:eastAsia="仿宋_GB2312" w:cs="仿宋_GB2312"/>
                <w:color w:val="000000"/>
                <w:kern w:val="2"/>
                <w:sz w:val="21"/>
                <w:szCs w:val="21"/>
                <w:shd w:val="clear" w:color="auto" w:fill="FFFFFF"/>
                <w:lang w:val="en-US" w:eastAsia="zh-CN" w:bidi="ar-SA"/>
              </w:rPr>
              <w:t>满足招标方现场采书需求，可供我馆现场选择图书品种数量不得低于10万种。（提供现场采书实体书店图片及其他相关证明材料并提供承诺书）符合要求得10分，不符合为0分。</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vMerge w:val="continue"/>
            <w:tcBorders>
              <w:left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lang w:val="en-US" w:eastAsia="zh-CN"/>
              </w:rPr>
            </w:pPr>
            <w:r>
              <w:rPr>
                <w:rFonts w:ascii="仿宋_GB2312" w:hAnsi="仿宋_GB2312" w:eastAsia="仿宋_GB2312" w:cs="仿宋_GB2312"/>
                <w:color w:val="000000"/>
                <w:sz w:val="21"/>
              </w:rPr>
              <w:t>无条件退货的，得3分；附加条件退货的，得1分（需注明退货条件）；否则不得分。（提供加盖</w:t>
            </w:r>
            <w:r>
              <w:rPr>
                <w:rFonts w:hint="eastAsia" w:ascii="仿宋_GB2312" w:hAnsi="仿宋_GB2312" w:eastAsia="仿宋_GB2312" w:cs="仿宋_GB2312"/>
                <w:color w:val="000000"/>
                <w:sz w:val="21"/>
                <w:lang w:val="en-US" w:eastAsia="zh-CN"/>
              </w:rPr>
              <w:t>投标人</w:t>
            </w:r>
            <w:r>
              <w:rPr>
                <w:rFonts w:ascii="仿宋_GB2312" w:hAnsi="仿宋_GB2312" w:eastAsia="仿宋_GB2312" w:cs="仿宋_GB2312"/>
                <w:color w:val="000000"/>
                <w:sz w:val="21"/>
              </w:rPr>
              <w:t>公章的承诺书）</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default" w:ascii="仿宋_GB2312" w:hAnsi="仿宋_GB2312" w:eastAsia="仿宋_GB2312" w:cs="仿宋_GB2312"/>
                <w:color w:val="000000"/>
                <w:sz w:val="21"/>
                <w:lang w:val="en-US" w:eastAsia="zh-CN"/>
              </w:rPr>
            </w:pPr>
            <w:r>
              <w:rPr>
                <w:rFonts w:ascii="仿宋_GB2312" w:hAnsi="仿宋_GB2312" w:eastAsia="仿宋_GB2312" w:cs="仿宋_GB2312"/>
                <w:color w:val="000000"/>
                <w:sz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rPr>
              <w:t>征订目录质量</w:t>
            </w:r>
            <w:r>
              <w:rPr>
                <w:rFonts w:hint="eastAsia" w:ascii="仿宋_GB2312" w:hAnsi="仿宋_GB2312" w:eastAsia="仿宋_GB2312" w:cs="仿宋_GB2312"/>
                <w:color w:val="000000"/>
                <w:sz w:val="21"/>
              </w:rPr>
              <w:tab/>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shd w:val="clear" w:color="auto" w:fill="auto"/>
              </w:rPr>
              <w:t>同时提供分类征订目录电子版和馆藏分析报告得8分，只提供其中一项的得4分，不提供不得分。</w:t>
            </w:r>
            <w:r>
              <w:rPr>
                <w:rFonts w:hint="eastAsia" w:ascii="仿宋_GB2312" w:hAnsi="仿宋_GB2312" w:eastAsia="仿宋_GB2312" w:cs="仿宋_GB2312"/>
                <w:color w:val="000000"/>
                <w:sz w:val="21"/>
                <w:shd w:val="clear" w:color="auto" w:fill="auto"/>
              </w:rPr>
              <w:tab/>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宋体" w:hAnsi="宋体" w:eastAsia="仿宋_GB2312" w:cs="宋体"/>
                <w:color w:val="000000"/>
                <w:sz w:val="21"/>
                <w:szCs w:val="21"/>
                <w:lang w:val="en-US" w:eastAsia="zh-CN"/>
              </w:rPr>
              <w:t>线上选书模式</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shd w:val="clear" w:color="auto" w:fill="auto"/>
              </w:rPr>
              <w:t>提供网上采购图书平台</w:t>
            </w:r>
            <w:r>
              <w:rPr>
                <w:rFonts w:hint="eastAsia" w:ascii="仿宋_GB2312" w:hAnsi="仿宋_GB2312" w:eastAsia="仿宋_GB2312" w:cs="仿宋_GB2312"/>
                <w:color w:val="000000"/>
                <w:sz w:val="21"/>
                <w:shd w:val="clear" w:color="auto" w:fill="auto"/>
                <w:lang w:val="en-US" w:eastAsia="zh-CN"/>
              </w:rPr>
              <w:t>且</w:t>
            </w:r>
            <w:r>
              <w:rPr>
                <w:rFonts w:hint="eastAsia" w:ascii="仿宋_GB2312" w:hAnsi="仿宋_GB2312" w:eastAsia="仿宋_GB2312" w:cs="仿宋_GB2312"/>
                <w:color w:val="000000"/>
                <w:sz w:val="21"/>
                <w:shd w:val="clear" w:color="auto" w:fill="auto"/>
              </w:rPr>
              <w:t>提供书目不少于10万种。附网址、图书品种截图证明</w:t>
            </w:r>
            <w:r>
              <w:rPr>
                <w:rFonts w:hint="eastAsia" w:ascii="仿宋_GB2312" w:hAnsi="仿宋_GB2312" w:eastAsia="仿宋_GB2312" w:cs="仿宋_GB2312"/>
                <w:color w:val="000000"/>
                <w:sz w:val="21"/>
                <w:shd w:val="clear" w:color="auto" w:fill="auto"/>
                <w:lang w:val="en-US" w:eastAsia="zh-CN"/>
              </w:rPr>
              <w:t>得3分</w:t>
            </w:r>
            <w:r>
              <w:rPr>
                <w:rFonts w:hint="eastAsia" w:ascii="仿宋_GB2312" w:hAnsi="仿宋_GB2312" w:eastAsia="仿宋_GB2312" w:cs="仿宋_GB2312"/>
                <w:color w:val="000000"/>
                <w:sz w:val="21"/>
                <w:shd w:val="clear" w:color="auto" w:fill="auto"/>
              </w:rPr>
              <w:t>，不提供不得分。</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网站建设</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有功能完善、性能稳定的专业化图书电子商务网站，定期发布征订书目、提供marc，提供网址，提供得3分，不提供不得分 。提供网页截图需要加盖</w:t>
            </w:r>
            <w:r>
              <w:rPr>
                <w:rFonts w:hint="eastAsia" w:ascii="仿宋_GB2312" w:hAnsi="仿宋_GB2312" w:eastAsia="仿宋_GB2312" w:cs="仿宋_GB2312"/>
                <w:color w:val="000000"/>
                <w:sz w:val="21"/>
                <w:lang w:val="en-US" w:eastAsia="zh-CN"/>
              </w:rPr>
              <w:t>投标人</w:t>
            </w:r>
            <w:r>
              <w:rPr>
                <w:rFonts w:ascii="仿宋_GB2312" w:hAnsi="仿宋_GB2312" w:eastAsia="仿宋_GB2312" w:cs="仿宋_GB2312"/>
                <w:color w:val="000000"/>
                <w:sz w:val="21"/>
              </w:rPr>
              <w:t>公章。</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default" w:ascii="仿宋_GB2312" w:hAnsi="仿宋_GB2312" w:eastAsia="仿宋_GB2312" w:cs="仿宋_GB2312"/>
                <w:color w:val="000000"/>
                <w:sz w:val="21"/>
                <w:lang w:val="en-US" w:eastAsia="zh-CN"/>
              </w:rPr>
            </w:pPr>
            <w:r>
              <w:rPr>
                <w:rFonts w:hint="eastAsia" w:ascii="仿宋_GB2312" w:hAnsi="仿宋_GB2312" w:eastAsia="仿宋_GB2312" w:cs="仿宋_GB2312"/>
                <w:color w:val="000000"/>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85" w:type="pct"/>
            <w:vMerge w:val="continue"/>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default" w:ascii="仿宋_GB2312" w:hAnsi="仿宋_GB2312" w:eastAsia="仿宋_GB2312" w:cs="仿宋_GB2312"/>
                <w:color w:val="000000"/>
                <w:sz w:val="21"/>
                <w:lang w:val="en-US" w:eastAsia="zh-CN"/>
              </w:rPr>
            </w:pPr>
            <w:r>
              <w:rPr>
                <w:rFonts w:ascii="仿宋_GB2312" w:hAnsi="仿宋_GB2312" w:eastAsia="仿宋_GB2312" w:cs="仿宋_GB2312"/>
                <w:color w:val="000000"/>
                <w:sz w:val="21"/>
              </w:rPr>
              <w:t>企业信誉</w:t>
            </w: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numPr>
                <w:ilvl w:val="0"/>
                <w:numId w:val="12"/>
              </w:numPr>
              <w:rPr>
                <w:rFonts w:hint="eastAsia" w:ascii="仿宋_GB2312" w:hAnsi="仿宋_GB2312" w:eastAsia="仿宋_GB2312" w:cs="仿宋_GB2312"/>
                <w:color w:val="000000"/>
                <w:kern w:val="2"/>
                <w:sz w:val="21"/>
                <w:szCs w:val="21"/>
                <w:shd w:val="clear" w:color="auto" w:fill="FFFFFF"/>
                <w:lang w:val="en-US" w:eastAsia="zh-CN" w:bidi="ar-SA"/>
              </w:rPr>
            </w:pPr>
            <w:r>
              <w:rPr>
                <w:rFonts w:hint="eastAsia" w:ascii="仿宋_GB2312" w:hAnsi="仿宋_GB2312" w:eastAsia="仿宋_GB2312" w:cs="仿宋_GB2312"/>
                <w:color w:val="000000"/>
                <w:kern w:val="2"/>
                <w:sz w:val="21"/>
                <w:szCs w:val="21"/>
                <w:shd w:val="clear" w:color="auto" w:fill="FFFFFF"/>
                <w:lang w:val="en-US" w:eastAsia="zh-CN" w:bidi="ar-SA"/>
              </w:rPr>
              <w:t>投标人具有国家认证认可监督管理委员会可查询的ISO9001质量管理体系认证证书、ISO14001:2004环境管理体系认证、GB/T28001-2001职业健康安全管理体系认证，每具有一项得1分，</w:t>
            </w:r>
            <w:r>
              <w:rPr>
                <w:rFonts w:hint="eastAsia" w:ascii="仿宋_GB2312" w:hAnsi="仿宋_GB2312" w:eastAsia="仿宋_GB2312" w:cs="仿宋_GB2312"/>
                <w:color w:val="000000"/>
                <w:sz w:val="21"/>
              </w:rPr>
              <w:t>最多得</w:t>
            </w:r>
            <w:r>
              <w:rPr>
                <w:rFonts w:hint="eastAsia" w:ascii="仿宋_GB2312" w:hAnsi="仿宋_GB2312" w:eastAsia="仿宋_GB2312" w:cs="仿宋_GB2312"/>
                <w:color w:val="000000"/>
                <w:sz w:val="21"/>
                <w:lang w:val="en-US" w:eastAsia="zh-CN"/>
              </w:rPr>
              <w:t>3</w:t>
            </w:r>
            <w:r>
              <w:rPr>
                <w:rFonts w:hint="eastAsia" w:ascii="仿宋_GB2312" w:hAnsi="仿宋_GB2312" w:eastAsia="仿宋_GB2312" w:cs="仿宋_GB2312"/>
                <w:color w:val="000000"/>
                <w:sz w:val="21"/>
              </w:rPr>
              <w:t>分。</w:t>
            </w:r>
            <w:r>
              <w:rPr>
                <w:rFonts w:hint="eastAsia" w:ascii="仿宋_GB2312" w:hAnsi="仿宋_GB2312" w:eastAsia="仿宋_GB2312" w:cs="仿宋_GB2312"/>
                <w:color w:val="000000"/>
                <w:kern w:val="2"/>
                <w:sz w:val="21"/>
                <w:szCs w:val="21"/>
                <w:shd w:val="clear" w:color="auto" w:fill="FFFFFF"/>
                <w:lang w:val="en-US" w:eastAsia="zh-CN" w:bidi="ar-SA"/>
              </w:rPr>
              <w:t>（可在http：//www.cnca.gov.cn国家认证认可监督管理委员会官方网站查询）。</w:t>
            </w:r>
          </w:p>
          <w:p>
            <w:pPr>
              <w:pStyle w:val="39"/>
              <w:numPr>
                <w:ilvl w:val="0"/>
                <w:numId w:val="0"/>
              </w:numPr>
              <w:rPr>
                <w:rFonts w:hint="eastAsia" w:ascii="仿宋_GB2312" w:hAnsi="仿宋_GB2312" w:eastAsia="仿宋_GB2312" w:cs="仿宋_GB2312"/>
                <w:color w:val="000000"/>
                <w:sz w:val="21"/>
              </w:rPr>
            </w:pPr>
            <w:r>
              <w:rPr>
                <w:rFonts w:hint="eastAsia" w:ascii="仿宋_GB2312" w:hAnsi="仿宋_GB2312" w:eastAsia="仿宋_GB2312" w:cs="仿宋_GB2312"/>
                <w:color w:val="000000"/>
                <w:sz w:val="21"/>
              </w:rPr>
              <w:t>（提供</w:t>
            </w:r>
            <w:r>
              <w:rPr>
                <w:rFonts w:hint="eastAsia" w:ascii="仿宋_GB2312" w:hAnsi="仿宋_GB2312" w:eastAsia="仿宋_GB2312" w:cs="仿宋_GB2312"/>
                <w:color w:val="000000"/>
                <w:sz w:val="21"/>
                <w:lang w:val="en-US" w:eastAsia="zh-CN"/>
              </w:rPr>
              <w:t>认证</w:t>
            </w:r>
            <w:r>
              <w:rPr>
                <w:rFonts w:hint="eastAsia" w:ascii="仿宋_GB2312" w:hAnsi="仿宋_GB2312" w:eastAsia="仿宋_GB2312" w:cs="仿宋_GB2312"/>
                <w:color w:val="000000"/>
                <w:sz w:val="21"/>
              </w:rPr>
              <w:t>证书</w:t>
            </w:r>
            <w:r>
              <w:rPr>
                <w:rStyle w:val="23"/>
                <w:rFonts w:hint="eastAsia" w:ascii="仿宋_GB2312" w:hAnsi="仿宋_GB2312" w:eastAsia="仿宋_GB2312" w:cs="仿宋_GB2312"/>
                <w:color w:val="000000"/>
                <w:sz w:val="21"/>
                <w:lang w:val="en-US" w:eastAsia="zh-CN"/>
              </w:rPr>
              <w:t>复印件加盖公章</w:t>
            </w:r>
            <w:r>
              <w:rPr>
                <w:rStyle w:val="23"/>
                <w:rFonts w:hint="eastAsia" w:ascii="仿宋_GB2312" w:hAnsi="仿宋_GB2312" w:eastAsia="仿宋_GB2312" w:cs="仿宋_GB2312"/>
                <w:color w:val="000000"/>
                <w:sz w:val="21"/>
                <w:lang w:eastAsia="zh-CN"/>
              </w:rPr>
              <w:t>）</w:t>
            </w:r>
          </w:p>
          <w:p>
            <w:pPr>
              <w:pStyle w:val="39"/>
              <w:rPr>
                <w:rFonts w:ascii="仿宋_GB2312" w:hAnsi="仿宋_GB2312" w:eastAsia="仿宋_GB2312" w:cs="仿宋_GB2312"/>
                <w:color w:val="000000"/>
                <w:sz w:val="21"/>
              </w:rPr>
            </w:pPr>
            <w:r>
              <w:rPr>
                <w:rFonts w:hint="eastAsia" w:ascii="仿宋_GB2312" w:hAnsi="仿宋_GB2312" w:eastAsia="仿宋_GB2312" w:cs="仿宋_GB2312"/>
                <w:color w:val="000000"/>
                <w:sz w:val="21"/>
                <w:lang w:val="en-US" w:eastAsia="zh-CN"/>
              </w:rPr>
              <w:t>2、</w:t>
            </w:r>
            <w:r>
              <w:rPr>
                <w:rFonts w:hint="eastAsia" w:ascii="仿宋_GB2312" w:hAnsi="仿宋_GB2312" w:eastAsia="仿宋_GB2312" w:cs="仿宋_GB2312"/>
                <w:color w:val="000000"/>
                <w:kern w:val="2"/>
                <w:sz w:val="21"/>
                <w:szCs w:val="21"/>
                <w:shd w:val="clear" w:color="auto" w:fill="FFFFFF"/>
                <w:lang w:val="en-US" w:eastAsia="zh-CN" w:bidi="ar-SA"/>
              </w:rPr>
              <w:t>投标人具有</w:t>
            </w:r>
            <w:r>
              <w:rPr>
                <w:rFonts w:hint="eastAsia" w:ascii="仿宋_GB2312" w:hAnsi="仿宋_GB2312" w:eastAsia="仿宋_GB2312" w:cs="仿宋_GB2312"/>
                <w:color w:val="000000"/>
                <w:sz w:val="21"/>
              </w:rPr>
              <w:t>2019-2021年</w:t>
            </w:r>
            <w:r>
              <w:rPr>
                <w:rFonts w:hint="eastAsia" w:ascii="仿宋_GB2312" w:hAnsi="仿宋_GB2312" w:eastAsia="仿宋_GB2312" w:cs="仿宋_GB2312"/>
                <w:color w:val="000000"/>
                <w:kern w:val="2"/>
                <w:sz w:val="21"/>
                <w:szCs w:val="21"/>
                <w:shd w:val="clear" w:color="auto" w:fill="FFFFFF"/>
                <w:lang w:val="en-US" w:eastAsia="zh-CN" w:bidi="ar-SA"/>
              </w:rPr>
              <w:t>全国优秀馆配商资格，</w:t>
            </w:r>
            <w:r>
              <w:rPr>
                <w:rFonts w:hint="eastAsia" w:ascii="仿宋_GB2312" w:hAnsi="仿宋_GB2312" w:eastAsia="仿宋_GB2312" w:cs="仿宋_GB2312"/>
                <w:color w:val="000000"/>
                <w:sz w:val="21"/>
              </w:rPr>
              <w:t>每获得1年得1分，最多得3分。</w:t>
            </w:r>
          </w:p>
          <w:p>
            <w:pPr>
              <w:pStyle w:val="39"/>
              <w:rPr>
                <w:rFonts w:hint="eastAsia" w:ascii="仿宋_GB2312" w:hAnsi="仿宋_GB2312" w:eastAsia="仿宋_GB2312" w:cs="仿宋_GB2312"/>
                <w:color w:val="000000"/>
                <w:sz w:val="21"/>
                <w:lang w:val="en-US" w:eastAsia="zh-CN"/>
              </w:rPr>
            </w:pPr>
            <w:r>
              <w:rPr>
                <w:rFonts w:hint="eastAsia" w:ascii="仿宋_GB2312" w:hAnsi="仿宋_GB2312" w:eastAsia="仿宋_GB2312" w:cs="仿宋_GB2312"/>
                <w:color w:val="000000"/>
                <w:kern w:val="2"/>
                <w:sz w:val="21"/>
                <w:szCs w:val="21"/>
                <w:shd w:val="clear" w:color="auto" w:fill="FFFFFF"/>
                <w:lang w:val="en-US" w:eastAsia="zh-CN" w:bidi="ar-SA"/>
              </w:rPr>
              <w:t>（提供相关证明材料）</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default" w:ascii="仿宋_GB2312" w:hAnsi="仿宋_GB2312" w:eastAsia="仿宋_GB2312" w:cs="仿宋_GB2312"/>
                <w:color w:val="000000"/>
                <w:sz w:val="21"/>
                <w:lang w:val="en-US" w:eastAsia="zh-CN"/>
              </w:rPr>
            </w:pPr>
            <w:r>
              <w:rPr>
                <w:rFonts w:hint="eastAsia" w:ascii="仿宋_GB2312" w:hAnsi="仿宋_GB2312" w:eastAsia="仿宋_GB2312" w:cs="仿宋_GB2312"/>
                <w:color w:val="000000"/>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385" w:type="pc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ascii="仿宋_GB2312" w:hAnsi="仿宋_GB2312" w:eastAsia="仿宋_GB2312" w:cs="仿宋_GB2312"/>
                <w:color w:val="000000"/>
                <w:sz w:val="21"/>
              </w:rPr>
            </w:pPr>
            <w:r>
              <w:rPr>
                <w:rFonts w:ascii="仿宋_GB2312" w:hAnsi="仿宋_GB2312" w:eastAsia="仿宋_GB2312" w:cs="仿宋_GB2312"/>
                <w:color w:val="000000"/>
                <w:sz w:val="21"/>
              </w:rPr>
              <w:t>商务部分</w:t>
            </w:r>
          </w:p>
        </w:tc>
        <w:tc>
          <w:tcPr>
            <w:tcW w:w="746" w:type="pc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hint="eastAsia" w:ascii="宋体" w:hAnsi="宋体" w:eastAsia="仿宋_GB2312" w:cs="宋体"/>
                <w:color w:val="000000"/>
                <w:sz w:val="21"/>
                <w:szCs w:val="21"/>
                <w:lang w:val="en-US" w:eastAsia="zh-CN" w:bidi="ar-SA"/>
              </w:rPr>
            </w:pPr>
            <w:r>
              <w:rPr>
                <w:rFonts w:ascii="仿宋_GB2312" w:hAnsi="仿宋_GB2312" w:eastAsia="仿宋_GB2312" w:cs="仿宋_GB2312"/>
                <w:color w:val="000000"/>
                <w:sz w:val="21"/>
              </w:rPr>
              <w:t>业绩证明</w:t>
            </w:r>
          </w:p>
        </w:tc>
        <w:tc>
          <w:tcPr>
            <w:tcW w:w="3376" w:type="pct"/>
            <w:tcBorders>
              <w:top w:val="single" w:color="000000" w:sz="2" w:space="0"/>
              <w:left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szCs w:val="24"/>
                <w:shd w:val="clear" w:color="auto" w:fill="auto"/>
                <w:lang w:val="en-US" w:eastAsia="zh-CN" w:bidi="ar-SA"/>
              </w:rPr>
            </w:pPr>
            <w:r>
              <w:rPr>
                <w:rFonts w:hint="eastAsia" w:ascii="仿宋_GB2312" w:hAnsi="仿宋_GB2312" w:eastAsia="仿宋_GB2312" w:cs="仿宋_GB2312"/>
                <w:color w:val="000000"/>
                <w:sz w:val="21"/>
                <w:lang w:val="en-US" w:eastAsia="zh-CN"/>
              </w:rPr>
              <w:t>2021年</w:t>
            </w:r>
            <w:r>
              <w:rPr>
                <w:rFonts w:hint="eastAsia" w:ascii="仿宋_GB2312" w:hAnsi="仿宋_GB2312" w:eastAsia="仿宋_GB2312" w:cs="仿宋_GB2312"/>
                <w:color w:val="000000"/>
                <w:kern w:val="2"/>
                <w:sz w:val="21"/>
                <w:szCs w:val="21"/>
                <w:shd w:val="clear" w:color="auto" w:fill="FFFFFF"/>
                <w:lang w:val="en-US" w:eastAsia="zh-CN" w:bidi="ar-SA"/>
              </w:rPr>
              <w:t>以来成为类似项目定点采购服务供应商1次（1年）的，每年每次得1分，最多得6分。（提供采购合同复印件，复印件加盖投标人公章）</w:t>
            </w: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rPr>
                <w:rFonts w:hint="eastAsia" w:ascii="仿宋_GB2312" w:hAnsi="仿宋_GB2312" w:eastAsia="仿宋_GB2312" w:cs="仿宋_GB2312"/>
                <w:color w:val="000000"/>
                <w:sz w:val="21"/>
                <w:szCs w:val="24"/>
                <w:lang w:val="en-US" w:eastAsia="zh-CN" w:bidi="ar-SA"/>
              </w:rPr>
            </w:pPr>
            <w:r>
              <w:rPr>
                <w:rFonts w:hint="eastAsia" w:ascii="仿宋_GB2312" w:hAnsi="仿宋_GB2312" w:eastAsia="仿宋_GB2312" w:cs="仿宋_GB2312"/>
                <w:color w:val="000000"/>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jc w:val="center"/>
              <w:rPr>
                <w:rFonts w:ascii="仿宋_GB2312" w:hAnsi="仿宋_GB2312" w:eastAsia="仿宋_GB2312" w:cs="仿宋_GB2312"/>
                <w:color w:val="000000"/>
                <w:sz w:val="21"/>
              </w:rPr>
            </w:pPr>
            <w:r>
              <w:rPr>
                <w:rFonts w:ascii="仿宋_GB2312" w:hAnsi="仿宋_GB2312" w:eastAsia="仿宋_GB2312" w:cs="仿宋_GB2312"/>
                <w:color w:val="000000"/>
                <w:sz w:val="21"/>
              </w:rPr>
              <w:t>合计</w:t>
            </w:r>
          </w:p>
        </w:tc>
        <w:tc>
          <w:tcPr>
            <w:tcW w:w="74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jc w:val="center"/>
              <w:rPr>
                <w:rFonts w:ascii="仿宋_GB2312" w:hAnsi="仿宋_GB2312" w:eastAsia="仿宋_GB2312" w:cs="仿宋_GB2312"/>
                <w:color w:val="000000"/>
                <w:sz w:val="21"/>
              </w:rPr>
            </w:pPr>
          </w:p>
        </w:tc>
        <w:tc>
          <w:tcPr>
            <w:tcW w:w="3376"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jc w:val="center"/>
              <w:rPr>
                <w:rFonts w:ascii="仿宋_GB2312" w:hAnsi="仿宋_GB2312" w:eastAsia="仿宋_GB2312" w:cs="仿宋_GB2312"/>
                <w:color w:val="000000"/>
                <w:sz w:val="21"/>
              </w:rPr>
            </w:pPr>
          </w:p>
        </w:tc>
        <w:tc>
          <w:tcPr>
            <w:tcW w:w="492" w:type="pct"/>
            <w:tcBorders>
              <w:top w:val="single" w:color="000000" w:sz="2" w:space="0"/>
              <w:left w:val="single" w:color="000000" w:sz="2" w:space="0"/>
              <w:bottom w:val="single" w:color="000000" w:sz="2" w:space="0"/>
              <w:right w:val="single" w:color="000000" w:sz="2" w:space="0"/>
            </w:tcBorders>
            <w:noWrap w:val="0"/>
            <w:tcMar>
              <w:top w:w="100" w:type="dxa"/>
              <w:bottom w:w="100" w:type="dxa"/>
            </w:tcMar>
            <w:vAlign w:val="center"/>
          </w:tcPr>
          <w:p>
            <w:pPr>
              <w:pStyle w:val="39"/>
              <w:jc w:val="center"/>
              <w:rPr>
                <w:rFonts w:hint="default" w:ascii="仿宋_GB2312" w:hAnsi="仿宋_GB2312" w:eastAsia="仿宋_GB2312" w:cs="仿宋_GB2312"/>
                <w:color w:val="000000"/>
                <w:sz w:val="21"/>
                <w:lang w:val="en-US" w:eastAsia="zh-CN"/>
              </w:rPr>
            </w:pPr>
            <w:r>
              <w:rPr>
                <w:rFonts w:hint="eastAsia" w:ascii="仿宋_GB2312" w:hAnsi="仿宋_GB2312" w:eastAsia="仿宋_GB2312" w:cs="仿宋_GB2312"/>
                <w:color w:val="000000"/>
                <w:sz w:val="21"/>
                <w:lang w:val="en-US" w:eastAsia="zh-CN"/>
              </w:rPr>
              <w:t>100</w:t>
            </w:r>
          </w:p>
        </w:tc>
      </w:tr>
    </w:tbl>
    <w:p>
      <w:pPr>
        <w:widowControl/>
        <w:shd w:val="clear" w:color="auto" w:fill="auto"/>
        <w:spacing w:line="240" w:lineRule="exact"/>
        <w:jc w:val="left"/>
        <w:rPr>
          <w:rFonts w:ascii="仿宋_GB2312" w:hAnsi="仿宋_GB2312" w:eastAsia="仿宋_GB2312" w:cs="仿宋_GB2312"/>
          <w:kern w:val="0"/>
          <w:szCs w:val="21"/>
        </w:rPr>
      </w:pPr>
    </w:p>
    <w:p>
      <w:pPr>
        <w:widowControl/>
        <w:shd w:val="clear" w:color="auto" w:fill="auto"/>
        <w:spacing w:line="240" w:lineRule="exact"/>
        <w:jc w:val="left"/>
        <w:rPr>
          <w:rFonts w:ascii="仿宋_GB2312" w:hAnsi="仿宋_GB2312" w:eastAsia="仿宋_GB2312" w:cs="仿宋_GB2312"/>
          <w:kern w:val="0"/>
          <w:szCs w:val="21"/>
        </w:rPr>
      </w:pPr>
    </w:p>
    <w:p>
      <w:pPr>
        <w:numPr>
          <w:ilvl w:val="0"/>
          <w:numId w:val="13"/>
        </w:numPr>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7"/>
        <w:tblW w:w="8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ordWrap w:val="0"/>
        <w:adjustRightInd w:val="0"/>
        <w:snapToGrid w:val="0"/>
        <w:spacing w:line="360" w:lineRule="auto"/>
        <w:jc w:val="right"/>
        <w:rPr>
          <w:rFonts w:ascii="仿宋_GB2312" w:hAnsi="仿宋_GB2312" w:eastAsia="仿宋_GB2312" w:cs="仿宋_GB2312"/>
          <w:szCs w:val="21"/>
        </w:rPr>
      </w:pPr>
      <w:r>
        <w:rPr>
          <w:rFonts w:hint="eastAsia" w:ascii="仿宋_GB2312" w:hAnsi="仿宋_GB2312" w:eastAsia="仿宋_GB2312" w:cs="仿宋_GB2312"/>
          <w:szCs w:val="21"/>
        </w:rPr>
        <w:br w:type="page"/>
      </w:r>
    </w:p>
    <w:p>
      <w:pPr>
        <w:rPr>
          <w:rFonts w:ascii="仿宋_GB2312" w:hAnsi="仿宋_GB2312" w:eastAsia="仿宋_GB2312" w:cs="仿宋_GB2312"/>
        </w:rPr>
      </w:pPr>
      <w:bookmarkStart w:id="158" w:name="_Toc25922_WPSOffice_Level1"/>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pStyle w:val="2"/>
        <w:adjustRightInd w:val="0"/>
        <w:snapToGrid w:val="0"/>
        <w:spacing w:before="319" w:beforeLines="100" w:after="319" w:afterLines="100"/>
        <w:rPr>
          <w:rFonts w:ascii="仿宋_GB2312" w:hAnsi="仿宋_GB2312" w:eastAsia="仿宋_GB2312" w:cs="仿宋_GB2312"/>
        </w:rPr>
      </w:pPr>
      <w:bookmarkStart w:id="159" w:name="_Toc22790"/>
      <w:bookmarkStart w:id="160" w:name="_Toc19588"/>
      <w:r>
        <w:rPr>
          <w:rFonts w:hint="eastAsia" w:ascii="仿宋_GB2312" w:hAnsi="仿宋_GB2312" w:eastAsia="仿宋_GB2312" w:cs="仿宋_GB2312"/>
        </w:rPr>
        <w:t>第五章 政府采购合同条款</w:t>
      </w:r>
      <w:bookmarkEnd w:id="158"/>
      <w:r>
        <w:rPr>
          <w:rFonts w:hint="eastAsia" w:ascii="仿宋_GB2312" w:hAnsi="仿宋_GB2312" w:eastAsia="仿宋_GB2312" w:cs="仿宋_GB2312"/>
        </w:rPr>
        <w:t>及格式</w:t>
      </w:r>
      <w:bookmarkEnd w:id="159"/>
      <w:bookmarkEnd w:id="160"/>
    </w:p>
    <w:p>
      <w:pPr>
        <w:pStyle w:val="3"/>
        <w:adjustRightInd w:val="0"/>
        <w:snapToGrid w:val="0"/>
        <w:spacing w:before="0" w:after="0" w:line="240" w:lineRule="auto"/>
        <w:jc w:val="left"/>
        <w:rPr>
          <w:rFonts w:ascii="仿宋_GB2312" w:hAnsi="仿宋_GB2312" w:eastAsia="仿宋_GB2312" w:cs="仿宋_GB2312"/>
          <w:szCs w:val="28"/>
        </w:rPr>
      </w:pPr>
      <w:bookmarkStart w:id="161" w:name="_Toc23704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合同条款</w:t>
      </w:r>
    </w:p>
    <w:p>
      <w:pPr>
        <w:spacing w:before="319" w:beforeLines="100" w:after="319" w:afterLines="100" w:line="480" w:lineRule="exact"/>
        <w:jc w:val="center"/>
        <w:outlineLvl w:val="0"/>
        <w:rPr>
          <w:rFonts w:ascii="仿宋_GB2312" w:hAnsi="仿宋_GB2312" w:eastAsia="仿宋_GB2312" w:cs="仿宋_GB2312"/>
          <w:b/>
          <w:sz w:val="44"/>
          <w:szCs w:val="44"/>
        </w:rPr>
      </w:pPr>
      <w:bookmarkStart w:id="162" w:name="_Toc30224_WPSOffice_Level1"/>
      <w:bookmarkStart w:id="163" w:name="_Toc9904"/>
      <w:r>
        <w:rPr>
          <w:rFonts w:hint="eastAsia" w:ascii="仿宋_GB2312" w:hAnsi="仿宋_GB2312" w:eastAsia="仿宋_GB2312" w:cs="仿宋_GB2312"/>
          <w:b/>
          <w:sz w:val="44"/>
          <w:szCs w:val="44"/>
        </w:rPr>
        <w:t>政府采购合同条款</w:t>
      </w:r>
      <w:bookmarkEnd w:id="162"/>
      <w:bookmarkEnd w:id="163"/>
    </w:p>
    <w:p>
      <w:pPr>
        <w:wordWrap w:val="0"/>
        <w:adjustRightInd w:val="0"/>
        <w:snapToGrid w:val="0"/>
        <w:spacing w:line="360" w:lineRule="auto"/>
        <w:jc w:val="right"/>
        <w:rPr>
          <w:rFonts w:ascii="仿宋_GB2312" w:hAnsi="仿宋_GB2312" w:eastAsia="仿宋_GB2312" w:cs="仿宋_GB2312"/>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bCs/>
          <w:szCs w:val="21"/>
        </w:rPr>
      </w:pPr>
      <w:bookmarkStart w:id="164" w:name="_Toc25596_WPSOffice_Level1"/>
      <w:bookmarkStart w:id="165" w:name="_Toc398_WPSOffice_Level1"/>
      <w:bookmarkStart w:id="166" w:name="_Toc10117_WPSOffice_Level1"/>
      <w:bookmarkStart w:id="167" w:name="_Toc18880"/>
      <w:r>
        <w:rPr>
          <w:rFonts w:hint="eastAsia" w:ascii="仿宋_GB2312" w:hAnsi="宋体" w:eastAsia="仿宋_GB2312"/>
          <w:b/>
          <w:bCs/>
          <w:szCs w:val="21"/>
        </w:rPr>
        <w:t>1.术语定义</w:t>
      </w:r>
      <w:bookmarkEnd w:id="164"/>
      <w:bookmarkEnd w:id="165"/>
      <w:bookmarkEnd w:id="166"/>
      <w:bookmarkEnd w:id="16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本政府采购合同下列术语应解释为：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hint="eastAsia" w:ascii="仿宋_GB2312" w:hAnsi="宋体" w:eastAsia="仿宋_GB2312"/>
          <w:b/>
          <w:szCs w:val="21"/>
        </w:rPr>
      </w:pPr>
      <w:bookmarkStart w:id="168" w:name="_Toc750_WPSOffice_Level1"/>
      <w:bookmarkStart w:id="169" w:name="_Toc29737_WPSOffice_Level1"/>
      <w:bookmarkStart w:id="170" w:name="_Toc22454_WPSOffice_Level1"/>
      <w:bookmarkStart w:id="171" w:name="_Toc5718"/>
      <w:r>
        <w:rPr>
          <w:rFonts w:hint="eastAsia" w:ascii="仿宋_GB2312" w:hAnsi="宋体" w:eastAsia="仿宋_GB2312"/>
          <w:b/>
          <w:szCs w:val="21"/>
        </w:rPr>
        <w:t>2.技术指标</w:t>
      </w:r>
      <w:bookmarkEnd w:id="168"/>
      <w:bookmarkEnd w:id="169"/>
      <w:bookmarkEnd w:id="170"/>
      <w:bookmarkEnd w:id="171"/>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72" w:name="_Toc19640_WPSOffice_Level1"/>
      <w:bookmarkStart w:id="173" w:name="_Toc16752"/>
      <w:bookmarkStart w:id="174" w:name="_Toc17648_WPSOffice_Level1"/>
      <w:bookmarkStart w:id="175" w:name="_Toc1538_WPSOffice_Level1"/>
      <w:r>
        <w:rPr>
          <w:rFonts w:hint="eastAsia" w:ascii="仿宋_GB2312" w:hAnsi="宋体" w:eastAsia="仿宋_GB2312"/>
          <w:b/>
          <w:szCs w:val="21"/>
        </w:rPr>
        <w:t>3.交货</w:t>
      </w:r>
      <w:bookmarkEnd w:id="172"/>
      <w:bookmarkEnd w:id="173"/>
      <w:bookmarkEnd w:id="174"/>
      <w:bookmarkEnd w:id="17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3.1供方按照合同约定的时间、地点交货</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76" w:name="_Toc11745_WPSOffice_Level1"/>
      <w:bookmarkStart w:id="177" w:name="_Toc1266_WPSOffice_Level1"/>
      <w:bookmarkStart w:id="178" w:name="_Toc15048_WPSOffice_Level1"/>
      <w:bookmarkStart w:id="179" w:name="_Toc14080"/>
      <w:r>
        <w:rPr>
          <w:rFonts w:hint="eastAsia" w:ascii="仿宋_GB2312" w:hAnsi="宋体" w:eastAsia="仿宋_GB2312"/>
          <w:b/>
          <w:szCs w:val="21"/>
        </w:rPr>
        <w:t>4.合同金额</w:t>
      </w:r>
      <w:bookmarkEnd w:id="176"/>
      <w:bookmarkEnd w:id="177"/>
      <w:bookmarkEnd w:id="178"/>
      <w:bookmarkEnd w:id="17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80" w:name="_Toc941_WPSOffice_Level1"/>
      <w:bookmarkStart w:id="181" w:name="_Toc22359_WPSOffice_Level1"/>
      <w:bookmarkStart w:id="182" w:name="_Toc11969_WPSOffice_Level1"/>
      <w:bookmarkStart w:id="183" w:name="_Toc13673"/>
      <w:r>
        <w:rPr>
          <w:rFonts w:hint="eastAsia" w:ascii="仿宋_GB2312" w:hAnsi="宋体" w:eastAsia="仿宋_GB2312"/>
          <w:b/>
          <w:szCs w:val="21"/>
        </w:rPr>
        <w:t>5.付款</w:t>
      </w:r>
      <w:bookmarkEnd w:id="180"/>
      <w:bookmarkEnd w:id="181"/>
      <w:bookmarkEnd w:id="182"/>
      <w:bookmarkEnd w:id="18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u w:val="single"/>
        </w:rPr>
      </w:pPr>
      <w:bookmarkStart w:id="184" w:name="_Toc22351_WPSOffice_Level2"/>
      <w:r>
        <w:rPr>
          <w:rFonts w:hint="eastAsia" w:ascii="仿宋_GB2312" w:hAnsi="宋体" w:eastAsia="仿宋_GB2312"/>
          <w:szCs w:val="21"/>
        </w:rPr>
        <w:t>5.1付款方式、条件：需方按照合同约定的方式和条件付款。</w:t>
      </w:r>
      <w:bookmarkEnd w:id="18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85" w:name="_Toc30478_WPSOffice_Level1"/>
      <w:bookmarkStart w:id="186" w:name="_Toc27769_WPSOffice_Level1"/>
      <w:bookmarkStart w:id="187" w:name="_Toc4563"/>
      <w:bookmarkStart w:id="188" w:name="_Toc10526_WPSOffice_Level1"/>
      <w:r>
        <w:rPr>
          <w:rFonts w:hint="eastAsia" w:ascii="仿宋_GB2312" w:hAnsi="宋体" w:eastAsia="仿宋_GB2312"/>
          <w:b/>
          <w:szCs w:val="21"/>
        </w:rPr>
        <w:t>6.验收</w:t>
      </w:r>
      <w:bookmarkEnd w:id="185"/>
      <w:bookmarkEnd w:id="186"/>
      <w:bookmarkEnd w:id="187"/>
      <w:bookmarkEnd w:id="18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6.6货物保修期自验收书签署之日起计算。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89" w:name="_Toc21868_WPSOffice_Level1"/>
      <w:bookmarkStart w:id="190" w:name="_Toc23127_WPSOffice_Level1"/>
      <w:bookmarkStart w:id="191" w:name="_Toc22227"/>
      <w:bookmarkStart w:id="192" w:name="_Toc31292_WPSOffice_Level1"/>
      <w:r>
        <w:rPr>
          <w:rFonts w:hint="eastAsia" w:ascii="仿宋_GB2312" w:hAnsi="宋体" w:eastAsia="仿宋_GB2312"/>
          <w:b/>
          <w:szCs w:val="21"/>
        </w:rPr>
        <w:t>7.知识产权及有关规定</w:t>
      </w:r>
      <w:bookmarkEnd w:id="189"/>
      <w:bookmarkEnd w:id="190"/>
      <w:bookmarkEnd w:id="191"/>
      <w:bookmarkEnd w:id="19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93" w:name="_Toc5517"/>
      <w:bookmarkStart w:id="194" w:name="_Toc21090_WPSOffice_Level1"/>
      <w:bookmarkStart w:id="195" w:name="_Toc24765_WPSOffice_Level1"/>
      <w:bookmarkStart w:id="196" w:name="_Toc26796_WPSOffice_Level1"/>
      <w:r>
        <w:rPr>
          <w:rFonts w:hint="eastAsia" w:ascii="仿宋_GB2312" w:hAnsi="宋体" w:eastAsia="仿宋_GB2312"/>
          <w:b/>
          <w:szCs w:val="21"/>
        </w:rPr>
        <w:t>8.包装要求</w:t>
      </w:r>
      <w:bookmarkEnd w:id="193"/>
      <w:bookmarkEnd w:id="194"/>
      <w:bookmarkEnd w:id="195"/>
      <w:bookmarkEnd w:id="19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8.3包装费由供方承担，包装物不回收。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197" w:name="_Toc1308_WPSOffice_Level1"/>
      <w:bookmarkStart w:id="198" w:name="_Toc26447_WPSOffice_Level1"/>
      <w:bookmarkStart w:id="199" w:name="_Toc6879"/>
      <w:bookmarkStart w:id="200" w:name="_Toc2304_WPSOffice_Level1"/>
      <w:r>
        <w:rPr>
          <w:rFonts w:hint="eastAsia" w:ascii="仿宋_GB2312" w:hAnsi="宋体" w:eastAsia="仿宋_GB2312"/>
          <w:b/>
          <w:szCs w:val="21"/>
        </w:rPr>
        <w:t>9.伴随服务</w:t>
      </w:r>
      <w:bookmarkEnd w:id="197"/>
      <w:bookmarkEnd w:id="198"/>
      <w:bookmarkEnd w:id="199"/>
      <w:bookmarkEnd w:id="20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9.2供方还应提供下列服务：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9.2.1货物的现场安装、启动和试运行；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9.2.2提供货物组装和维修所需的工具；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01" w:name="_Toc14320_WPSOffice_Level1"/>
      <w:bookmarkStart w:id="202" w:name="_Toc18009"/>
      <w:bookmarkStart w:id="203" w:name="_Toc7636_WPSOffice_Level1"/>
      <w:bookmarkStart w:id="204" w:name="_Toc8205_WPSOffice_Level1"/>
      <w:r>
        <w:rPr>
          <w:rFonts w:hint="eastAsia" w:ascii="仿宋_GB2312" w:hAnsi="宋体" w:eastAsia="仿宋_GB2312"/>
          <w:b/>
          <w:szCs w:val="21"/>
        </w:rPr>
        <w:t>10.质量保证期</w:t>
      </w:r>
      <w:bookmarkEnd w:id="201"/>
      <w:bookmarkEnd w:id="202"/>
      <w:bookmarkEnd w:id="203"/>
      <w:bookmarkEnd w:id="20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05" w:name="_Toc13950_WPSOffice_Level1"/>
      <w:bookmarkStart w:id="206" w:name="_Toc18427_WPSOffice_Level1"/>
      <w:bookmarkStart w:id="207" w:name="_Toc20932"/>
      <w:bookmarkStart w:id="208" w:name="_Toc16220_WPSOffice_Level1"/>
      <w:r>
        <w:rPr>
          <w:rFonts w:hint="eastAsia" w:ascii="仿宋_GB2312" w:hAnsi="宋体" w:eastAsia="仿宋_GB2312"/>
          <w:b/>
          <w:szCs w:val="21"/>
        </w:rPr>
        <w:t>11.质量保证</w:t>
      </w:r>
      <w:bookmarkEnd w:id="205"/>
      <w:bookmarkEnd w:id="206"/>
      <w:bookmarkEnd w:id="207"/>
      <w:bookmarkEnd w:id="20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09" w:name="_Toc9090_WPSOffice_Level1"/>
      <w:bookmarkStart w:id="210" w:name="_Toc29469_WPSOffice_Level1"/>
      <w:bookmarkStart w:id="211" w:name="_Toc24667_WPSOffice_Level1"/>
      <w:bookmarkStart w:id="212" w:name="_Toc1384"/>
      <w:r>
        <w:rPr>
          <w:rFonts w:hint="eastAsia" w:ascii="仿宋_GB2312" w:hAnsi="宋体" w:eastAsia="仿宋_GB2312"/>
          <w:b/>
          <w:szCs w:val="21"/>
        </w:rPr>
        <w:t>12.技术服务和保修责任</w:t>
      </w:r>
      <w:bookmarkEnd w:id="209"/>
      <w:bookmarkEnd w:id="210"/>
      <w:bookmarkEnd w:id="211"/>
      <w:bookmarkEnd w:id="21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12.2供方应按如下内容提供售后服务：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12.2.6保修期内，供方应投标时的承诺提供相关服务。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13" w:name="_Toc10879"/>
      <w:bookmarkStart w:id="214" w:name="_Toc16924_WPSOffice_Level1"/>
      <w:bookmarkStart w:id="215" w:name="_Toc8548_WPSOffice_Level1"/>
      <w:bookmarkStart w:id="216" w:name="_Toc11781_WPSOffice_Level1"/>
      <w:r>
        <w:rPr>
          <w:rFonts w:hint="eastAsia" w:ascii="仿宋_GB2312" w:hAnsi="宋体" w:eastAsia="仿宋_GB2312"/>
          <w:b/>
          <w:szCs w:val="21"/>
        </w:rPr>
        <w:t>13.违约责任</w:t>
      </w:r>
      <w:bookmarkEnd w:id="213"/>
      <w:bookmarkEnd w:id="214"/>
      <w:bookmarkEnd w:id="215"/>
      <w:bookmarkEnd w:id="21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13.3延期交货的违约责任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17" w:name="_Toc30245"/>
      <w:bookmarkStart w:id="218" w:name="_Toc28610_WPSOffice_Level1"/>
      <w:bookmarkStart w:id="219" w:name="_Toc21833_WPSOffice_Level1"/>
      <w:bookmarkStart w:id="220" w:name="_Toc32310_WPSOffice_Level1"/>
      <w:r>
        <w:rPr>
          <w:rFonts w:hint="eastAsia" w:ascii="仿宋_GB2312" w:hAnsi="宋体" w:eastAsia="仿宋_GB2312"/>
          <w:b/>
          <w:szCs w:val="21"/>
        </w:rPr>
        <w:t>14.不可抗力</w:t>
      </w:r>
      <w:bookmarkEnd w:id="217"/>
      <w:bookmarkEnd w:id="218"/>
      <w:bookmarkEnd w:id="219"/>
      <w:bookmarkEnd w:id="22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21" w:name="_Toc12709"/>
      <w:bookmarkStart w:id="222" w:name="_Toc12037_WPSOffice_Level1"/>
      <w:bookmarkStart w:id="223" w:name="_Toc13390_WPSOffice_Level1"/>
      <w:bookmarkStart w:id="224" w:name="_Toc3262_WPSOffice_Level1"/>
      <w:r>
        <w:rPr>
          <w:rFonts w:hint="eastAsia" w:ascii="仿宋_GB2312" w:hAnsi="宋体" w:eastAsia="仿宋_GB2312"/>
          <w:b/>
          <w:szCs w:val="21"/>
        </w:rPr>
        <w:t>15.争端的解决</w:t>
      </w:r>
      <w:bookmarkEnd w:id="221"/>
      <w:bookmarkEnd w:id="222"/>
      <w:bookmarkEnd w:id="223"/>
      <w:bookmarkEnd w:id="22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15.1政府采购合同的履行、违约责任和解决争议的方法等适用《中华人民共和国民法典》。</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25" w:name="_Toc1917_WPSOffice_Level1"/>
      <w:bookmarkStart w:id="226" w:name="_Toc27539_WPSOffice_Level1"/>
      <w:bookmarkStart w:id="227" w:name="_Toc7773_WPSOffice_Level1"/>
      <w:bookmarkStart w:id="228" w:name="_Toc30271"/>
      <w:r>
        <w:rPr>
          <w:rFonts w:hint="eastAsia" w:ascii="仿宋_GB2312" w:hAnsi="宋体" w:eastAsia="仿宋_GB2312"/>
          <w:b/>
          <w:szCs w:val="21"/>
        </w:rPr>
        <w:t>16.违约终止政府采购合同</w:t>
      </w:r>
      <w:bookmarkEnd w:id="225"/>
      <w:bookmarkEnd w:id="226"/>
      <w:bookmarkEnd w:id="227"/>
      <w:bookmarkEnd w:id="22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29" w:name="_Toc4220_WPSOffice_Level1"/>
      <w:bookmarkStart w:id="230" w:name="_Toc11967_WPSOffice_Level1"/>
      <w:bookmarkStart w:id="231" w:name="_Toc3027"/>
      <w:bookmarkStart w:id="232" w:name="_Toc27976_WPSOffice_Level1"/>
      <w:r>
        <w:rPr>
          <w:rFonts w:hint="eastAsia" w:ascii="仿宋_GB2312" w:hAnsi="宋体" w:eastAsia="仿宋_GB2312"/>
          <w:b/>
          <w:szCs w:val="21"/>
        </w:rPr>
        <w:t>17.政府采购合同转让和分包</w:t>
      </w:r>
      <w:bookmarkEnd w:id="229"/>
      <w:bookmarkEnd w:id="230"/>
      <w:bookmarkEnd w:id="231"/>
      <w:bookmarkEnd w:id="23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33" w:name="_Toc1764"/>
      <w:bookmarkStart w:id="234" w:name="_Toc737_WPSOffice_Level1"/>
      <w:bookmarkStart w:id="235" w:name="_Toc30020_WPSOffice_Level1"/>
      <w:bookmarkStart w:id="236" w:name="_Toc16873_WPSOffice_Level1"/>
      <w:r>
        <w:rPr>
          <w:rFonts w:hint="eastAsia" w:ascii="仿宋_GB2312" w:hAnsi="宋体" w:eastAsia="仿宋_GB2312"/>
          <w:b/>
          <w:szCs w:val="21"/>
        </w:rPr>
        <w:t>18.适用法律：</w:t>
      </w:r>
      <w:bookmarkEnd w:id="233"/>
      <w:bookmarkEnd w:id="234"/>
      <w:bookmarkEnd w:id="235"/>
      <w:bookmarkEnd w:id="23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37" w:name="_Toc20985_WPSOffice_Level1"/>
      <w:bookmarkStart w:id="238" w:name="_Toc29009_WPSOffice_Level1"/>
      <w:bookmarkStart w:id="239" w:name="_Toc28790"/>
      <w:bookmarkStart w:id="240" w:name="_Toc23749_WPSOffice_Level1"/>
      <w:r>
        <w:rPr>
          <w:rFonts w:hint="eastAsia" w:ascii="仿宋_GB2312" w:hAnsi="宋体" w:eastAsia="仿宋_GB2312"/>
          <w:b/>
          <w:szCs w:val="21"/>
        </w:rPr>
        <w:t>19.政府采购合同生效</w:t>
      </w:r>
      <w:bookmarkEnd w:id="237"/>
      <w:bookmarkEnd w:id="238"/>
      <w:bookmarkEnd w:id="239"/>
      <w:bookmarkEnd w:id="24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0"/>
        <w:rPr>
          <w:rFonts w:ascii="仿宋_GB2312" w:hAnsi="宋体" w:eastAsia="仿宋_GB2312"/>
          <w:b/>
          <w:szCs w:val="21"/>
        </w:rPr>
      </w:pPr>
      <w:bookmarkStart w:id="241" w:name="_Toc12339_WPSOffice_Level1"/>
      <w:bookmarkStart w:id="242" w:name="_Toc20274_WPSOffice_Level1"/>
      <w:bookmarkStart w:id="243" w:name="_Toc405_WPSOffice_Level1"/>
      <w:bookmarkStart w:id="244" w:name="_Toc14556"/>
      <w:r>
        <w:rPr>
          <w:rFonts w:hint="eastAsia" w:ascii="仿宋_GB2312" w:hAnsi="宋体" w:eastAsia="仿宋_GB2312"/>
          <w:b/>
          <w:szCs w:val="21"/>
        </w:rPr>
        <w:t>20.政府采购合同附件</w:t>
      </w:r>
      <w:bookmarkEnd w:id="241"/>
      <w:bookmarkEnd w:id="242"/>
      <w:bookmarkEnd w:id="243"/>
      <w:bookmarkEnd w:id="24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bookmarkStart w:id="245" w:name="_Toc3518_WPSOffice_Level2"/>
      <w:r>
        <w:rPr>
          <w:rFonts w:hint="eastAsia" w:ascii="仿宋_GB2312" w:hAnsi="宋体" w:eastAsia="仿宋_GB2312"/>
          <w:szCs w:val="21"/>
        </w:rPr>
        <w:t>20.1招标文件；</w:t>
      </w:r>
      <w:bookmarkEnd w:id="24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bookmarkStart w:id="246" w:name="_Toc7342_WPSOffice_Level2"/>
      <w:r>
        <w:rPr>
          <w:rFonts w:hint="eastAsia" w:ascii="仿宋_GB2312" w:hAnsi="宋体" w:eastAsia="仿宋_GB2312"/>
          <w:szCs w:val="21"/>
        </w:rPr>
        <w:t>20.2招标文件的更正公告、变更公告；</w:t>
      </w:r>
      <w:bookmarkEnd w:id="24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bookmarkStart w:id="247" w:name="_Toc576_WPSOffice_Level2"/>
      <w:r>
        <w:rPr>
          <w:rFonts w:hint="eastAsia" w:ascii="仿宋_GB2312" w:hAnsi="宋体" w:eastAsia="仿宋_GB2312"/>
          <w:szCs w:val="21"/>
        </w:rPr>
        <w:t>20.3中标人提交的投标文件；</w:t>
      </w:r>
      <w:bookmarkEnd w:id="24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bookmarkStart w:id="248" w:name="_Toc25464_WPSOffice_Level2"/>
      <w:r>
        <w:rPr>
          <w:rFonts w:hint="eastAsia" w:ascii="仿宋_GB2312" w:hAnsi="宋体" w:eastAsia="仿宋_GB2312"/>
          <w:szCs w:val="21"/>
        </w:rPr>
        <w:t>20.4政府采购合同条款；</w:t>
      </w:r>
      <w:bookmarkEnd w:id="24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Cs w:val="21"/>
        </w:rPr>
      </w:pPr>
      <w:bookmarkStart w:id="249" w:name="_Toc25590_WPSOffice_Level2"/>
      <w:r>
        <w:rPr>
          <w:rFonts w:hint="eastAsia" w:ascii="仿宋_GB2312" w:hAnsi="宋体" w:eastAsia="仿宋_GB2312"/>
          <w:szCs w:val="21"/>
        </w:rPr>
        <w:t>20.5中标通知书；</w:t>
      </w:r>
      <w:bookmarkEnd w:id="24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宋体" w:eastAsia="仿宋_GB2312"/>
          <w:sz w:val="24"/>
        </w:rPr>
      </w:pPr>
      <w:bookmarkStart w:id="250" w:name="_Toc10297_WPSOffice_Level2"/>
      <w:r>
        <w:rPr>
          <w:rFonts w:hint="eastAsia" w:ascii="仿宋_GB2312" w:hAnsi="宋体" w:eastAsia="仿宋_GB2312"/>
          <w:szCs w:val="21"/>
        </w:rPr>
        <w:t>20.6政府采购合同的其它附件。</w:t>
      </w:r>
      <w:bookmarkEnd w:id="250"/>
    </w:p>
    <w:p>
      <w:pPr>
        <w:pStyle w:val="3"/>
        <w:adjustRightInd w:val="0"/>
        <w:snapToGrid w:val="0"/>
        <w:spacing w:before="0" w:after="0" w:line="240" w:lineRule="auto"/>
        <w:jc w:val="left"/>
        <w:rPr>
          <w:rFonts w:ascii="仿宋_GB2312" w:hAnsi="宋体" w:eastAsia="仿宋_GB2312"/>
          <w:sz w:val="21"/>
          <w:szCs w:val="21"/>
        </w:rPr>
      </w:pPr>
      <w:bookmarkStart w:id="251" w:name="_Toc372_WPSOffice_Level1"/>
      <w:bookmarkStart w:id="252" w:name="_Toc3044_WPSOffice_Level1"/>
      <w:bookmarkStart w:id="253" w:name="_Toc7342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rPr>
        <w:t>合同格式</w:t>
      </w:r>
      <w:bookmarkEnd w:id="251"/>
      <w:bookmarkEnd w:id="252"/>
      <w:bookmarkEnd w:id="253"/>
    </w:p>
    <w:p>
      <w:pPr>
        <w:adjustRightInd w:val="0"/>
        <w:snapToGrid w:val="0"/>
        <w:spacing w:line="360" w:lineRule="auto"/>
        <w:jc w:val="center"/>
        <w:outlineLvl w:val="0"/>
        <w:rPr>
          <w:rFonts w:ascii="仿宋_GB2312" w:hAnsi="宋体" w:eastAsia="仿宋_GB2312"/>
          <w:b/>
          <w:bCs/>
          <w:sz w:val="44"/>
          <w:szCs w:val="44"/>
        </w:rPr>
      </w:pPr>
      <w:bookmarkStart w:id="254" w:name="_Toc7832_WPSOffice_Level1"/>
      <w:bookmarkStart w:id="255" w:name="_Toc11644_WPSOffice_Level1"/>
      <w:bookmarkStart w:id="256" w:name="_Toc20488"/>
      <w:r>
        <w:rPr>
          <w:rFonts w:hint="eastAsia" w:ascii="仿宋_GB2312" w:hAnsi="宋体" w:eastAsia="仿宋_GB2312"/>
          <w:b/>
          <w:bCs/>
          <w:sz w:val="44"/>
          <w:szCs w:val="44"/>
        </w:rPr>
        <w:t>政府采购合同格式</w:t>
      </w:r>
      <w:bookmarkEnd w:id="254"/>
      <w:bookmarkEnd w:id="255"/>
      <w:bookmarkEnd w:id="25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政府采购合同编号：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签订地点：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（以下简称供方）根据《中华人民共和国民法典》和有关法律法规，遵循平等、自愿、公平和诚实信用原则，同意按照下面的条款和条件订立本政府采购合同，共同信守。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57" w:name="_Toc13230_WPSOffice_Level2"/>
      <w:r>
        <w:rPr>
          <w:rFonts w:hint="eastAsia" w:ascii="黑体" w:hAnsi="宋体" w:eastAsia="黑体"/>
          <w:b/>
          <w:szCs w:val="21"/>
        </w:rPr>
        <w:t>一、政府采购合同文件</w:t>
      </w:r>
      <w:bookmarkEnd w:id="25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本政府采购合同所附下列文件是构成本政府采购合同不可分割的部分：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58" w:name="_Toc19527_WPSOffice_Level2"/>
      <w:r>
        <w:rPr>
          <w:rFonts w:hint="eastAsia" w:ascii="黑体" w:hAnsi="宋体" w:eastAsia="黑体"/>
          <w:b/>
          <w:szCs w:val="21"/>
        </w:rPr>
        <w:t>二、政府采购合同范围和条件</w:t>
      </w:r>
      <w:bookmarkEnd w:id="25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本政府采购合同的范围和条件与上述政府采购合同文件的规定相一致。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59" w:name="_Toc18050_WPSOffice_Level2"/>
      <w:r>
        <w:rPr>
          <w:rFonts w:hint="eastAsia" w:ascii="黑体" w:hAnsi="宋体" w:eastAsia="黑体"/>
          <w:b/>
          <w:szCs w:val="21"/>
        </w:rPr>
        <w:t>三、政府采购合同标的</w:t>
      </w:r>
      <w:bookmarkEnd w:id="25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仿宋_GB2312" w:hAnsi="宋体" w:eastAsia="仿宋_GB2312"/>
          <w:szCs w:val="21"/>
        </w:rPr>
      </w:pPr>
      <w:r>
        <w:rPr>
          <w:rFonts w:hint="eastAsia" w:ascii="仿宋_GB2312" w:hAnsi="仿宋_GB2312" w:eastAsia="仿宋_GB2312" w:cs="仿宋_GB2312"/>
          <w:szCs w:val="21"/>
        </w:rPr>
        <w:t>本政府采购合同的标的为招标文件中所列货物及相关服务。</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60" w:name="_Toc27886_WPSOffice_Level2"/>
      <w:r>
        <w:rPr>
          <w:rFonts w:hint="eastAsia" w:ascii="黑体" w:hAnsi="宋体" w:eastAsia="黑体"/>
          <w:b/>
          <w:szCs w:val="21"/>
        </w:rPr>
        <w:t>四、政府采购合同金额</w:t>
      </w:r>
      <w:bookmarkEnd w:id="26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注：存在分项产品的必须清晰列明分项产品明细，包括名称、数量、分项报价等，并作为合同组成部分。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61" w:name="_Toc22211_WPSOffice_Level2"/>
      <w:r>
        <w:rPr>
          <w:rFonts w:hint="eastAsia" w:ascii="黑体" w:hAnsi="宋体" w:eastAsia="黑体"/>
          <w:b/>
          <w:szCs w:val="21"/>
        </w:rPr>
        <w:t>五、付款方式及条件</w:t>
      </w:r>
      <w:bookmarkEnd w:id="261"/>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ascii="黑体" w:hAnsi="宋体" w:eastAsia="黑体"/>
          <w:b/>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bookmarkStart w:id="262" w:name="_Toc27813_WPSOffice_Level2"/>
      <w:r>
        <w:rPr>
          <w:rFonts w:hint="eastAsia" w:ascii="黑体" w:hAnsi="宋体" w:eastAsia="黑体"/>
          <w:b/>
          <w:szCs w:val="21"/>
        </w:rPr>
        <w:t>六、交货时间和交货地点</w:t>
      </w:r>
      <w:bookmarkEnd w:id="26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u w:val="single"/>
        </w:rPr>
      </w:pPr>
      <w:r>
        <w:rPr>
          <w:rFonts w:hint="eastAsia" w:ascii="仿宋_GB2312" w:hAnsi="宋体" w:eastAsia="仿宋_GB2312"/>
          <w:szCs w:val="21"/>
        </w:rPr>
        <w:t>1.交货时间：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u w:val="single"/>
        </w:rPr>
      </w:pPr>
      <w:r>
        <w:rPr>
          <w:rFonts w:hint="eastAsia" w:ascii="仿宋_GB2312" w:hAnsi="宋体" w:eastAsia="仿宋_GB2312"/>
          <w:szCs w:val="21"/>
        </w:rPr>
        <w:t>2.交货地点：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63" w:name="_Toc12497_WPSOffice_Level2"/>
      <w:r>
        <w:rPr>
          <w:rFonts w:hint="eastAsia" w:ascii="黑体" w:hAnsi="宋体" w:eastAsia="黑体"/>
          <w:b/>
          <w:szCs w:val="21"/>
        </w:rPr>
        <w:t>七、验收要求</w:t>
      </w:r>
      <w:bookmarkEnd w:id="26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64" w:name="_Toc4868_WPSOffice_Level2"/>
      <w:r>
        <w:rPr>
          <w:rFonts w:hint="eastAsia" w:ascii="黑体" w:hAnsi="宋体" w:eastAsia="黑体"/>
          <w:b/>
          <w:szCs w:val="21"/>
        </w:rPr>
        <w:t>八、违约责任</w:t>
      </w:r>
      <w:bookmarkEnd w:id="26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1.供方逾期供货的，每逾期一天向需方支付逾期供货金额%的违约金，逾期日的，需方有权单方面解除本协议。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2.供方交付的货物不符合约定的，供方无条件更换符合约定的货物，并按照最终提供合格货物的日期遵照前款承担违约责任，更换一次货物后仍不符合约定的，需方有权单方面解除本协议。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3.需方逾期付款的，每逾期一天向供方支付逾期金额%的违约金，逾期日的，供方有权单方面解除本协议。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65" w:name="_Toc24496_WPSOffice_Level2"/>
      <w:r>
        <w:rPr>
          <w:rFonts w:hint="eastAsia" w:ascii="黑体" w:hAnsi="宋体" w:eastAsia="黑体"/>
          <w:b/>
          <w:szCs w:val="21"/>
        </w:rPr>
        <w:t>九、争议解决</w:t>
      </w:r>
      <w:bookmarkEnd w:id="26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r>
        <w:rPr>
          <w:rFonts w:hint="eastAsia" w:ascii="仿宋_GB2312" w:hAnsi="宋体" w:eastAsia="仿宋_GB2312"/>
          <w:szCs w:val="21"/>
        </w:rPr>
        <w:t>双方因履行本协议而产生的争议，应友好协商解决，协商不成的，任何一方可向需方所在地的人民法院提起诉讼。</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黑体" w:hAnsi="宋体" w:eastAsia="黑体"/>
          <w:b/>
          <w:szCs w:val="21"/>
        </w:rPr>
      </w:pPr>
      <w:bookmarkStart w:id="266" w:name="_Toc24974_WPSOffice_Level2"/>
      <w:r>
        <w:rPr>
          <w:rFonts w:hint="eastAsia" w:ascii="黑体" w:hAnsi="宋体" w:eastAsia="黑体"/>
          <w:b/>
          <w:szCs w:val="21"/>
        </w:rPr>
        <w:t>十、合同生效</w:t>
      </w:r>
      <w:bookmarkEnd w:id="26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本政府采购合同经双方授权代表签字盖章后生效。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需方（公章）:                       供方(公章):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bookmarkEnd w:id="161"/>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sectPr>
      <w:pgSz w:w="11906" w:h="16838"/>
      <w:pgMar w:top="1440" w:right="1803" w:bottom="1440" w:left="1803" w:header="851" w:footer="992" w:gutter="0"/>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等线">
    <w:altName w:val="微软雅黑"/>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34</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4FDF470"/>
    <w:multiLevelType w:val="singleLevel"/>
    <w:tmpl w:val="B4FDF470"/>
    <w:lvl w:ilvl="0" w:tentative="0">
      <w:start w:val="1"/>
      <w:numFmt w:val="decimal"/>
      <w:suff w:val="nothing"/>
      <w:lvlText w:val="（%1）"/>
      <w:lvlJc w:val="left"/>
    </w:lvl>
  </w:abstractNum>
  <w:abstractNum w:abstractNumId="2">
    <w:nsid w:val="B9A1E8D1"/>
    <w:multiLevelType w:val="singleLevel"/>
    <w:tmpl w:val="B9A1E8D1"/>
    <w:lvl w:ilvl="0" w:tentative="0">
      <w:start w:val="1"/>
      <w:numFmt w:val="decimal"/>
      <w:suff w:val="nothing"/>
      <w:lvlText w:val="（%1）"/>
      <w:lvlJc w:val="left"/>
    </w:lvl>
  </w:abstractNum>
  <w:abstractNum w:abstractNumId="3">
    <w:nsid w:val="C88DD940"/>
    <w:multiLevelType w:val="singleLevel"/>
    <w:tmpl w:val="C88DD940"/>
    <w:lvl w:ilvl="0" w:tentative="0">
      <w:start w:val="1"/>
      <w:numFmt w:val="decimal"/>
      <w:lvlText w:val="%1."/>
      <w:lvlJc w:val="left"/>
      <w:pPr>
        <w:tabs>
          <w:tab w:val="left" w:pos="312"/>
        </w:tabs>
      </w:pPr>
    </w:lvl>
  </w:abstractNum>
  <w:abstractNum w:abstractNumId="4">
    <w:nsid w:val="DA6B491B"/>
    <w:multiLevelType w:val="singleLevel"/>
    <w:tmpl w:val="DA6B491B"/>
    <w:lvl w:ilvl="0" w:tentative="0">
      <w:start w:val="1"/>
      <w:numFmt w:val="chineseCounting"/>
      <w:suff w:val="nothing"/>
      <w:lvlText w:val="%1、"/>
      <w:lvlJc w:val="left"/>
      <w:rPr>
        <w:rFonts w:hint="eastAsia"/>
      </w:rPr>
    </w:lvl>
  </w:abstractNum>
  <w:abstractNum w:abstractNumId="5">
    <w:nsid w:val="EE8E3184"/>
    <w:multiLevelType w:val="singleLevel"/>
    <w:tmpl w:val="EE8E3184"/>
    <w:lvl w:ilvl="0" w:tentative="0">
      <w:start w:val="1"/>
      <w:numFmt w:val="decimal"/>
      <w:suff w:val="nothing"/>
      <w:lvlText w:val="（%1）"/>
      <w:lvlJc w:val="left"/>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33BE5043"/>
    <w:multiLevelType w:val="singleLevel"/>
    <w:tmpl w:val="33BE5043"/>
    <w:lvl w:ilvl="0" w:tentative="0">
      <w:start w:val="7"/>
      <w:numFmt w:val="decimal"/>
      <w:suff w:val="nothing"/>
      <w:lvlText w:val="%1、"/>
      <w:lvlJc w:val="left"/>
    </w:lvl>
  </w:abstractNum>
  <w:abstractNum w:abstractNumId="8">
    <w:nsid w:val="420C153B"/>
    <w:multiLevelType w:val="multilevel"/>
    <w:tmpl w:val="420C153B"/>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468ACDF8"/>
    <w:multiLevelType w:val="singleLevel"/>
    <w:tmpl w:val="468ACDF8"/>
    <w:lvl w:ilvl="0" w:tentative="0">
      <w:start w:val="2"/>
      <w:numFmt w:val="chineseCounting"/>
      <w:suff w:val="nothing"/>
      <w:lvlText w:val="（%1）"/>
      <w:lvlJc w:val="left"/>
      <w:rPr>
        <w:rFonts w:hint="eastAsia"/>
      </w:rPr>
    </w:lvl>
  </w:abstractNum>
  <w:abstractNum w:abstractNumId="10">
    <w:nsid w:val="58B8D911"/>
    <w:multiLevelType w:val="singleLevel"/>
    <w:tmpl w:val="58B8D911"/>
    <w:lvl w:ilvl="0" w:tentative="0">
      <w:start w:val="1"/>
      <w:numFmt w:val="decimal"/>
      <w:suff w:val="nothing"/>
      <w:lvlText w:val="%1、"/>
      <w:lvlJc w:val="left"/>
    </w:lvl>
  </w:abstractNum>
  <w:abstractNum w:abstractNumId="11">
    <w:nsid w:val="6100EABF"/>
    <w:multiLevelType w:val="singleLevel"/>
    <w:tmpl w:val="6100EABF"/>
    <w:lvl w:ilvl="0" w:tentative="0">
      <w:start w:val="9"/>
      <w:numFmt w:val="chineseCounting"/>
      <w:suff w:val="nothing"/>
      <w:lvlText w:val="%1、"/>
      <w:lvlJc w:val="left"/>
    </w:lvl>
  </w:abstractNum>
  <w:abstractNum w:abstractNumId="12">
    <w:nsid w:val="7B4156D0"/>
    <w:multiLevelType w:val="singleLevel"/>
    <w:tmpl w:val="7B4156D0"/>
    <w:lvl w:ilvl="0" w:tentative="0">
      <w:start w:val="1"/>
      <w:numFmt w:val="decimal"/>
      <w:suff w:val="nothing"/>
      <w:lvlText w:val="（%1）"/>
      <w:lvlJc w:val="left"/>
    </w:lvl>
  </w:abstractNum>
  <w:num w:numId="1">
    <w:abstractNumId w:val="8"/>
  </w:num>
  <w:num w:numId="2">
    <w:abstractNumId w:val="4"/>
  </w:num>
  <w:num w:numId="3">
    <w:abstractNumId w:val="0"/>
  </w:num>
  <w:num w:numId="4">
    <w:abstractNumId w:val="2"/>
  </w:num>
  <w:num w:numId="5">
    <w:abstractNumId w:val="7"/>
  </w:num>
  <w:num w:numId="6">
    <w:abstractNumId w:val="11"/>
  </w:num>
  <w:num w:numId="7">
    <w:abstractNumId w:val="1"/>
  </w:num>
  <w:num w:numId="8">
    <w:abstractNumId w:val="6"/>
  </w:num>
  <w:num w:numId="9">
    <w:abstractNumId w:val="5"/>
  </w:num>
  <w:num w:numId="10">
    <w:abstractNumId w:val="12"/>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TI3ZTJiYzZiMTBkNDBlODQ5ZjI5MDliYmExNmIifQ=="/>
  </w:docVars>
  <w:rsids>
    <w:rsidRoot w:val="35AB3B2B"/>
    <w:rsid w:val="00001D20"/>
    <w:rsid w:val="0000641B"/>
    <w:rsid w:val="00007440"/>
    <w:rsid w:val="00017AF4"/>
    <w:rsid w:val="00024251"/>
    <w:rsid w:val="000341B1"/>
    <w:rsid w:val="00051172"/>
    <w:rsid w:val="00056F1E"/>
    <w:rsid w:val="000577D5"/>
    <w:rsid w:val="00062FCE"/>
    <w:rsid w:val="000730A7"/>
    <w:rsid w:val="00080F44"/>
    <w:rsid w:val="00084D3F"/>
    <w:rsid w:val="00087DBC"/>
    <w:rsid w:val="00092BC6"/>
    <w:rsid w:val="00097A26"/>
    <w:rsid w:val="000A696E"/>
    <w:rsid w:val="000B6FF4"/>
    <w:rsid w:val="000C3A16"/>
    <w:rsid w:val="000C45C0"/>
    <w:rsid w:val="000C50C3"/>
    <w:rsid w:val="000D2859"/>
    <w:rsid w:val="000E2E67"/>
    <w:rsid w:val="000E663A"/>
    <w:rsid w:val="000F0A3D"/>
    <w:rsid w:val="000F3481"/>
    <w:rsid w:val="001006F2"/>
    <w:rsid w:val="00102A03"/>
    <w:rsid w:val="00112D2F"/>
    <w:rsid w:val="0011622C"/>
    <w:rsid w:val="00125079"/>
    <w:rsid w:val="00153E3D"/>
    <w:rsid w:val="00154309"/>
    <w:rsid w:val="00157379"/>
    <w:rsid w:val="00163B9A"/>
    <w:rsid w:val="00170000"/>
    <w:rsid w:val="001711BB"/>
    <w:rsid w:val="00171212"/>
    <w:rsid w:val="001924CD"/>
    <w:rsid w:val="001A10E9"/>
    <w:rsid w:val="001A6D95"/>
    <w:rsid w:val="001B28CD"/>
    <w:rsid w:val="001C6199"/>
    <w:rsid w:val="001D6499"/>
    <w:rsid w:val="001E32C3"/>
    <w:rsid w:val="001E69F3"/>
    <w:rsid w:val="001F2B1F"/>
    <w:rsid w:val="00201D14"/>
    <w:rsid w:val="002220C1"/>
    <w:rsid w:val="00223C9B"/>
    <w:rsid w:val="00227209"/>
    <w:rsid w:val="00235342"/>
    <w:rsid w:val="00237843"/>
    <w:rsid w:val="00250B65"/>
    <w:rsid w:val="00254A05"/>
    <w:rsid w:val="00270A8C"/>
    <w:rsid w:val="00275045"/>
    <w:rsid w:val="00276724"/>
    <w:rsid w:val="00285E04"/>
    <w:rsid w:val="00297998"/>
    <w:rsid w:val="002A262E"/>
    <w:rsid w:val="002B2B54"/>
    <w:rsid w:val="002C79A6"/>
    <w:rsid w:val="002D095A"/>
    <w:rsid w:val="002F32CB"/>
    <w:rsid w:val="003000ED"/>
    <w:rsid w:val="00302A71"/>
    <w:rsid w:val="003216E0"/>
    <w:rsid w:val="00333267"/>
    <w:rsid w:val="00347D42"/>
    <w:rsid w:val="00362E10"/>
    <w:rsid w:val="003879AD"/>
    <w:rsid w:val="00393C8D"/>
    <w:rsid w:val="00396190"/>
    <w:rsid w:val="003A0A83"/>
    <w:rsid w:val="003A0C5B"/>
    <w:rsid w:val="003A7EAA"/>
    <w:rsid w:val="003B3DB5"/>
    <w:rsid w:val="003B3F78"/>
    <w:rsid w:val="003C2E8F"/>
    <w:rsid w:val="003C32AC"/>
    <w:rsid w:val="003C63A6"/>
    <w:rsid w:val="003C7F66"/>
    <w:rsid w:val="003D1FE1"/>
    <w:rsid w:val="003D27FC"/>
    <w:rsid w:val="003E2902"/>
    <w:rsid w:val="003F38B1"/>
    <w:rsid w:val="00403226"/>
    <w:rsid w:val="0042221A"/>
    <w:rsid w:val="00425155"/>
    <w:rsid w:val="00426C65"/>
    <w:rsid w:val="00440750"/>
    <w:rsid w:val="00442823"/>
    <w:rsid w:val="0045483E"/>
    <w:rsid w:val="00460499"/>
    <w:rsid w:val="004654B8"/>
    <w:rsid w:val="00465DC4"/>
    <w:rsid w:val="0048013C"/>
    <w:rsid w:val="00481BAD"/>
    <w:rsid w:val="004838DC"/>
    <w:rsid w:val="00496012"/>
    <w:rsid w:val="0049745C"/>
    <w:rsid w:val="004A1A92"/>
    <w:rsid w:val="004A1D8B"/>
    <w:rsid w:val="004C5563"/>
    <w:rsid w:val="004E3769"/>
    <w:rsid w:val="004E4BAC"/>
    <w:rsid w:val="005018C5"/>
    <w:rsid w:val="00502E90"/>
    <w:rsid w:val="00504179"/>
    <w:rsid w:val="00513444"/>
    <w:rsid w:val="005227FD"/>
    <w:rsid w:val="005448AD"/>
    <w:rsid w:val="00552A48"/>
    <w:rsid w:val="0055604D"/>
    <w:rsid w:val="0055608C"/>
    <w:rsid w:val="0056074F"/>
    <w:rsid w:val="00566384"/>
    <w:rsid w:val="005756BA"/>
    <w:rsid w:val="00575A00"/>
    <w:rsid w:val="00575F8E"/>
    <w:rsid w:val="00581FD9"/>
    <w:rsid w:val="00584C97"/>
    <w:rsid w:val="005B7018"/>
    <w:rsid w:val="005C11FC"/>
    <w:rsid w:val="005D49FC"/>
    <w:rsid w:val="005D523F"/>
    <w:rsid w:val="005E4A02"/>
    <w:rsid w:val="005F2452"/>
    <w:rsid w:val="005F3121"/>
    <w:rsid w:val="006072BB"/>
    <w:rsid w:val="00613AD2"/>
    <w:rsid w:val="0062157E"/>
    <w:rsid w:val="00624F10"/>
    <w:rsid w:val="006279B9"/>
    <w:rsid w:val="006314BF"/>
    <w:rsid w:val="00633CA8"/>
    <w:rsid w:val="00635F97"/>
    <w:rsid w:val="00636D14"/>
    <w:rsid w:val="00640136"/>
    <w:rsid w:val="0064074B"/>
    <w:rsid w:val="00642EAC"/>
    <w:rsid w:val="006546F2"/>
    <w:rsid w:val="00670193"/>
    <w:rsid w:val="00684C44"/>
    <w:rsid w:val="0069059A"/>
    <w:rsid w:val="0069725C"/>
    <w:rsid w:val="0069767F"/>
    <w:rsid w:val="006C09F3"/>
    <w:rsid w:val="006C78CF"/>
    <w:rsid w:val="006D4E40"/>
    <w:rsid w:val="006D5B4F"/>
    <w:rsid w:val="006F5C69"/>
    <w:rsid w:val="0070077B"/>
    <w:rsid w:val="00712666"/>
    <w:rsid w:val="007365CC"/>
    <w:rsid w:val="00741475"/>
    <w:rsid w:val="00764EE8"/>
    <w:rsid w:val="00784140"/>
    <w:rsid w:val="00784E15"/>
    <w:rsid w:val="007A6BB9"/>
    <w:rsid w:val="007B62BB"/>
    <w:rsid w:val="007C2CCC"/>
    <w:rsid w:val="007D0A2A"/>
    <w:rsid w:val="007F14E4"/>
    <w:rsid w:val="007F1855"/>
    <w:rsid w:val="007F18A5"/>
    <w:rsid w:val="007F315A"/>
    <w:rsid w:val="007F5AA0"/>
    <w:rsid w:val="007F5AC9"/>
    <w:rsid w:val="007F774A"/>
    <w:rsid w:val="00803A51"/>
    <w:rsid w:val="00841869"/>
    <w:rsid w:val="0085543B"/>
    <w:rsid w:val="00876A74"/>
    <w:rsid w:val="00885FE6"/>
    <w:rsid w:val="008A07F8"/>
    <w:rsid w:val="008D1E72"/>
    <w:rsid w:val="008D297F"/>
    <w:rsid w:val="008D2B28"/>
    <w:rsid w:val="008D32DE"/>
    <w:rsid w:val="008E1F6C"/>
    <w:rsid w:val="008E20CD"/>
    <w:rsid w:val="008E37AC"/>
    <w:rsid w:val="008E5B7A"/>
    <w:rsid w:val="008F249C"/>
    <w:rsid w:val="008F4A8F"/>
    <w:rsid w:val="008F6E80"/>
    <w:rsid w:val="008F7CA4"/>
    <w:rsid w:val="00900E6A"/>
    <w:rsid w:val="00931C17"/>
    <w:rsid w:val="00936C49"/>
    <w:rsid w:val="00944572"/>
    <w:rsid w:val="00946992"/>
    <w:rsid w:val="0094701F"/>
    <w:rsid w:val="00953227"/>
    <w:rsid w:val="00962C79"/>
    <w:rsid w:val="009740DF"/>
    <w:rsid w:val="009869F8"/>
    <w:rsid w:val="0098744A"/>
    <w:rsid w:val="00987F43"/>
    <w:rsid w:val="00994CC8"/>
    <w:rsid w:val="009A3A1B"/>
    <w:rsid w:val="009A5F69"/>
    <w:rsid w:val="009A70BD"/>
    <w:rsid w:val="009E428A"/>
    <w:rsid w:val="009F4690"/>
    <w:rsid w:val="00A05D3C"/>
    <w:rsid w:val="00A07B9A"/>
    <w:rsid w:val="00A155F7"/>
    <w:rsid w:val="00A20495"/>
    <w:rsid w:val="00A237C2"/>
    <w:rsid w:val="00A2757B"/>
    <w:rsid w:val="00A27ED3"/>
    <w:rsid w:val="00A30936"/>
    <w:rsid w:val="00A413A6"/>
    <w:rsid w:val="00A429CD"/>
    <w:rsid w:val="00A6193E"/>
    <w:rsid w:val="00A746A6"/>
    <w:rsid w:val="00A773DA"/>
    <w:rsid w:val="00A82127"/>
    <w:rsid w:val="00AA4459"/>
    <w:rsid w:val="00AB297E"/>
    <w:rsid w:val="00AC4735"/>
    <w:rsid w:val="00AC4F4E"/>
    <w:rsid w:val="00AD58F8"/>
    <w:rsid w:val="00AE6103"/>
    <w:rsid w:val="00AF702F"/>
    <w:rsid w:val="00B34597"/>
    <w:rsid w:val="00B34B5B"/>
    <w:rsid w:val="00B35BD1"/>
    <w:rsid w:val="00B45EAC"/>
    <w:rsid w:val="00B47161"/>
    <w:rsid w:val="00B47A77"/>
    <w:rsid w:val="00B63443"/>
    <w:rsid w:val="00B73DD6"/>
    <w:rsid w:val="00B82712"/>
    <w:rsid w:val="00BA7264"/>
    <w:rsid w:val="00BA7453"/>
    <w:rsid w:val="00BB192E"/>
    <w:rsid w:val="00BB1D83"/>
    <w:rsid w:val="00BB241E"/>
    <w:rsid w:val="00BB5E97"/>
    <w:rsid w:val="00BB6AEE"/>
    <w:rsid w:val="00BC22DA"/>
    <w:rsid w:val="00BD03EB"/>
    <w:rsid w:val="00BD5E86"/>
    <w:rsid w:val="00BF2574"/>
    <w:rsid w:val="00BF4409"/>
    <w:rsid w:val="00BF5725"/>
    <w:rsid w:val="00C041B7"/>
    <w:rsid w:val="00C160E3"/>
    <w:rsid w:val="00C16AB5"/>
    <w:rsid w:val="00C25539"/>
    <w:rsid w:val="00C2639B"/>
    <w:rsid w:val="00C413F1"/>
    <w:rsid w:val="00C65295"/>
    <w:rsid w:val="00C66946"/>
    <w:rsid w:val="00C85EB0"/>
    <w:rsid w:val="00C9111A"/>
    <w:rsid w:val="00C9148F"/>
    <w:rsid w:val="00CA72F0"/>
    <w:rsid w:val="00CA7336"/>
    <w:rsid w:val="00CC7443"/>
    <w:rsid w:val="00CF06D6"/>
    <w:rsid w:val="00CF6DED"/>
    <w:rsid w:val="00CF77F2"/>
    <w:rsid w:val="00D01EB5"/>
    <w:rsid w:val="00D02FB6"/>
    <w:rsid w:val="00D1354C"/>
    <w:rsid w:val="00D20DC8"/>
    <w:rsid w:val="00D249CE"/>
    <w:rsid w:val="00D31C69"/>
    <w:rsid w:val="00D33D22"/>
    <w:rsid w:val="00D34A65"/>
    <w:rsid w:val="00D411F2"/>
    <w:rsid w:val="00D519BD"/>
    <w:rsid w:val="00D52014"/>
    <w:rsid w:val="00D602FB"/>
    <w:rsid w:val="00D60B11"/>
    <w:rsid w:val="00D70A03"/>
    <w:rsid w:val="00D81F13"/>
    <w:rsid w:val="00D8435D"/>
    <w:rsid w:val="00D87717"/>
    <w:rsid w:val="00D95734"/>
    <w:rsid w:val="00DA4744"/>
    <w:rsid w:val="00DB10A5"/>
    <w:rsid w:val="00DB41F3"/>
    <w:rsid w:val="00DD084B"/>
    <w:rsid w:val="00DD2020"/>
    <w:rsid w:val="00DE76CC"/>
    <w:rsid w:val="00E01590"/>
    <w:rsid w:val="00E0524F"/>
    <w:rsid w:val="00E13885"/>
    <w:rsid w:val="00E4425F"/>
    <w:rsid w:val="00E66D25"/>
    <w:rsid w:val="00E7060B"/>
    <w:rsid w:val="00E83E68"/>
    <w:rsid w:val="00E96DA4"/>
    <w:rsid w:val="00EA6FE2"/>
    <w:rsid w:val="00EB5386"/>
    <w:rsid w:val="00ED617D"/>
    <w:rsid w:val="00ED6C54"/>
    <w:rsid w:val="00EE68FA"/>
    <w:rsid w:val="00EF029D"/>
    <w:rsid w:val="00EF29D6"/>
    <w:rsid w:val="00EF61AA"/>
    <w:rsid w:val="00F05317"/>
    <w:rsid w:val="00F054E3"/>
    <w:rsid w:val="00F05EBD"/>
    <w:rsid w:val="00F12BEA"/>
    <w:rsid w:val="00F16439"/>
    <w:rsid w:val="00F16FF4"/>
    <w:rsid w:val="00F17325"/>
    <w:rsid w:val="00F3061C"/>
    <w:rsid w:val="00F31388"/>
    <w:rsid w:val="00F44C10"/>
    <w:rsid w:val="00F5200B"/>
    <w:rsid w:val="00F61503"/>
    <w:rsid w:val="00F64DEA"/>
    <w:rsid w:val="00F67C2D"/>
    <w:rsid w:val="00F7590E"/>
    <w:rsid w:val="00F94824"/>
    <w:rsid w:val="00F95A7E"/>
    <w:rsid w:val="00FC15F9"/>
    <w:rsid w:val="00FC6CD4"/>
    <w:rsid w:val="00FC7FD4"/>
    <w:rsid w:val="00FD57C2"/>
    <w:rsid w:val="00FF2C4E"/>
    <w:rsid w:val="00FF75E6"/>
    <w:rsid w:val="01007E42"/>
    <w:rsid w:val="010402F4"/>
    <w:rsid w:val="01275D20"/>
    <w:rsid w:val="014F4893"/>
    <w:rsid w:val="01573E52"/>
    <w:rsid w:val="017734C4"/>
    <w:rsid w:val="017A1B91"/>
    <w:rsid w:val="01864D83"/>
    <w:rsid w:val="019A5532"/>
    <w:rsid w:val="01A47C79"/>
    <w:rsid w:val="01B03A91"/>
    <w:rsid w:val="01F376F8"/>
    <w:rsid w:val="02301761"/>
    <w:rsid w:val="02670DCF"/>
    <w:rsid w:val="029E7AD0"/>
    <w:rsid w:val="02A16E70"/>
    <w:rsid w:val="02F545EC"/>
    <w:rsid w:val="02FA30D3"/>
    <w:rsid w:val="03035F04"/>
    <w:rsid w:val="03090322"/>
    <w:rsid w:val="032759B1"/>
    <w:rsid w:val="03340AC5"/>
    <w:rsid w:val="036F159C"/>
    <w:rsid w:val="037C53E5"/>
    <w:rsid w:val="03A07AD7"/>
    <w:rsid w:val="03EC73DD"/>
    <w:rsid w:val="043D0BDE"/>
    <w:rsid w:val="04560923"/>
    <w:rsid w:val="046D0256"/>
    <w:rsid w:val="04815ADE"/>
    <w:rsid w:val="048E4CB5"/>
    <w:rsid w:val="049D565A"/>
    <w:rsid w:val="049E0DBB"/>
    <w:rsid w:val="04A939B0"/>
    <w:rsid w:val="04AC72EC"/>
    <w:rsid w:val="04BE5C87"/>
    <w:rsid w:val="05190704"/>
    <w:rsid w:val="05484B7D"/>
    <w:rsid w:val="057B7AFF"/>
    <w:rsid w:val="0580226C"/>
    <w:rsid w:val="059B2E14"/>
    <w:rsid w:val="05AA531D"/>
    <w:rsid w:val="05CA0D00"/>
    <w:rsid w:val="05CD3179"/>
    <w:rsid w:val="05D067D9"/>
    <w:rsid w:val="05D85C95"/>
    <w:rsid w:val="05F37737"/>
    <w:rsid w:val="05FE190F"/>
    <w:rsid w:val="061B05D8"/>
    <w:rsid w:val="06306B73"/>
    <w:rsid w:val="06396470"/>
    <w:rsid w:val="065F7A0C"/>
    <w:rsid w:val="066E3682"/>
    <w:rsid w:val="06750C66"/>
    <w:rsid w:val="068C4112"/>
    <w:rsid w:val="06B90211"/>
    <w:rsid w:val="06DB7470"/>
    <w:rsid w:val="06EF58D3"/>
    <w:rsid w:val="07026F93"/>
    <w:rsid w:val="07116147"/>
    <w:rsid w:val="075E76FE"/>
    <w:rsid w:val="076246C8"/>
    <w:rsid w:val="079B0BC0"/>
    <w:rsid w:val="07B34DB3"/>
    <w:rsid w:val="080B27CB"/>
    <w:rsid w:val="0831735B"/>
    <w:rsid w:val="08532EEE"/>
    <w:rsid w:val="0855720F"/>
    <w:rsid w:val="085B4F44"/>
    <w:rsid w:val="085E346E"/>
    <w:rsid w:val="088D5F5C"/>
    <w:rsid w:val="08A26242"/>
    <w:rsid w:val="08C40D3C"/>
    <w:rsid w:val="08F40E2C"/>
    <w:rsid w:val="09265BDF"/>
    <w:rsid w:val="092D370C"/>
    <w:rsid w:val="0941245A"/>
    <w:rsid w:val="094C565A"/>
    <w:rsid w:val="0963402E"/>
    <w:rsid w:val="096D5AA7"/>
    <w:rsid w:val="09863BC5"/>
    <w:rsid w:val="0997077C"/>
    <w:rsid w:val="09BC7504"/>
    <w:rsid w:val="09BE6746"/>
    <w:rsid w:val="09D10B3C"/>
    <w:rsid w:val="09E37F2E"/>
    <w:rsid w:val="09ED3B15"/>
    <w:rsid w:val="09FD11BF"/>
    <w:rsid w:val="0A13499B"/>
    <w:rsid w:val="0A260FC3"/>
    <w:rsid w:val="0A2B6A3F"/>
    <w:rsid w:val="0A364A13"/>
    <w:rsid w:val="0A643AC5"/>
    <w:rsid w:val="0A71228A"/>
    <w:rsid w:val="0AAD00D1"/>
    <w:rsid w:val="0AB823C4"/>
    <w:rsid w:val="0ABD5211"/>
    <w:rsid w:val="0ACA4546"/>
    <w:rsid w:val="0B14682F"/>
    <w:rsid w:val="0B825441"/>
    <w:rsid w:val="0B965477"/>
    <w:rsid w:val="0BA525D8"/>
    <w:rsid w:val="0BD50CE3"/>
    <w:rsid w:val="0BF55B92"/>
    <w:rsid w:val="0C0F75F3"/>
    <w:rsid w:val="0C154F65"/>
    <w:rsid w:val="0C2F6006"/>
    <w:rsid w:val="0C3F2A20"/>
    <w:rsid w:val="0C426CB3"/>
    <w:rsid w:val="0C5056AF"/>
    <w:rsid w:val="0C5B37C6"/>
    <w:rsid w:val="0C602928"/>
    <w:rsid w:val="0C66223A"/>
    <w:rsid w:val="0C826A3D"/>
    <w:rsid w:val="0C8352C9"/>
    <w:rsid w:val="0C88726E"/>
    <w:rsid w:val="0CBA44D3"/>
    <w:rsid w:val="0CCB7B51"/>
    <w:rsid w:val="0CCD2E17"/>
    <w:rsid w:val="0CE530B3"/>
    <w:rsid w:val="0CE866DD"/>
    <w:rsid w:val="0D416E49"/>
    <w:rsid w:val="0D4856BF"/>
    <w:rsid w:val="0D5B2BA8"/>
    <w:rsid w:val="0D6C58AC"/>
    <w:rsid w:val="0D8F1B47"/>
    <w:rsid w:val="0DA0360B"/>
    <w:rsid w:val="0DA47700"/>
    <w:rsid w:val="0DB55C17"/>
    <w:rsid w:val="0DC134A7"/>
    <w:rsid w:val="0E127B50"/>
    <w:rsid w:val="0E1B1D00"/>
    <w:rsid w:val="0E4D03C4"/>
    <w:rsid w:val="0E512BF8"/>
    <w:rsid w:val="0E7528FB"/>
    <w:rsid w:val="0ECC5FF5"/>
    <w:rsid w:val="0ED96A78"/>
    <w:rsid w:val="0EE33675"/>
    <w:rsid w:val="0EF37672"/>
    <w:rsid w:val="0EF46240"/>
    <w:rsid w:val="0F064B16"/>
    <w:rsid w:val="0F1964F3"/>
    <w:rsid w:val="0F465E03"/>
    <w:rsid w:val="0F5002B6"/>
    <w:rsid w:val="0F5C1D51"/>
    <w:rsid w:val="0F620FFF"/>
    <w:rsid w:val="0F681E22"/>
    <w:rsid w:val="0F6C20F8"/>
    <w:rsid w:val="0F7E7165"/>
    <w:rsid w:val="0F8278CF"/>
    <w:rsid w:val="0F83000F"/>
    <w:rsid w:val="0F9262E5"/>
    <w:rsid w:val="0FBA321E"/>
    <w:rsid w:val="0FC4140C"/>
    <w:rsid w:val="0FDD1DD1"/>
    <w:rsid w:val="0FEE60A0"/>
    <w:rsid w:val="1000028B"/>
    <w:rsid w:val="100B2DA7"/>
    <w:rsid w:val="100B5B75"/>
    <w:rsid w:val="10390CED"/>
    <w:rsid w:val="104351DA"/>
    <w:rsid w:val="10493375"/>
    <w:rsid w:val="105E7FAB"/>
    <w:rsid w:val="106F2E02"/>
    <w:rsid w:val="10797991"/>
    <w:rsid w:val="108D7FEC"/>
    <w:rsid w:val="109F430C"/>
    <w:rsid w:val="10C34A85"/>
    <w:rsid w:val="10EB0A61"/>
    <w:rsid w:val="10F80F99"/>
    <w:rsid w:val="10F96CD3"/>
    <w:rsid w:val="10FC658E"/>
    <w:rsid w:val="10FD5AFA"/>
    <w:rsid w:val="110662B7"/>
    <w:rsid w:val="110D477C"/>
    <w:rsid w:val="111079BA"/>
    <w:rsid w:val="111125C9"/>
    <w:rsid w:val="11230728"/>
    <w:rsid w:val="114317C8"/>
    <w:rsid w:val="11490C34"/>
    <w:rsid w:val="11504EEC"/>
    <w:rsid w:val="117E3EBF"/>
    <w:rsid w:val="11921F79"/>
    <w:rsid w:val="11A63895"/>
    <w:rsid w:val="11AA0E33"/>
    <w:rsid w:val="11D465DE"/>
    <w:rsid w:val="11DB026D"/>
    <w:rsid w:val="11F35E10"/>
    <w:rsid w:val="11F96007"/>
    <w:rsid w:val="1212317F"/>
    <w:rsid w:val="1212391E"/>
    <w:rsid w:val="121E003E"/>
    <w:rsid w:val="123238F4"/>
    <w:rsid w:val="124E6914"/>
    <w:rsid w:val="125C4787"/>
    <w:rsid w:val="128276A4"/>
    <w:rsid w:val="12871737"/>
    <w:rsid w:val="12877D03"/>
    <w:rsid w:val="12952ABA"/>
    <w:rsid w:val="12AC3E4E"/>
    <w:rsid w:val="12B45137"/>
    <w:rsid w:val="12CC2069"/>
    <w:rsid w:val="12D66EAD"/>
    <w:rsid w:val="12D84CD4"/>
    <w:rsid w:val="12F36722"/>
    <w:rsid w:val="12F51579"/>
    <w:rsid w:val="12FD7CCA"/>
    <w:rsid w:val="13014406"/>
    <w:rsid w:val="13042B7A"/>
    <w:rsid w:val="13167841"/>
    <w:rsid w:val="131909C4"/>
    <w:rsid w:val="131F2662"/>
    <w:rsid w:val="1341598C"/>
    <w:rsid w:val="137139DD"/>
    <w:rsid w:val="139A27C2"/>
    <w:rsid w:val="13B47F15"/>
    <w:rsid w:val="13B81D98"/>
    <w:rsid w:val="13C139AF"/>
    <w:rsid w:val="13E01C4A"/>
    <w:rsid w:val="13FA70A9"/>
    <w:rsid w:val="13FA7204"/>
    <w:rsid w:val="14011AE1"/>
    <w:rsid w:val="14272C8E"/>
    <w:rsid w:val="14333776"/>
    <w:rsid w:val="143C26EF"/>
    <w:rsid w:val="144E16AB"/>
    <w:rsid w:val="144F6715"/>
    <w:rsid w:val="147A16BB"/>
    <w:rsid w:val="147F6A06"/>
    <w:rsid w:val="149C206F"/>
    <w:rsid w:val="14AA5797"/>
    <w:rsid w:val="14AF79A3"/>
    <w:rsid w:val="14E216F4"/>
    <w:rsid w:val="154D743D"/>
    <w:rsid w:val="15667555"/>
    <w:rsid w:val="158D492B"/>
    <w:rsid w:val="158F5182"/>
    <w:rsid w:val="15A97268"/>
    <w:rsid w:val="15B338B4"/>
    <w:rsid w:val="15C55ECA"/>
    <w:rsid w:val="15CF1DD7"/>
    <w:rsid w:val="15E224A7"/>
    <w:rsid w:val="160C07B5"/>
    <w:rsid w:val="16150220"/>
    <w:rsid w:val="161759DF"/>
    <w:rsid w:val="16397A1B"/>
    <w:rsid w:val="164342FA"/>
    <w:rsid w:val="165351E7"/>
    <w:rsid w:val="165770B0"/>
    <w:rsid w:val="169443E8"/>
    <w:rsid w:val="16A22BEB"/>
    <w:rsid w:val="16B22429"/>
    <w:rsid w:val="16CB645F"/>
    <w:rsid w:val="16E11B7C"/>
    <w:rsid w:val="171820A2"/>
    <w:rsid w:val="171877C6"/>
    <w:rsid w:val="17192846"/>
    <w:rsid w:val="171F46B6"/>
    <w:rsid w:val="17571001"/>
    <w:rsid w:val="17647109"/>
    <w:rsid w:val="17707BBF"/>
    <w:rsid w:val="177572AC"/>
    <w:rsid w:val="17776970"/>
    <w:rsid w:val="17784629"/>
    <w:rsid w:val="179E6119"/>
    <w:rsid w:val="17BA1FA3"/>
    <w:rsid w:val="17BF2C21"/>
    <w:rsid w:val="17CB05D4"/>
    <w:rsid w:val="17CF624F"/>
    <w:rsid w:val="180C48A1"/>
    <w:rsid w:val="181270D8"/>
    <w:rsid w:val="183A7AB3"/>
    <w:rsid w:val="18402742"/>
    <w:rsid w:val="185C4B83"/>
    <w:rsid w:val="18906B7C"/>
    <w:rsid w:val="18AB2591"/>
    <w:rsid w:val="18C80336"/>
    <w:rsid w:val="18D6754B"/>
    <w:rsid w:val="190C0B53"/>
    <w:rsid w:val="197D0387"/>
    <w:rsid w:val="19962C12"/>
    <w:rsid w:val="19A5293B"/>
    <w:rsid w:val="19AE3FA6"/>
    <w:rsid w:val="19E95BAD"/>
    <w:rsid w:val="1AC3684A"/>
    <w:rsid w:val="1ACA77FB"/>
    <w:rsid w:val="1ACC5BF8"/>
    <w:rsid w:val="1AD774CB"/>
    <w:rsid w:val="1AE92FD5"/>
    <w:rsid w:val="1B1E67F8"/>
    <w:rsid w:val="1B200CF6"/>
    <w:rsid w:val="1B205BE0"/>
    <w:rsid w:val="1B2A7529"/>
    <w:rsid w:val="1B390BDC"/>
    <w:rsid w:val="1B4A3DB3"/>
    <w:rsid w:val="1B4E55E8"/>
    <w:rsid w:val="1B6F1697"/>
    <w:rsid w:val="1B8B462E"/>
    <w:rsid w:val="1B8E7170"/>
    <w:rsid w:val="1BAC62BB"/>
    <w:rsid w:val="1BB23046"/>
    <w:rsid w:val="1BBD111D"/>
    <w:rsid w:val="1BC1420A"/>
    <w:rsid w:val="1BC53C57"/>
    <w:rsid w:val="1BE0443F"/>
    <w:rsid w:val="1C3E1334"/>
    <w:rsid w:val="1C471722"/>
    <w:rsid w:val="1C5C588F"/>
    <w:rsid w:val="1C6534DB"/>
    <w:rsid w:val="1C983F97"/>
    <w:rsid w:val="1CB1569A"/>
    <w:rsid w:val="1CB313F6"/>
    <w:rsid w:val="1CC33F7A"/>
    <w:rsid w:val="1CEF0D6A"/>
    <w:rsid w:val="1CFB6B14"/>
    <w:rsid w:val="1D3C45B0"/>
    <w:rsid w:val="1D4028B0"/>
    <w:rsid w:val="1D4551ED"/>
    <w:rsid w:val="1D4827CC"/>
    <w:rsid w:val="1D613CFF"/>
    <w:rsid w:val="1D9C485A"/>
    <w:rsid w:val="1DB20455"/>
    <w:rsid w:val="1DFB684E"/>
    <w:rsid w:val="1E00462C"/>
    <w:rsid w:val="1E0E6E15"/>
    <w:rsid w:val="1E1A6B83"/>
    <w:rsid w:val="1E1C5E73"/>
    <w:rsid w:val="1E3D5BFF"/>
    <w:rsid w:val="1E3F5B0A"/>
    <w:rsid w:val="1E402DD2"/>
    <w:rsid w:val="1E462655"/>
    <w:rsid w:val="1E5B585E"/>
    <w:rsid w:val="1E703E54"/>
    <w:rsid w:val="1E7D1A1B"/>
    <w:rsid w:val="1EA0459D"/>
    <w:rsid w:val="1EB21D4C"/>
    <w:rsid w:val="1EBC2882"/>
    <w:rsid w:val="1ECC5D06"/>
    <w:rsid w:val="1ED42809"/>
    <w:rsid w:val="1EE76452"/>
    <w:rsid w:val="1EEF0477"/>
    <w:rsid w:val="1EF26162"/>
    <w:rsid w:val="1F2B59CD"/>
    <w:rsid w:val="1F6457D9"/>
    <w:rsid w:val="1F64740B"/>
    <w:rsid w:val="1F6A2CF4"/>
    <w:rsid w:val="1F9F2549"/>
    <w:rsid w:val="1FCC5382"/>
    <w:rsid w:val="1FD86B10"/>
    <w:rsid w:val="1FDE67E8"/>
    <w:rsid w:val="1FF40671"/>
    <w:rsid w:val="1FFD6FC8"/>
    <w:rsid w:val="201221D2"/>
    <w:rsid w:val="202279CC"/>
    <w:rsid w:val="20441B19"/>
    <w:rsid w:val="20641228"/>
    <w:rsid w:val="20663493"/>
    <w:rsid w:val="2069018D"/>
    <w:rsid w:val="2078256A"/>
    <w:rsid w:val="20901AF7"/>
    <w:rsid w:val="20A0219D"/>
    <w:rsid w:val="20AB38D2"/>
    <w:rsid w:val="20B534E6"/>
    <w:rsid w:val="20B60991"/>
    <w:rsid w:val="20B87A68"/>
    <w:rsid w:val="20BA12A1"/>
    <w:rsid w:val="20BD2B74"/>
    <w:rsid w:val="20BF45FE"/>
    <w:rsid w:val="20C70459"/>
    <w:rsid w:val="2102069D"/>
    <w:rsid w:val="2103354B"/>
    <w:rsid w:val="2106288F"/>
    <w:rsid w:val="21082292"/>
    <w:rsid w:val="21777678"/>
    <w:rsid w:val="217E1F1D"/>
    <w:rsid w:val="218B7105"/>
    <w:rsid w:val="21C9221A"/>
    <w:rsid w:val="22160B82"/>
    <w:rsid w:val="223E3BB7"/>
    <w:rsid w:val="228952D6"/>
    <w:rsid w:val="2297314D"/>
    <w:rsid w:val="229F23A9"/>
    <w:rsid w:val="22A279E3"/>
    <w:rsid w:val="22A96774"/>
    <w:rsid w:val="22BA2B41"/>
    <w:rsid w:val="22D26F9A"/>
    <w:rsid w:val="233C7E85"/>
    <w:rsid w:val="23584F1F"/>
    <w:rsid w:val="23593D36"/>
    <w:rsid w:val="235A7C00"/>
    <w:rsid w:val="237B6C76"/>
    <w:rsid w:val="23A836A1"/>
    <w:rsid w:val="23AF69F1"/>
    <w:rsid w:val="23B12896"/>
    <w:rsid w:val="23CB0902"/>
    <w:rsid w:val="23E11A3F"/>
    <w:rsid w:val="23F316BB"/>
    <w:rsid w:val="246921D0"/>
    <w:rsid w:val="24763848"/>
    <w:rsid w:val="247C12B5"/>
    <w:rsid w:val="24827E18"/>
    <w:rsid w:val="248D6757"/>
    <w:rsid w:val="24963225"/>
    <w:rsid w:val="24C31569"/>
    <w:rsid w:val="24C9231F"/>
    <w:rsid w:val="24D52D8A"/>
    <w:rsid w:val="24E92832"/>
    <w:rsid w:val="252C671C"/>
    <w:rsid w:val="25377C12"/>
    <w:rsid w:val="255B1C55"/>
    <w:rsid w:val="25752CBA"/>
    <w:rsid w:val="258F0CA6"/>
    <w:rsid w:val="25902E9C"/>
    <w:rsid w:val="25955CB1"/>
    <w:rsid w:val="25A55D6F"/>
    <w:rsid w:val="25A64604"/>
    <w:rsid w:val="25B0273C"/>
    <w:rsid w:val="25D45C3E"/>
    <w:rsid w:val="25DD61F7"/>
    <w:rsid w:val="25E81861"/>
    <w:rsid w:val="25ED6F7D"/>
    <w:rsid w:val="26034EF6"/>
    <w:rsid w:val="260D449F"/>
    <w:rsid w:val="260E6047"/>
    <w:rsid w:val="263D5C2C"/>
    <w:rsid w:val="267D2406"/>
    <w:rsid w:val="2682292E"/>
    <w:rsid w:val="26AF716B"/>
    <w:rsid w:val="26B57F3A"/>
    <w:rsid w:val="27126E5B"/>
    <w:rsid w:val="273B5774"/>
    <w:rsid w:val="27437FDF"/>
    <w:rsid w:val="27535CB1"/>
    <w:rsid w:val="27557AE6"/>
    <w:rsid w:val="275B4E31"/>
    <w:rsid w:val="276E7580"/>
    <w:rsid w:val="279E1806"/>
    <w:rsid w:val="279F27E3"/>
    <w:rsid w:val="27C40F6B"/>
    <w:rsid w:val="27CC6F7E"/>
    <w:rsid w:val="28073099"/>
    <w:rsid w:val="281E11E4"/>
    <w:rsid w:val="28412BC8"/>
    <w:rsid w:val="286E14A5"/>
    <w:rsid w:val="288F154C"/>
    <w:rsid w:val="28907C53"/>
    <w:rsid w:val="28946A18"/>
    <w:rsid w:val="28AC70AC"/>
    <w:rsid w:val="28B92147"/>
    <w:rsid w:val="28D92C35"/>
    <w:rsid w:val="28E318D4"/>
    <w:rsid w:val="29107BBA"/>
    <w:rsid w:val="293624BD"/>
    <w:rsid w:val="294D49C5"/>
    <w:rsid w:val="296231D6"/>
    <w:rsid w:val="29B616C2"/>
    <w:rsid w:val="29BA0A21"/>
    <w:rsid w:val="29BB2399"/>
    <w:rsid w:val="2A19597B"/>
    <w:rsid w:val="2A23324E"/>
    <w:rsid w:val="2A25717C"/>
    <w:rsid w:val="2A6C2D68"/>
    <w:rsid w:val="2A6F0AFC"/>
    <w:rsid w:val="2A7439F6"/>
    <w:rsid w:val="2ABB2C6B"/>
    <w:rsid w:val="2AC868C1"/>
    <w:rsid w:val="2ACE0C31"/>
    <w:rsid w:val="2AFD4EC5"/>
    <w:rsid w:val="2AFF1738"/>
    <w:rsid w:val="2B046437"/>
    <w:rsid w:val="2B1B420B"/>
    <w:rsid w:val="2B376F2C"/>
    <w:rsid w:val="2B3F46DF"/>
    <w:rsid w:val="2B417276"/>
    <w:rsid w:val="2B443E2D"/>
    <w:rsid w:val="2B5A5895"/>
    <w:rsid w:val="2B5C7880"/>
    <w:rsid w:val="2B671DC4"/>
    <w:rsid w:val="2B954A46"/>
    <w:rsid w:val="2BA015E9"/>
    <w:rsid w:val="2BB701F3"/>
    <w:rsid w:val="2BDB7ECF"/>
    <w:rsid w:val="2BF40D56"/>
    <w:rsid w:val="2C037552"/>
    <w:rsid w:val="2C1C6DDD"/>
    <w:rsid w:val="2C2C2FB7"/>
    <w:rsid w:val="2C3A5CD1"/>
    <w:rsid w:val="2C525D52"/>
    <w:rsid w:val="2C765025"/>
    <w:rsid w:val="2C852F06"/>
    <w:rsid w:val="2C981CCD"/>
    <w:rsid w:val="2C9F53AF"/>
    <w:rsid w:val="2CBA641B"/>
    <w:rsid w:val="2CD24554"/>
    <w:rsid w:val="2CEE760A"/>
    <w:rsid w:val="2D040C32"/>
    <w:rsid w:val="2D0757A6"/>
    <w:rsid w:val="2D1E23ED"/>
    <w:rsid w:val="2D982E0B"/>
    <w:rsid w:val="2DA555C1"/>
    <w:rsid w:val="2DA75146"/>
    <w:rsid w:val="2DA945E8"/>
    <w:rsid w:val="2DB53B3B"/>
    <w:rsid w:val="2DC53669"/>
    <w:rsid w:val="2DCB5CD4"/>
    <w:rsid w:val="2DCC44FF"/>
    <w:rsid w:val="2DE4750E"/>
    <w:rsid w:val="2E072654"/>
    <w:rsid w:val="2E32541D"/>
    <w:rsid w:val="2E3D32FC"/>
    <w:rsid w:val="2E5E1319"/>
    <w:rsid w:val="2E6F38EF"/>
    <w:rsid w:val="2E7F6FF0"/>
    <w:rsid w:val="2EC24EAE"/>
    <w:rsid w:val="2F47109C"/>
    <w:rsid w:val="2F496882"/>
    <w:rsid w:val="2F4B2213"/>
    <w:rsid w:val="2F6F7CDA"/>
    <w:rsid w:val="2F757F47"/>
    <w:rsid w:val="2F8868AA"/>
    <w:rsid w:val="2F8B4DEA"/>
    <w:rsid w:val="2F9075F6"/>
    <w:rsid w:val="2F965A58"/>
    <w:rsid w:val="2F9A594D"/>
    <w:rsid w:val="2FC355B3"/>
    <w:rsid w:val="2FD00B65"/>
    <w:rsid w:val="2FDD5D93"/>
    <w:rsid w:val="2FF02E82"/>
    <w:rsid w:val="2FF3519E"/>
    <w:rsid w:val="2FF644CC"/>
    <w:rsid w:val="302410C4"/>
    <w:rsid w:val="30303517"/>
    <w:rsid w:val="305B6D90"/>
    <w:rsid w:val="307B4A76"/>
    <w:rsid w:val="30825FB8"/>
    <w:rsid w:val="30892FC4"/>
    <w:rsid w:val="308E13FA"/>
    <w:rsid w:val="30D81C2C"/>
    <w:rsid w:val="311E4999"/>
    <w:rsid w:val="312573D2"/>
    <w:rsid w:val="31300A9C"/>
    <w:rsid w:val="313279B0"/>
    <w:rsid w:val="313A39BB"/>
    <w:rsid w:val="313D0EEE"/>
    <w:rsid w:val="315E12CB"/>
    <w:rsid w:val="31785EB2"/>
    <w:rsid w:val="317F3D7D"/>
    <w:rsid w:val="318306E9"/>
    <w:rsid w:val="31960D20"/>
    <w:rsid w:val="31A435DE"/>
    <w:rsid w:val="31A51280"/>
    <w:rsid w:val="31A56F78"/>
    <w:rsid w:val="31CD0C24"/>
    <w:rsid w:val="31F0559B"/>
    <w:rsid w:val="31FF60CF"/>
    <w:rsid w:val="32177D1E"/>
    <w:rsid w:val="322963D4"/>
    <w:rsid w:val="32490EF5"/>
    <w:rsid w:val="324E528F"/>
    <w:rsid w:val="32642296"/>
    <w:rsid w:val="326B085A"/>
    <w:rsid w:val="32722E4F"/>
    <w:rsid w:val="32930048"/>
    <w:rsid w:val="32A01606"/>
    <w:rsid w:val="32C611F6"/>
    <w:rsid w:val="32C94A9C"/>
    <w:rsid w:val="32D040EC"/>
    <w:rsid w:val="32D93D68"/>
    <w:rsid w:val="32E120A3"/>
    <w:rsid w:val="33092D4F"/>
    <w:rsid w:val="332D454F"/>
    <w:rsid w:val="33426DD3"/>
    <w:rsid w:val="334E1463"/>
    <w:rsid w:val="335747E0"/>
    <w:rsid w:val="3377316F"/>
    <w:rsid w:val="337E3FFF"/>
    <w:rsid w:val="339165C1"/>
    <w:rsid w:val="33C85644"/>
    <w:rsid w:val="347F30F3"/>
    <w:rsid w:val="348E3F5F"/>
    <w:rsid w:val="34A07D70"/>
    <w:rsid w:val="34AE125F"/>
    <w:rsid w:val="34B375C1"/>
    <w:rsid w:val="34D84426"/>
    <w:rsid w:val="34D85063"/>
    <w:rsid w:val="35070B26"/>
    <w:rsid w:val="352548D7"/>
    <w:rsid w:val="352A70A8"/>
    <w:rsid w:val="356A7B41"/>
    <w:rsid w:val="359B5E22"/>
    <w:rsid w:val="359C1AAB"/>
    <w:rsid w:val="35A63D95"/>
    <w:rsid w:val="35AB3B2B"/>
    <w:rsid w:val="35B11597"/>
    <w:rsid w:val="35B27244"/>
    <w:rsid w:val="35F0553D"/>
    <w:rsid w:val="360B3E62"/>
    <w:rsid w:val="362C7931"/>
    <w:rsid w:val="364970DE"/>
    <w:rsid w:val="364E1FAC"/>
    <w:rsid w:val="36503AF9"/>
    <w:rsid w:val="366C02C0"/>
    <w:rsid w:val="367F29FE"/>
    <w:rsid w:val="36C24DA9"/>
    <w:rsid w:val="36C26B8E"/>
    <w:rsid w:val="36E41E01"/>
    <w:rsid w:val="36FA7861"/>
    <w:rsid w:val="3716362D"/>
    <w:rsid w:val="37185709"/>
    <w:rsid w:val="3744619F"/>
    <w:rsid w:val="374E03A8"/>
    <w:rsid w:val="375F48B5"/>
    <w:rsid w:val="37797AAB"/>
    <w:rsid w:val="37965565"/>
    <w:rsid w:val="38054E09"/>
    <w:rsid w:val="381A5C7D"/>
    <w:rsid w:val="38683E4F"/>
    <w:rsid w:val="38710E3F"/>
    <w:rsid w:val="388C2832"/>
    <w:rsid w:val="389649C5"/>
    <w:rsid w:val="38A9494D"/>
    <w:rsid w:val="38E36FD2"/>
    <w:rsid w:val="38E5537F"/>
    <w:rsid w:val="39287539"/>
    <w:rsid w:val="393A5DF5"/>
    <w:rsid w:val="39501B59"/>
    <w:rsid w:val="396B0FF8"/>
    <w:rsid w:val="3971655D"/>
    <w:rsid w:val="39811D72"/>
    <w:rsid w:val="39BA1ADC"/>
    <w:rsid w:val="39E3309C"/>
    <w:rsid w:val="39F40A57"/>
    <w:rsid w:val="3A073814"/>
    <w:rsid w:val="3A175371"/>
    <w:rsid w:val="3A3E5541"/>
    <w:rsid w:val="3A6063D2"/>
    <w:rsid w:val="3A6D2BE3"/>
    <w:rsid w:val="3A735F50"/>
    <w:rsid w:val="3A7A3DED"/>
    <w:rsid w:val="3A7A5D49"/>
    <w:rsid w:val="3A8D08BE"/>
    <w:rsid w:val="3A90392F"/>
    <w:rsid w:val="3AE16ECD"/>
    <w:rsid w:val="3AE356EC"/>
    <w:rsid w:val="3AE83416"/>
    <w:rsid w:val="3AE84F21"/>
    <w:rsid w:val="3B162402"/>
    <w:rsid w:val="3B191A9E"/>
    <w:rsid w:val="3B1E1277"/>
    <w:rsid w:val="3B241639"/>
    <w:rsid w:val="3B2958E9"/>
    <w:rsid w:val="3B340B10"/>
    <w:rsid w:val="3B4342F2"/>
    <w:rsid w:val="3B555F43"/>
    <w:rsid w:val="3B705907"/>
    <w:rsid w:val="3BAC54A0"/>
    <w:rsid w:val="3BB450D2"/>
    <w:rsid w:val="3BB51625"/>
    <w:rsid w:val="3BB83A55"/>
    <w:rsid w:val="3BC540CC"/>
    <w:rsid w:val="3C016259"/>
    <w:rsid w:val="3C05702B"/>
    <w:rsid w:val="3C202B3E"/>
    <w:rsid w:val="3C3C2705"/>
    <w:rsid w:val="3C6242D4"/>
    <w:rsid w:val="3C70334F"/>
    <w:rsid w:val="3C797D13"/>
    <w:rsid w:val="3C806348"/>
    <w:rsid w:val="3CA36428"/>
    <w:rsid w:val="3CD2615F"/>
    <w:rsid w:val="3D11205B"/>
    <w:rsid w:val="3D3D55B3"/>
    <w:rsid w:val="3D455BC3"/>
    <w:rsid w:val="3D50398D"/>
    <w:rsid w:val="3D5619DA"/>
    <w:rsid w:val="3D5B6EE5"/>
    <w:rsid w:val="3D5F7A32"/>
    <w:rsid w:val="3D604ED5"/>
    <w:rsid w:val="3D9E1154"/>
    <w:rsid w:val="3DAE196D"/>
    <w:rsid w:val="3DC31802"/>
    <w:rsid w:val="3DE25DB3"/>
    <w:rsid w:val="3DE6670E"/>
    <w:rsid w:val="3E1B54E8"/>
    <w:rsid w:val="3E461426"/>
    <w:rsid w:val="3E791FC0"/>
    <w:rsid w:val="3E7A463F"/>
    <w:rsid w:val="3E925B12"/>
    <w:rsid w:val="3EBD21C3"/>
    <w:rsid w:val="3EFB0FE0"/>
    <w:rsid w:val="3EFC6EFB"/>
    <w:rsid w:val="3F0128C7"/>
    <w:rsid w:val="3F0944D9"/>
    <w:rsid w:val="3F12480E"/>
    <w:rsid w:val="3F161304"/>
    <w:rsid w:val="3F32741C"/>
    <w:rsid w:val="3F473C6E"/>
    <w:rsid w:val="3F50722A"/>
    <w:rsid w:val="3F645D9C"/>
    <w:rsid w:val="3F8E1AF4"/>
    <w:rsid w:val="3FA35235"/>
    <w:rsid w:val="3FA54560"/>
    <w:rsid w:val="3FB10B8E"/>
    <w:rsid w:val="3FBA0088"/>
    <w:rsid w:val="3FC84840"/>
    <w:rsid w:val="3FCB2B69"/>
    <w:rsid w:val="3FFD4490"/>
    <w:rsid w:val="40195F6A"/>
    <w:rsid w:val="405A34BE"/>
    <w:rsid w:val="40650AB8"/>
    <w:rsid w:val="40667C3B"/>
    <w:rsid w:val="406D2075"/>
    <w:rsid w:val="40A73A11"/>
    <w:rsid w:val="40CF3F96"/>
    <w:rsid w:val="40D50F73"/>
    <w:rsid w:val="40E765BD"/>
    <w:rsid w:val="410D6E30"/>
    <w:rsid w:val="410E1A62"/>
    <w:rsid w:val="41412351"/>
    <w:rsid w:val="414E6719"/>
    <w:rsid w:val="416D4D8C"/>
    <w:rsid w:val="41721AAA"/>
    <w:rsid w:val="417A46D4"/>
    <w:rsid w:val="417D2DDF"/>
    <w:rsid w:val="41904DF6"/>
    <w:rsid w:val="419345E1"/>
    <w:rsid w:val="41940CDA"/>
    <w:rsid w:val="41AA2509"/>
    <w:rsid w:val="41B16EBC"/>
    <w:rsid w:val="41CD6963"/>
    <w:rsid w:val="41CE0C11"/>
    <w:rsid w:val="41CF0BCF"/>
    <w:rsid w:val="41D427C4"/>
    <w:rsid w:val="41DF0FE7"/>
    <w:rsid w:val="41E04248"/>
    <w:rsid w:val="41EE787B"/>
    <w:rsid w:val="42042CCA"/>
    <w:rsid w:val="42305354"/>
    <w:rsid w:val="425F1D3A"/>
    <w:rsid w:val="42652597"/>
    <w:rsid w:val="42812A86"/>
    <w:rsid w:val="42B56350"/>
    <w:rsid w:val="42C8193E"/>
    <w:rsid w:val="43104C13"/>
    <w:rsid w:val="432C5504"/>
    <w:rsid w:val="43365770"/>
    <w:rsid w:val="43482809"/>
    <w:rsid w:val="436931B6"/>
    <w:rsid w:val="43727FC7"/>
    <w:rsid w:val="43794BD1"/>
    <w:rsid w:val="439006C3"/>
    <w:rsid w:val="43934B60"/>
    <w:rsid w:val="43D9081E"/>
    <w:rsid w:val="444631B4"/>
    <w:rsid w:val="44A6128D"/>
    <w:rsid w:val="44C409AF"/>
    <w:rsid w:val="44CB6471"/>
    <w:rsid w:val="44D70159"/>
    <w:rsid w:val="4504471C"/>
    <w:rsid w:val="4522409C"/>
    <w:rsid w:val="45263750"/>
    <w:rsid w:val="45320C34"/>
    <w:rsid w:val="45611AFF"/>
    <w:rsid w:val="4567448A"/>
    <w:rsid w:val="45791C6C"/>
    <w:rsid w:val="45861F55"/>
    <w:rsid w:val="45974ABD"/>
    <w:rsid w:val="45B40908"/>
    <w:rsid w:val="45BB1ED5"/>
    <w:rsid w:val="45D05F89"/>
    <w:rsid w:val="45E73D60"/>
    <w:rsid w:val="460008CE"/>
    <w:rsid w:val="46107943"/>
    <w:rsid w:val="46212412"/>
    <w:rsid w:val="462430DE"/>
    <w:rsid w:val="463B5654"/>
    <w:rsid w:val="464A5796"/>
    <w:rsid w:val="4691121C"/>
    <w:rsid w:val="46A301C2"/>
    <w:rsid w:val="46A54CB5"/>
    <w:rsid w:val="46A83331"/>
    <w:rsid w:val="46B215A3"/>
    <w:rsid w:val="46C36755"/>
    <w:rsid w:val="46D027AA"/>
    <w:rsid w:val="47092F16"/>
    <w:rsid w:val="47281819"/>
    <w:rsid w:val="472E26FF"/>
    <w:rsid w:val="472E4D20"/>
    <w:rsid w:val="47396823"/>
    <w:rsid w:val="476D5EBB"/>
    <w:rsid w:val="47711558"/>
    <w:rsid w:val="47723768"/>
    <w:rsid w:val="47D9353C"/>
    <w:rsid w:val="47E54F55"/>
    <w:rsid w:val="47FA3E97"/>
    <w:rsid w:val="47FE50D5"/>
    <w:rsid w:val="48292A70"/>
    <w:rsid w:val="483337FA"/>
    <w:rsid w:val="486522DC"/>
    <w:rsid w:val="48961FF5"/>
    <w:rsid w:val="48A25DD0"/>
    <w:rsid w:val="48DD2962"/>
    <w:rsid w:val="48EF5006"/>
    <w:rsid w:val="48F40B71"/>
    <w:rsid w:val="48FA4FA3"/>
    <w:rsid w:val="49490BB1"/>
    <w:rsid w:val="494B36B3"/>
    <w:rsid w:val="49526FBE"/>
    <w:rsid w:val="49692915"/>
    <w:rsid w:val="499769D5"/>
    <w:rsid w:val="49B714DF"/>
    <w:rsid w:val="4A3847B0"/>
    <w:rsid w:val="4A3F772C"/>
    <w:rsid w:val="4A492B02"/>
    <w:rsid w:val="4A584C12"/>
    <w:rsid w:val="4A6603DD"/>
    <w:rsid w:val="4A672F38"/>
    <w:rsid w:val="4A6E7668"/>
    <w:rsid w:val="4ABC719B"/>
    <w:rsid w:val="4ADA6BD7"/>
    <w:rsid w:val="4B040E73"/>
    <w:rsid w:val="4B054806"/>
    <w:rsid w:val="4B323DAD"/>
    <w:rsid w:val="4B6C0448"/>
    <w:rsid w:val="4B911AF6"/>
    <w:rsid w:val="4B976062"/>
    <w:rsid w:val="4B992729"/>
    <w:rsid w:val="4BAF65D7"/>
    <w:rsid w:val="4BB66672"/>
    <w:rsid w:val="4BE272D0"/>
    <w:rsid w:val="4BF14E5C"/>
    <w:rsid w:val="4BF6455A"/>
    <w:rsid w:val="4C02785C"/>
    <w:rsid w:val="4C095337"/>
    <w:rsid w:val="4C2C72E7"/>
    <w:rsid w:val="4C2E71BD"/>
    <w:rsid w:val="4C4907AE"/>
    <w:rsid w:val="4C520EB9"/>
    <w:rsid w:val="4C584291"/>
    <w:rsid w:val="4C6A36A5"/>
    <w:rsid w:val="4C8D1898"/>
    <w:rsid w:val="4C932BFF"/>
    <w:rsid w:val="4CB2203E"/>
    <w:rsid w:val="4D0259CF"/>
    <w:rsid w:val="4D221A5E"/>
    <w:rsid w:val="4D2A1276"/>
    <w:rsid w:val="4D2F1ADF"/>
    <w:rsid w:val="4D321EAD"/>
    <w:rsid w:val="4D397E04"/>
    <w:rsid w:val="4D5B3007"/>
    <w:rsid w:val="4D6604E2"/>
    <w:rsid w:val="4D7733E2"/>
    <w:rsid w:val="4D83282D"/>
    <w:rsid w:val="4D850510"/>
    <w:rsid w:val="4D9F1165"/>
    <w:rsid w:val="4DB91463"/>
    <w:rsid w:val="4DD143A7"/>
    <w:rsid w:val="4DD26CD8"/>
    <w:rsid w:val="4DE16570"/>
    <w:rsid w:val="4E355C6E"/>
    <w:rsid w:val="4E36503C"/>
    <w:rsid w:val="4E4451A1"/>
    <w:rsid w:val="4E663FE6"/>
    <w:rsid w:val="4E687842"/>
    <w:rsid w:val="4E7D306C"/>
    <w:rsid w:val="4EA50643"/>
    <w:rsid w:val="4EBC4081"/>
    <w:rsid w:val="4ED02D42"/>
    <w:rsid w:val="4EE36998"/>
    <w:rsid w:val="4F145E26"/>
    <w:rsid w:val="4F254540"/>
    <w:rsid w:val="4F377CE8"/>
    <w:rsid w:val="4F406873"/>
    <w:rsid w:val="4F42117D"/>
    <w:rsid w:val="4F48599F"/>
    <w:rsid w:val="4F4F2BC1"/>
    <w:rsid w:val="4F575FFD"/>
    <w:rsid w:val="4F604C84"/>
    <w:rsid w:val="4F7A0880"/>
    <w:rsid w:val="4F96706C"/>
    <w:rsid w:val="4FA060F5"/>
    <w:rsid w:val="4FC915F8"/>
    <w:rsid w:val="4FCA50B5"/>
    <w:rsid w:val="50421741"/>
    <w:rsid w:val="504E4277"/>
    <w:rsid w:val="505C13FD"/>
    <w:rsid w:val="506F3038"/>
    <w:rsid w:val="50952DF2"/>
    <w:rsid w:val="50A750C3"/>
    <w:rsid w:val="50C908E9"/>
    <w:rsid w:val="50EA74A0"/>
    <w:rsid w:val="50F07683"/>
    <w:rsid w:val="512B3E20"/>
    <w:rsid w:val="51316332"/>
    <w:rsid w:val="51414250"/>
    <w:rsid w:val="51541D2D"/>
    <w:rsid w:val="516C70A1"/>
    <w:rsid w:val="52372CD0"/>
    <w:rsid w:val="523875ED"/>
    <w:rsid w:val="526721A5"/>
    <w:rsid w:val="526826F8"/>
    <w:rsid w:val="527D3516"/>
    <w:rsid w:val="528A34BC"/>
    <w:rsid w:val="528F0D67"/>
    <w:rsid w:val="5302247A"/>
    <w:rsid w:val="53315390"/>
    <w:rsid w:val="53366E21"/>
    <w:rsid w:val="533A5121"/>
    <w:rsid w:val="53425BB0"/>
    <w:rsid w:val="534B0C47"/>
    <w:rsid w:val="5360776D"/>
    <w:rsid w:val="537261AA"/>
    <w:rsid w:val="53AC26FE"/>
    <w:rsid w:val="53C51FFB"/>
    <w:rsid w:val="53C83734"/>
    <w:rsid w:val="53E411F3"/>
    <w:rsid w:val="53E7466C"/>
    <w:rsid w:val="53EB147D"/>
    <w:rsid w:val="543E0B05"/>
    <w:rsid w:val="5443196F"/>
    <w:rsid w:val="544D59FD"/>
    <w:rsid w:val="54594A10"/>
    <w:rsid w:val="546A6B00"/>
    <w:rsid w:val="549A0A39"/>
    <w:rsid w:val="54B10B69"/>
    <w:rsid w:val="54D357A1"/>
    <w:rsid w:val="54FE79E1"/>
    <w:rsid w:val="550479F9"/>
    <w:rsid w:val="550E105F"/>
    <w:rsid w:val="554054D5"/>
    <w:rsid w:val="5565242B"/>
    <w:rsid w:val="556E2475"/>
    <w:rsid w:val="55855B4E"/>
    <w:rsid w:val="558B0EF2"/>
    <w:rsid w:val="55EC256C"/>
    <w:rsid w:val="560E155D"/>
    <w:rsid w:val="56195DC5"/>
    <w:rsid w:val="56205935"/>
    <w:rsid w:val="564E356C"/>
    <w:rsid w:val="565E6700"/>
    <w:rsid w:val="5671771B"/>
    <w:rsid w:val="569F5204"/>
    <w:rsid w:val="56A40F80"/>
    <w:rsid w:val="56E03794"/>
    <w:rsid w:val="56E30A23"/>
    <w:rsid w:val="56F805D3"/>
    <w:rsid w:val="56F9482C"/>
    <w:rsid w:val="57070532"/>
    <w:rsid w:val="572F2122"/>
    <w:rsid w:val="5732282D"/>
    <w:rsid w:val="57513E3C"/>
    <w:rsid w:val="575D4AC0"/>
    <w:rsid w:val="575E71D1"/>
    <w:rsid w:val="57656AAF"/>
    <w:rsid w:val="57780285"/>
    <w:rsid w:val="57895841"/>
    <w:rsid w:val="57A260D5"/>
    <w:rsid w:val="57CB7122"/>
    <w:rsid w:val="580206F4"/>
    <w:rsid w:val="580F49BF"/>
    <w:rsid w:val="581F69C6"/>
    <w:rsid w:val="58307EA8"/>
    <w:rsid w:val="588D384C"/>
    <w:rsid w:val="58A215E9"/>
    <w:rsid w:val="58BB51AE"/>
    <w:rsid w:val="58C67724"/>
    <w:rsid w:val="58F74373"/>
    <w:rsid w:val="58F7740C"/>
    <w:rsid w:val="592334EC"/>
    <w:rsid w:val="592B2BC8"/>
    <w:rsid w:val="592E6EE9"/>
    <w:rsid w:val="5932697F"/>
    <w:rsid w:val="5945570A"/>
    <w:rsid w:val="59597A48"/>
    <w:rsid w:val="59730477"/>
    <w:rsid w:val="597332DD"/>
    <w:rsid w:val="597746E4"/>
    <w:rsid w:val="59843CBF"/>
    <w:rsid w:val="598A1022"/>
    <w:rsid w:val="59B44E5D"/>
    <w:rsid w:val="59B93578"/>
    <w:rsid w:val="59C60319"/>
    <w:rsid w:val="59F8762A"/>
    <w:rsid w:val="5A0A7C1A"/>
    <w:rsid w:val="5A4A27BF"/>
    <w:rsid w:val="5A4A7AA9"/>
    <w:rsid w:val="5A636A25"/>
    <w:rsid w:val="5A795462"/>
    <w:rsid w:val="5B163ADB"/>
    <w:rsid w:val="5B314B9C"/>
    <w:rsid w:val="5B4F5494"/>
    <w:rsid w:val="5B5267B9"/>
    <w:rsid w:val="5B526C67"/>
    <w:rsid w:val="5B5F034D"/>
    <w:rsid w:val="5B64318C"/>
    <w:rsid w:val="5B7A2A80"/>
    <w:rsid w:val="5B8E28B5"/>
    <w:rsid w:val="5B9E5C51"/>
    <w:rsid w:val="5BC05588"/>
    <w:rsid w:val="5BC87D8F"/>
    <w:rsid w:val="5BD14D0B"/>
    <w:rsid w:val="5BD42E24"/>
    <w:rsid w:val="5BDA3EB3"/>
    <w:rsid w:val="5BE21F66"/>
    <w:rsid w:val="5BEE325F"/>
    <w:rsid w:val="5BFB37A6"/>
    <w:rsid w:val="5BFE2803"/>
    <w:rsid w:val="5C240C7B"/>
    <w:rsid w:val="5C4A7F5D"/>
    <w:rsid w:val="5C507F9F"/>
    <w:rsid w:val="5C61636A"/>
    <w:rsid w:val="5C6A1E76"/>
    <w:rsid w:val="5C8D51F6"/>
    <w:rsid w:val="5CA223D5"/>
    <w:rsid w:val="5CA52AF5"/>
    <w:rsid w:val="5CB963A2"/>
    <w:rsid w:val="5CC41C0D"/>
    <w:rsid w:val="5CCE1A7B"/>
    <w:rsid w:val="5CE42D12"/>
    <w:rsid w:val="5CE83A42"/>
    <w:rsid w:val="5D2006AE"/>
    <w:rsid w:val="5D5D7AEC"/>
    <w:rsid w:val="5DB07B64"/>
    <w:rsid w:val="5DD474B1"/>
    <w:rsid w:val="5DDA23D8"/>
    <w:rsid w:val="5DDE2965"/>
    <w:rsid w:val="5DE55D4F"/>
    <w:rsid w:val="5DF24F34"/>
    <w:rsid w:val="5E045075"/>
    <w:rsid w:val="5E0B635A"/>
    <w:rsid w:val="5E1F1A63"/>
    <w:rsid w:val="5E294CEB"/>
    <w:rsid w:val="5E3812D0"/>
    <w:rsid w:val="5E477535"/>
    <w:rsid w:val="5E5F1F31"/>
    <w:rsid w:val="5EA11D24"/>
    <w:rsid w:val="5ECD43D9"/>
    <w:rsid w:val="5ED02091"/>
    <w:rsid w:val="5ED02A30"/>
    <w:rsid w:val="5ED3684C"/>
    <w:rsid w:val="5EF54261"/>
    <w:rsid w:val="5EF66F80"/>
    <w:rsid w:val="5EFD3DCB"/>
    <w:rsid w:val="5F0F1A3F"/>
    <w:rsid w:val="5F323D85"/>
    <w:rsid w:val="5F5919A6"/>
    <w:rsid w:val="5F6207F7"/>
    <w:rsid w:val="5F82440E"/>
    <w:rsid w:val="5F895057"/>
    <w:rsid w:val="5F940A3E"/>
    <w:rsid w:val="5FA128A0"/>
    <w:rsid w:val="5FB7286E"/>
    <w:rsid w:val="5FDD7BFA"/>
    <w:rsid w:val="5FE408D5"/>
    <w:rsid w:val="60210B27"/>
    <w:rsid w:val="60295911"/>
    <w:rsid w:val="603330BF"/>
    <w:rsid w:val="603C0211"/>
    <w:rsid w:val="603F7A1D"/>
    <w:rsid w:val="605C661D"/>
    <w:rsid w:val="60787B72"/>
    <w:rsid w:val="607F7711"/>
    <w:rsid w:val="60864E22"/>
    <w:rsid w:val="608E702D"/>
    <w:rsid w:val="60943405"/>
    <w:rsid w:val="60992FAF"/>
    <w:rsid w:val="610B3038"/>
    <w:rsid w:val="611C7626"/>
    <w:rsid w:val="612278A4"/>
    <w:rsid w:val="6157463B"/>
    <w:rsid w:val="617E4947"/>
    <w:rsid w:val="618C3680"/>
    <w:rsid w:val="619157A0"/>
    <w:rsid w:val="61AD7FAC"/>
    <w:rsid w:val="61B9082C"/>
    <w:rsid w:val="61BD5381"/>
    <w:rsid w:val="61E27025"/>
    <w:rsid w:val="620039AE"/>
    <w:rsid w:val="62012E19"/>
    <w:rsid w:val="620C4DF8"/>
    <w:rsid w:val="62503838"/>
    <w:rsid w:val="62552691"/>
    <w:rsid w:val="625C4D4C"/>
    <w:rsid w:val="62B02542"/>
    <w:rsid w:val="62FE72D8"/>
    <w:rsid w:val="632259C4"/>
    <w:rsid w:val="63263D0D"/>
    <w:rsid w:val="634D2D5C"/>
    <w:rsid w:val="63632B45"/>
    <w:rsid w:val="6373260F"/>
    <w:rsid w:val="637E15A2"/>
    <w:rsid w:val="63856413"/>
    <w:rsid w:val="63AD54D7"/>
    <w:rsid w:val="63D201A3"/>
    <w:rsid w:val="63DF6D3D"/>
    <w:rsid w:val="64003D27"/>
    <w:rsid w:val="644763D7"/>
    <w:rsid w:val="64505A3F"/>
    <w:rsid w:val="64620094"/>
    <w:rsid w:val="646E04C5"/>
    <w:rsid w:val="649548FB"/>
    <w:rsid w:val="64AD388C"/>
    <w:rsid w:val="64B60830"/>
    <w:rsid w:val="64D81CF5"/>
    <w:rsid w:val="64DA3ED3"/>
    <w:rsid w:val="65420BAE"/>
    <w:rsid w:val="65520C3E"/>
    <w:rsid w:val="656552D6"/>
    <w:rsid w:val="65737B53"/>
    <w:rsid w:val="65863C10"/>
    <w:rsid w:val="65877B29"/>
    <w:rsid w:val="65A45561"/>
    <w:rsid w:val="65C07C3F"/>
    <w:rsid w:val="661D3B20"/>
    <w:rsid w:val="66324275"/>
    <w:rsid w:val="66582833"/>
    <w:rsid w:val="667557A4"/>
    <w:rsid w:val="669F5C50"/>
    <w:rsid w:val="66A6585F"/>
    <w:rsid w:val="66A85277"/>
    <w:rsid w:val="66BC778B"/>
    <w:rsid w:val="66C66E69"/>
    <w:rsid w:val="66CA1E7D"/>
    <w:rsid w:val="66E9246C"/>
    <w:rsid w:val="66F25D4B"/>
    <w:rsid w:val="6734411F"/>
    <w:rsid w:val="673D3AD3"/>
    <w:rsid w:val="67510611"/>
    <w:rsid w:val="676977E4"/>
    <w:rsid w:val="676E3F85"/>
    <w:rsid w:val="67AA791C"/>
    <w:rsid w:val="67AA7C95"/>
    <w:rsid w:val="67C93FA3"/>
    <w:rsid w:val="67CF6E4F"/>
    <w:rsid w:val="67E1517D"/>
    <w:rsid w:val="67F81635"/>
    <w:rsid w:val="67FB762E"/>
    <w:rsid w:val="681253D0"/>
    <w:rsid w:val="681C4218"/>
    <w:rsid w:val="68464F3B"/>
    <w:rsid w:val="684A64D9"/>
    <w:rsid w:val="685A6D95"/>
    <w:rsid w:val="688447B9"/>
    <w:rsid w:val="689B44E8"/>
    <w:rsid w:val="68A32F09"/>
    <w:rsid w:val="68B94F59"/>
    <w:rsid w:val="68C0194D"/>
    <w:rsid w:val="68C65D6E"/>
    <w:rsid w:val="68DA5ADD"/>
    <w:rsid w:val="68DC1A4F"/>
    <w:rsid w:val="68F2680E"/>
    <w:rsid w:val="69107A14"/>
    <w:rsid w:val="6924250F"/>
    <w:rsid w:val="69271690"/>
    <w:rsid w:val="693D2B3A"/>
    <w:rsid w:val="694C0E55"/>
    <w:rsid w:val="694D4579"/>
    <w:rsid w:val="6959691A"/>
    <w:rsid w:val="696033A5"/>
    <w:rsid w:val="696533DD"/>
    <w:rsid w:val="696973C3"/>
    <w:rsid w:val="696F027E"/>
    <w:rsid w:val="698D1881"/>
    <w:rsid w:val="698E4AF7"/>
    <w:rsid w:val="69A16F46"/>
    <w:rsid w:val="69BF662F"/>
    <w:rsid w:val="69C55233"/>
    <w:rsid w:val="69E664E0"/>
    <w:rsid w:val="69EB0D20"/>
    <w:rsid w:val="6A2631AD"/>
    <w:rsid w:val="6A345C57"/>
    <w:rsid w:val="6A3D5A07"/>
    <w:rsid w:val="6A4524D4"/>
    <w:rsid w:val="6A5664AA"/>
    <w:rsid w:val="6A5E4423"/>
    <w:rsid w:val="6A624D6D"/>
    <w:rsid w:val="6A812C4C"/>
    <w:rsid w:val="6A88297D"/>
    <w:rsid w:val="6A8C667E"/>
    <w:rsid w:val="6A932B4B"/>
    <w:rsid w:val="6AE866A8"/>
    <w:rsid w:val="6AF619D0"/>
    <w:rsid w:val="6B0146A4"/>
    <w:rsid w:val="6B051D29"/>
    <w:rsid w:val="6B087F5F"/>
    <w:rsid w:val="6B1507BD"/>
    <w:rsid w:val="6B554A65"/>
    <w:rsid w:val="6B676306"/>
    <w:rsid w:val="6B6D718E"/>
    <w:rsid w:val="6B711B7A"/>
    <w:rsid w:val="6BC3490B"/>
    <w:rsid w:val="6BC8556D"/>
    <w:rsid w:val="6BD43669"/>
    <w:rsid w:val="6BDB1264"/>
    <w:rsid w:val="6BE8725E"/>
    <w:rsid w:val="6C0A6B2D"/>
    <w:rsid w:val="6C152647"/>
    <w:rsid w:val="6C156D2D"/>
    <w:rsid w:val="6C187585"/>
    <w:rsid w:val="6C255D33"/>
    <w:rsid w:val="6C2F6077"/>
    <w:rsid w:val="6C3345BF"/>
    <w:rsid w:val="6C5C4038"/>
    <w:rsid w:val="6C600422"/>
    <w:rsid w:val="6C6608D6"/>
    <w:rsid w:val="6C7D5484"/>
    <w:rsid w:val="6C9852E5"/>
    <w:rsid w:val="6C992705"/>
    <w:rsid w:val="6CD858AC"/>
    <w:rsid w:val="6CFA7D7F"/>
    <w:rsid w:val="6D033B4E"/>
    <w:rsid w:val="6D24320F"/>
    <w:rsid w:val="6D263127"/>
    <w:rsid w:val="6D66521C"/>
    <w:rsid w:val="6D6F33E7"/>
    <w:rsid w:val="6D81076C"/>
    <w:rsid w:val="6D8D7A35"/>
    <w:rsid w:val="6DBD1347"/>
    <w:rsid w:val="6DDC30FA"/>
    <w:rsid w:val="6E2A7591"/>
    <w:rsid w:val="6E4F523E"/>
    <w:rsid w:val="6E5729A2"/>
    <w:rsid w:val="6E583A1F"/>
    <w:rsid w:val="6E72160B"/>
    <w:rsid w:val="6EAA495D"/>
    <w:rsid w:val="6EAB742B"/>
    <w:rsid w:val="6EAE1C55"/>
    <w:rsid w:val="6EB0558D"/>
    <w:rsid w:val="6EC6113E"/>
    <w:rsid w:val="6EC97476"/>
    <w:rsid w:val="6EEF3CC7"/>
    <w:rsid w:val="6EF75A7B"/>
    <w:rsid w:val="6EFF1080"/>
    <w:rsid w:val="6F071192"/>
    <w:rsid w:val="6F170E2C"/>
    <w:rsid w:val="6F1C670B"/>
    <w:rsid w:val="6F213326"/>
    <w:rsid w:val="6F3A22A7"/>
    <w:rsid w:val="6F45287E"/>
    <w:rsid w:val="6F68200A"/>
    <w:rsid w:val="6F953992"/>
    <w:rsid w:val="6FB770BE"/>
    <w:rsid w:val="6FD26A80"/>
    <w:rsid w:val="6FFA1CBF"/>
    <w:rsid w:val="70531535"/>
    <w:rsid w:val="70BF0D6E"/>
    <w:rsid w:val="70D01CCF"/>
    <w:rsid w:val="70E01DD1"/>
    <w:rsid w:val="71146B51"/>
    <w:rsid w:val="71147230"/>
    <w:rsid w:val="71161C74"/>
    <w:rsid w:val="7153477B"/>
    <w:rsid w:val="71597165"/>
    <w:rsid w:val="717256AD"/>
    <w:rsid w:val="718544F1"/>
    <w:rsid w:val="718C0F7B"/>
    <w:rsid w:val="71976406"/>
    <w:rsid w:val="71DE2066"/>
    <w:rsid w:val="71E95523"/>
    <w:rsid w:val="720A152D"/>
    <w:rsid w:val="721F1D01"/>
    <w:rsid w:val="7222649A"/>
    <w:rsid w:val="726409EE"/>
    <w:rsid w:val="72CE4CE4"/>
    <w:rsid w:val="72D11304"/>
    <w:rsid w:val="72F92464"/>
    <w:rsid w:val="730C4186"/>
    <w:rsid w:val="7341102A"/>
    <w:rsid w:val="736B0572"/>
    <w:rsid w:val="73734D9E"/>
    <w:rsid w:val="737974C3"/>
    <w:rsid w:val="73A17E6A"/>
    <w:rsid w:val="73E16D57"/>
    <w:rsid w:val="73EE0AE6"/>
    <w:rsid w:val="74534105"/>
    <w:rsid w:val="7453624B"/>
    <w:rsid w:val="746049BA"/>
    <w:rsid w:val="7482242B"/>
    <w:rsid w:val="74874E5A"/>
    <w:rsid w:val="74A22741"/>
    <w:rsid w:val="74A227F4"/>
    <w:rsid w:val="74A2568B"/>
    <w:rsid w:val="74BA5E3A"/>
    <w:rsid w:val="74C47F76"/>
    <w:rsid w:val="74FD32BB"/>
    <w:rsid w:val="75025E46"/>
    <w:rsid w:val="751F3D69"/>
    <w:rsid w:val="752E48D6"/>
    <w:rsid w:val="753D4FBB"/>
    <w:rsid w:val="754E3DD7"/>
    <w:rsid w:val="7573132B"/>
    <w:rsid w:val="757934F0"/>
    <w:rsid w:val="75C80FD3"/>
    <w:rsid w:val="75DC3A8B"/>
    <w:rsid w:val="76021882"/>
    <w:rsid w:val="76160679"/>
    <w:rsid w:val="761715C6"/>
    <w:rsid w:val="762F1835"/>
    <w:rsid w:val="76583EF9"/>
    <w:rsid w:val="766574D1"/>
    <w:rsid w:val="76693353"/>
    <w:rsid w:val="767C3DB4"/>
    <w:rsid w:val="768F2CE9"/>
    <w:rsid w:val="76B96F57"/>
    <w:rsid w:val="76BF126E"/>
    <w:rsid w:val="76C9631E"/>
    <w:rsid w:val="76DE1045"/>
    <w:rsid w:val="771463D1"/>
    <w:rsid w:val="77226FBC"/>
    <w:rsid w:val="774A39DA"/>
    <w:rsid w:val="776C147A"/>
    <w:rsid w:val="77777CEB"/>
    <w:rsid w:val="779B02BA"/>
    <w:rsid w:val="77A16B66"/>
    <w:rsid w:val="77AB56EC"/>
    <w:rsid w:val="77BC0B3C"/>
    <w:rsid w:val="77C52482"/>
    <w:rsid w:val="77CA4292"/>
    <w:rsid w:val="77D25F22"/>
    <w:rsid w:val="77D64484"/>
    <w:rsid w:val="77E922B4"/>
    <w:rsid w:val="77F12C89"/>
    <w:rsid w:val="77FB2A8F"/>
    <w:rsid w:val="78081990"/>
    <w:rsid w:val="781A58E7"/>
    <w:rsid w:val="7833145C"/>
    <w:rsid w:val="786161F5"/>
    <w:rsid w:val="786258A4"/>
    <w:rsid w:val="787A60AB"/>
    <w:rsid w:val="78BD0EB2"/>
    <w:rsid w:val="78CA537E"/>
    <w:rsid w:val="78CE1FD7"/>
    <w:rsid w:val="78D0463B"/>
    <w:rsid w:val="7906595E"/>
    <w:rsid w:val="7917686A"/>
    <w:rsid w:val="794B7201"/>
    <w:rsid w:val="795B0ABE"/>
    <w:rsid w:val="798B1783"/>
    <w:rsid w:val="798F62ED"/>
    <w:rsid w:val="79B2108A"/>
    <w:rsid w:val="7A3A3F77"/>
    <w:rsid w:val="7A417E6A"/>
    <w:rsid w:val="7A92024C"/>
    <w:rsid w:val="7A97623F"/>
    <w:rsid w:val="7A98347A"/>
    <w:rsid w:val="7AA222D1"/>
    <w:rsid w:val="7ABF5753"/>
    <w:rsid w:val="7AC67774"/>
    <w:rsid w:val="7AD50438"/>
    <w:rsid w:val="7AF225DA"/>
    <w:rsid w:val="7B0B5BD1"/>
    <w:rsid w:val="7B930658"/>
    <w:rsid w:val="7BA53398"/>
    <w:rsid w:val="7BAC4ADD"/>
    <w:rsid w:val="7BC71689"/>
    <w:rsid w:val="7BE20360"/>
    <w:rsid w:val="7C127501"/>
    <w:rsid w:val="7C1A1A2B"/>
    <w:rsid w:val="7C2A544E"/>
    <w:rsid w:val="7C435CA9"/>
    <w:rsid w:val="7C667220"/>
    <w:rsid w:val="7C78688F"/>
    <w:rsid w:val="7C867510"/>
    <w:rsid w:val="7CF01DBB"/>
    <w:rsid w:val="7CF510C4"/>
    <w:rsid w:val="7D21376C"/>
    <w:rsid w:val="7D622331"/>
    <w:rsid w:val="7D7F2579"/>
    <w:rsid w:val="7D8B198E"/>
    <w:rsid w:val="7D90531A"/>
    <w:rsid w:val="7D934831"/>
    <w:rsid w:val="7D9F28AA"/>
    <w:rsid w:val="7DB920D6"/>
    <w:rsid w:val="7DBF1379"/>
    <w:rsid w:val="7DC50A26"/>
    <w:rsid w:val="7DD75B87"/>
    <w:rsid w:val="7DE95F13"/>
    <w:rsid w:val="7DFC7E2B"/>
    <w:rsid w:val="7E0806E5"/>
    <w:rsid w:val="7E122B46"/>
    <w:rsid w:val="7E262275"/>
    <w:rsid w:val="7E2676D0"/>
    <w:rsid w:val="7E4F73AA"/>
    <w:rsid w:val="7E654A6D"/>
    <w:rsid w:val="7E74200D"/>
    <w:rsid w:val="7E77351E"/>
    <w:rsid w:val="7E7B6F9A"/>
    <w:rsid w:val="7EA22277"/>
    <w:rsid w:val="7EB6414A"/>
    <w:rsid w:val="7EC36727"/>
    <w:rsid w:val="7EC63541"/>
    <w:rsid w:val="7EC77625"/>
    <w:rsid w:val="7EED4B13"/>
    <w:rsid w:val="7EF142DE"/>
    <w:rsid w:val="7F8B1A78"/>
    <w:rsid w:val="7FA418D8"/>
    <w:rsid w:val="7FA92784"/>
    <w:rsid w:val="7FDD570F"/>
    <w:rsid w:val="7FF20B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kern w:val="2"/>
      <w:sz w:val="21"/>
      <w:szCs w:val="24"/>
      <w:lang w:val="en-US" w:eastAsia="zh-CN" w:bidi="ar-SA"/>
    </w:rPr>
  </w:style>
  <w:style w:type="paragraph" w:styleId="2">
    <w:name w:val="heading 1"/>
    <w:basedOn w:val="1"/>
    <w:next w:val="1"/>
    <w:link w:val="30"/>
    <w:qFormat/>
    <w:uiPriority w:val="0"/>
    <w:pPr>
      <w:keepNext/>
      <w:keepLines/>
      <w:spacing w:before="120" w:after="120"/>
      <w:jc w:val="center"/>
      <w:outlineLvl w:val="0"/>
    </w:pPr>
    <w:rPr>
      <w:b/>
      <w:kern w:val="44"/>
      <w:sz w:val="44"/>
    </w:rPr>
  </w:style>
  <w:style w:type="paragraph" w:styleId="3">
    <w:name w:val="heading 2"/>
    <w:basedOn w:val="1"/>
    <w:next w:val="1"/>
    <w:qFormat/>
    <w:uiPriority w:val="0"/>
    <w:pPr>
      <w:keepNext/>
      <w:keepLines/>
      <w:spacing w:before="140" w:after="140" w:line="413" w:lineRule="auto"/>
      <w:jc w:val="center"/>
      <w:outlineLvl w:val="1"/>
    </w:pPr>
    <w:rPr>
      <w:rFonts w:ascii="Arial" w:hAnsi="Arial"/>
      <w:b/>
      <w:sz w:val="28"/>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9">
    <w:name w:val="Default Paragraph Font"/>
    <w:unhideWhenUsed/>
    <w:uiPriority w:val="1"/>
  </w:style>
  <w:style w:type="table" w:default="1" w:styleId="17">
    <w:name w:val="Normal Table"/>
    <w:unhideWhenUsed/>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17"/>
      <w:tblCellMar>
        <w:top w:w="0" w:type="dxa"/>
        <w:left w:w="108" w:type="dxa"/>
        <w:bottom w:w="0" w:type="dxa"/>
        <w:right w:w="108" w:type="dxa"/>
      </w:tblCellMar>
    </w:tblPr>
  </w:style>
  <w:style w:type="paragraph" w:styleId="5">
    <w:name w:val="Document Map"/>
    <w:basedOn w:val="1"/>
    <w:link w:val="31"/>
    <w:qFormat/>
    <w:uiPriority w:val="0"/>
    <w:rPr>
      <w:rFonts w:ascii="宋体" w:eastAsia="宋体"/>
      <w:sz w:val="18"/>
      <w:szCs w:val="18"/>
    </w:rPr>
  </w:style>
  <w:style w:type="paragraph" w:styleId="6">
    <w:name w:val="annotation text"/>
    <w:basedOn w:val="1"/>
    <w:link w:val="33"/>
    <w:unhideWhenUsed/>
    <w:qFormat/>
    <w:uiPriority w:val="99"/>
    <w:pPr>
      <w:jc w:val="left"/>
    </w:pPr>
  </w:style>
  <w:style w:type="paragraph" w:styleId="7">
    <w:name w:val="Body Text"/>
    <w:basedOn w:val="1"/>
    <w:qFormat/>
    <w:uiPriority w:val="0"/>
    <w:pPr>
      <w:spacing w:beforeAutospacing="0" w:after="120" w:afterAutospacing="0"/>
    </w:pPr>
    <w:rPr>
      <w:rFonts w:ascii="Times New Roman" w:hAnsi="Times New Roman" w:cs="Times New Roman"/>
      <w:kern w:val="2"/>
      <w:sz w:val="21"/>
    </w:rPr>
  </w:style>
  <w:style w:type="paragraph" w:styleId="8">
    <w:name w:val="Body Text Indent"/>
    <w:basedOn w:val="1"/>
    <w:unhideWhenUsed/>
    <w:qFormat/>
    <w:uiPriority w:val="0"/>
    <w:pPr>
      <w:spacing w:line="360" w:lineRule="auto"/>
      <w:ind w:firstLine="480" w:firstLineChars="200"/>
    </w:pPr>
    <w:rPr>
      <w:rFonts w:ascii="宋体"/>
      <w:sz w:val="24"/>
      <w:szCs w:val="20"/>
    </w:rPr>
  </w:style>
  <w:style w:type="paragraph" w:styleId="9">
    <w:name w:val="Plain Text"/>
    <w:basedOn w:val="1"/>
    <w:qFormat/>
    <w:uiPriority w:val="99"/>
    <w:rPr>
      <w:rFonts w:ascii="宋体" w:hAnsi="Courier New" w:cs="Courier New"/>
      <w:szCs w:val="21"/>
    </w:rPr>
  </w:style>
  <w:style w:type="paragraph" w:styleId="10">
    <w:name w:val="Balloon Text"/>
    <w:basedOn w:val="1"/>
    <w:link w:val="34"/>
    <w:qFormat/>
    <w:uiPriority w:val="0"/>
    <w:rPr>
      <w:sz w:val="18"/>
      <w:szCs w:val="18"/>
    </w:rPr>
  </w:style>
  <w:style w:type="paragraph" w:styleId="11">
    <w:name w:val="footer"/>
    <w:basedOn w:val="1"/>
    <w:link w:val="32"/>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5">
    <w:name w:val="annotation subject"/>
    <w:basedOn w:val="6"/>
    <w:next w:val="6"/>
    <w:link w:val="28"/>
    <w:qFormat/>
    <w:uiPriority w:val="0"/>
    <w:rPr>
      <w:b/>
      <w:bCs/>
    </w:rPr>
  </w:style>
  <w:style w:type="paragraph" w:styleId="16">
    <w:name w:val="Body Text First Indent 2"/>
    <w:basedOn w:val="8"/>
    <w:qFormat/>
    <w:uiPriority w:val="0"/>
    <w:pPr>
      <w:spacing w:after="120" w:line="240" w:lineRule="auto"/>
      <w:ind w:left="420" w:leftChars="200" w:firstLine="420" w:firstLineChars="200"/>
    </w:pPr>
  </w:style>
  <w:style w:type="table" w:styleId="18">
    <w:name w:val="Table Grid"/>
    <w:basedOn w:val="17"/>
    <w:qFormat/>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FollowedHyperlink"/>
    <w:basedOn w:val="19"/>
    <w:uiPriority w:val="0"/>
    <w:rPr>
      <w:color w:val="337AB7"/>
      <w:u w:val="none"/>
    </w:rPr>
  </w:style>
  <w:style w:type="character" w:styleId="22">
    <w:name w:val="HTML Definition"/>
    <w:basedOn w:val="19"/>
    <w:uiPriority w:val="0"/>
    <w:rPr>
      <w:i/>
    </w:rPr>
  </w:style>
  <w:style w:type="character" w:styleId="23">
    <w:name w:val="Hyperlink"/>
    <w:basedOn w:val="19"/>
    <w:qFormat/>
    <w:uiPriority w:val="0"/>
    <w:rPr>
      <w:color w:val="337AB7"/>
      <w:sz w:val="27"/>
      <w:szCs w:val="27"/>
      <w:u w:val="none"/>
    </w:rPr>
  </w:style>
  <w:style w:type="character" w:styleId="24">
    <w:name w:val="HTML Code"/>
    <w:basedOn w:val="19"/>
    <w:uiPriority w:val="0"/>
    <w:rPr>
      <w:rFonts w:hint="default" w:ascii="Consolas" w:hAnsi="Consolas" w:eastAsia="Consolas" w:cs="Consolas"/>
      <w:color w:val="C7254E"/>
      <w:sz w:val="21"/>
      <w:szCs w:val="21"/>
      <w:shd w:val="clear" w:color="auto" w:fill="F9F2F4"/>
    </w:rPr>
  </w:style>
  <w:style w:type="character" w:styleId="25">
    <w:name w:val="annotation reference"/>
    <w:unhideWhenUsed/>
    <w:qFormat/>
    <w:uiPriority w:val="99"/>
    <w:rPr>
      <w:sz w:val="21"/>
      <w:szCs w:val="21"/>
    </w:rPr>
  </w:style>
  <w:style w:type="character" w:styleId="26">
    <w:name w:val="HTML Keyboard"/>
    <w:basedOn w:val="19"/>
    <w:uiPriority w:val="0"/>
    <w:rPr>
      <w:rFonts w:hint="default" w:ascii="Consolas" w:hAnsi="Consolas" w:eastAsia="Consolas" w:cs="Consolas"/>
      <w:color w:val="FFFFFF"/>
      <w:sz w:val="21"/>
      <w:szCs w:val="21"/>
      <w:shd w:val="clear" w:color="auto" w:fill="333333"/>
    </w:rPr>
  </w:style>
  <w:style w:type="character" w:styleId="27">
    <w:name w:val="HTML Sample"/>
    <w:basedOn w:val="19"/>
    <w:uiPriority w:val="0"/>
    <w:rPr>
      <w:rFonts w:ascii="Consolas" w:hAnsi="Consolas" w:eastAsia="Consolas" w:cs="Consolas"/>
      <w:sz w:val="21"/>
      <w:szCs w:val="21"/>
    </w:rPr>
  </w:style>
  <w:style w:type="character" w:customStyle="1" w:styleId="28">
    <w:name w:val="批注主题 字符"/>
    <w:link w:val="15"/>
    <w:qFormat/>
    <w:uiPriority w:val="0"/>
    <w:rPr>
      <w:rFonts w:ascii="Calibri" w:hAnsi="Calibri" w:eastAsia="仿宋" w:cs="Times New Roman"/>
      <w:b/>
      <w:bCs/>
      <w:kern w:val="2"/>
      <w:sz w:val="21"/>
      <w:szCs w:val="24"/>
    </w:rPr>
  </w:style>
  <w:style w:type="character" w:customStyle="1" w:styleId="29">
    <w:name w:val="checked"/>
    <w:basedOn w:val="19"/>
    <w:uiPriority w:val="0"/>
    <w:rPr>
      <w:color w:val="5390CD"/>
    </w:rPr>
  </w:style>
  <w:style w:type="character" w:customStyle="1" w:styleId="30">
    <w:name w:val="标题 1 字符"/>
    <w:link w:val="2"/>
    <w:qFormat/>
    <w:uiPriority w:val="0"/>
    <w:rPr>
      <w:rFonts w:ascii="Calibri" w:hAnsi="Calibri" w:eastAsia="仿宋" w:cs="Times New Roman"/>
      <w:b/>
      <w:kern w:val="44"/>
      <w:sz w:val="44"/>
      <w:szCs w:val="24"/>
    </w:rPr>
  </w:style>
  <w:style w:type="character" w:customStyle="1" w:styleId="31">
    <w:name w:val="文档结构图 字符"/>
    <w:link w:val="5"/>
    <w:qFormat/>
    <w:uiPriority w:val="0"/>
    <w:rPr>
      <w:rFonts w:ascii="宋体" w:hAnsi="Calibri" w:cs="Times New Roman"/>
      <w:kern w:val="2"/>
      <w:sz w:val="18"/>
      <w:szCs w:val="18"/>
    </w:rPr>
  </w:style>
  <w:style w:type="character" w:customStyle="1" w:styleId="32">
    <w:name w:val="页脚 字符"/>
    <w:link w:val="11"/>
    <w:uiPriority w:val="99"/>
    <w:rPr>
      <w:rFonts w:eastAsia="仿宋"/>
      <w:kern w:val="2"/>
      <w:sz w:val="18"/>
      <w:szCs w:val="24"/>
    </w:rPr>
  </w:style>
  <w:style w:type="character" w:customStyle="1" w:styleId="33">
    <w:name w:val="批注文字 字符"/>
    <w:link w:val="6"/>
    <w:qFormat/>
    <w:uiPriority w:val="99"/>
    <w:rPr>
      <w:rFonts w:ascii="Calibri" w:hAnsi="Calibri" w:eastAsia="仿宋" w:cs="Times New Roman"/>
      <w:kern w:val="2"/>
      <w:sz w:val="21"/>
      <w:szCs w:val="24"/>
    </w:rPr>
  </w:style>
  <w:style w:type="character" w:customStyle="1" w:styleId="34">
    <w:name w:val="批注框文本 字符"/>
    <w:link w:val="10"/>
    <w:qFormat/>
    <w:uiPriority w:val="0"/>
    <w:rPr>
      <w:rFonts w:ascii="Calibri" w:hAnsi="Calibri" w:eastAsia="仿宋" w:cs="Times New Roman"/>
      <w:kern w:val="2"/>
      <w:sz w:val="18"/>
      <w:szCs w:val="18"/>
    </w:rPr>
  </w:style>
  <w:style w:type="paragraph" w:customStyle="1" w:styleId="35">
    <w:name w:val="样式N"/>
    <w:basedOn w:val="36"/>
    <w:qFormat/>
    <w:uiPriority w:val="0"/>
    <w:rPr>
      <w:sz w:val="30"/>
    </w:rPr>
  </w:style>
  <w:style w:type="paragraph" w:customStyle="1" w:styleId="36">
    <w:name w:val="样式H"/>
    <w:basedOn w:val="2"/>
    <w:next w:val="1"/>
    <w:qFormat/>
    <w:uiPriority w:val="0"/>
    <w:pPr>
      <w:spacing w:before="100" w:line="500" w:lineRule="exact"/>
    </w:pPr>
  </w:style>
  <w:style w:type="paragraph" w:customStyle="1" w:styleId="37">
    <w:name w:val="WPSOffice手动目录 1"/>
    <w:qFormat/>
    <w:uiPriority w:val="0"/>
    <w:rPr>
      <w:rFonts w:ascii="Times New Roman" w:hAnsi="Times New Roman"/>
      <w:lang w:val="en-US" w:eastAsia="zh-CN" w:bidi="ar-SA"/>
    </w:rPr>
  </w:style>
  <w:style w:type="paragraph" w:customStyle="1" w:styleId="38">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39">
    <w:name w:val="Normal_3_2"/>
    <w:qFormat/>
    <w:uiPriority w:val="0"/>
    <w:rPr>
      <w:rFonts w:ascii="Times New Roman" w:hAnsi="Times New Roman" w:eastAsia="Times New Roman" w:cs="Times New Roman"/>
      <w:sz w:val="24"/>
      <w:szCs w:val="24"/>
      <w:lang w:bidi="ar-SA"/>
    </w:rPr>
  </w:style>
  <w:style w:type="paragraph" w:customStyle="1" w:styleId="40">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41">
    <w:name w:val="WPSOffice手动目录 2"/>
    <w:qFormat/>
    <w:uiPriority w:val="0"/>
    <w:pPr>
      <w:ind w:left="200" w:leftChars="200"/>
    </w:pPr>
    <w:rPr>
      <w:lang w:val="en-US" w:eastAsia="zh-CN" w:bidi="ar-SA"/>
    </w:rPr>
  </w:style>
  <w:style w:type="paragraph" w:customStyle="1" w:styleId="42">
    <w:name w:val="列出段落11"/>
    <w:basedOn w:val="1"/>
    <w:qFormat/>
    <w:uiPriority w:val="34"/>
    <w:pPr>
      <w:ind w:firstLine="420" w:firstLineChars="200"/>
    </w:pPr>
    <w:rPr>
      <w:rFonts w:ascii="Calibri" w:hAnsi="Calibri" w:eastAsia="宋体" w:cs="Times New Roman"/>
      <w:szCs w:val="22"/>
      <w:lang w:val="zh-CN"/>
    </w:rPr>
  </w:style>
  <w:style w:type="paragraph" w:customStyle="1" w:styleId="4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WPSOffice手动目录 3"/>
    <w:qFormat/>
    <w:uiPriority w:val="0"/>
    <w:pPr>
      <w:ind w:left="400" w:leftChars="400"/>
    </w:pPr>
    <w:rPr>
      <w:lang w:val="en-US" w:eastAsia="zh-CN" w:bidi="ar-SA"/>
    </w:rPr>
  </w:style>
  <w:style w:type="paragraph" w:styleId="4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83</Pages>
  <Words>38860</Words>
  <Characters>40936</Characters>
  <Lines>1310</Lines>
  <Paragraphs>1370</Paragraphs>
  <TotalTime>10</TotalTime>
  <ScaleCrop>false</ScaleCrop>
  <LinksUpToDate>false</LinksUpToDate>
  <CharactersWithSpaces>43489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2019-11-26T12:18:00Z</dcterms:created>
  <dc:creator>meimei</dc:creator>
  <cp:lastModifiedBy>Administrator</cp:lastModifiedBy>
  <cp:lastPrinted>2022-01-10T02:36:19Z</cp:lastPrinted>
  <dcterms:modified xsi:type="dcterms:W3CDTF">2022-12-06T06:53:12Z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0FE48FD2B3C64294A2F0228F13925090</vt:lpwstr>
  </property>
</Properties>
</file>