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260" w:firstLineChars="50"/>
        <w:jc w:val="center"/>
        <w:rPr>
          <w:rFonts w:hint="eastAsia" w:ascii="仿宋" w:hAnsi="仿宋" w:eastAsia="仿宋" w:cs="仿宋"/>
          <w:b/>
          <w:color w:val="auto"/>
          <w:sz w:val="52"/>
          <w:szCs w:val="52"/>
          <w:highlight w:val="none"/>
        </w:rPr>
      </w:pPr>
    </w:p>
    <w:p>
      <w:pPr>
        <w:spacing w:line="360" w:lineRule="auto"/>
        <w:ind w:firstLine="260" w:firstLineChars="50"/>
        <w:jc w:val="center"/>
        <w:rPr>
          <w:rFonts w:hint="eastAsia" w:ascii="仿宋" w:hAnsi="仿宋" w:eastAsia="仿宋" w:cs="仿宋"/>
          <w:b/>
          <w:color w:val="auto"/>
          <w:sz w:val="52"/>
          <w:szCs w:val="52"/>
          <w:highlight w:val="none"/>
        </w:rPr>
      </w:pPr>
    </w:p>
    <w:p>
      <w:pPr>
        <w:spacing w:line="360" w:lineRule="auto"/>
        <w:ind w:firstLine="260" w:firstLineChars="50"/>
        <w:jc w:val="center"/>
        <w:rPr>
          <w:rFonts w:hint="eastAsia" w:ascii="仿宋" w:hAnsi="仿宋" w:eastAsia="仿宋" w:cs="仿宋"/>
          <w:b/>
          <w:color w:val="auto"/>
          <w:sz w:val="52"/>
          <w:szCs w:val="52"/>
          <w:highlight w:val="none"/>
        </w:rPr>
      </w:pPr>
    </w:p>
    <w:p>
      <w:pPr>
        <w:spacing w:line="360" w:lineRule="auto"/>
        <w:ind w:firstLine="260" w:firstLineChars="50"/>
        <w:jc w:val="center"/>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辽宁省政府采购项目</w:t>
      </w:r>
    </w:p>
    <w:p>
      <w:pPr>
        <w:spacing w:line="360" w:lineRule="auto"/>
        <w:ind w:firstLine="120" w:firstLineChars="50"/>
        <w:jc w:val="center"/>
        <w:rPr>
          <w:rFonts w:hint="eastAsia" w:ascii="仿宋" w:hAnsi="仿宋" w:eastAsia="仿宋" w:cs="仿宋"/>
          <w:b/>
          <w:color w:val="auto"/>
          <w:sz w:val="24"/>
          <w:highlight w:val="none"/>
        </w:rPr>
      </w:pPr>
    </w:p>
    <w:p>
      <w:pPr>
        <w:spacing w:line="360" w:lineRule="auto"/>
        <w:ind w:firstLine="240" w:firstLineChars="50"/>
        <w:jc w:val="center"/>
        <w:rPr>
          <w:rFonts w:hint="eastAsia" w:ascii="仿宋" w:hAnsi="仿宋" w:eastAsia="仿宋" w:cs="仿宋"/>
          <w:b/>
          <w:color w:val="auto"/>
          <w:sz w:val="48"/>
          <w:szCs w:val="48"/>
          <w:highlight w:val="none"/>
        </w:rPr>
      </w:pPr>
      <w:r>
        <w:rPr>
          <w:rFonts w:hint="eastAsia" w:ascii="仿宋" w:hAnsi="仿宋" w:eastAsia="仿宋" w:cs="仿宋"/>
          <w:b/>
          <w:color w:val="auto"/>
          <w:sz w:val="48"/>
          <w:szCs w:val="48"/>
          <w:highlight w:val="none"/>
        </w:rPr>
        <w:t>竞争性磋商采购文件</w:t>
      </w:r>
    </w:p>
    <w:p>
      <w:pPr>
        <w:spacing w:line="480" w:lineRule="exact"/>
        <w:jc w:val="center"/>
        <w:rPr>
          <w:rFonts w:hint="eastAsia" w:ascii="仿宋" w:hAnsi="仿宋" w:eastAsia="仿宋" w:cs="仿宋"/>
          <w:b/>
          <w:color w:val="auto"/>
          <w:sz w:val="24"/>
          <w:highlight w:val="none"/>
        </w:rPr>
      </w:pPr>
    </w:p>
    <w:p>
      <w:pPr>
        <w:spacing w:line="480" w:lineRule="exact"/>
        <w:jc w:val="center"/>
        <w:rPr>
          <w:rFonts w:hint="eastAsia" w:ascii="仿宋" w:hAnsi="仿宋" w:eastAsia="仿宋" w:cs="仿宋"/>
          <w:b/>
          <w:color w:val="auto"/>
          <w:sz w:val="24"/>
          <w:highlight w:val="none"/>
        </w:rPr>
      </w:pPr>
    </w:p>
    <w:p>
      <w:pPr>
        <w:spacing w:line="480" w:lineRule="exact"/>
        <w:jc w:val="center"/>
        <w:rPr>
          <w:rFonts w:hint="eastAsia" w:ascii="仿宋" w:hAnsi="仿宋" w:eastAsia="仿宋" w:cs="仿宋"/>
          <w:b/>
          <w:color w:val="auto"/>
          <w:sz w:val="24"/>
          <w:highlight w:val="none"/>
        </w:rPr>
      </w:pPr>
    </w:p>
    <w:p>
      <w:pPr>
        <w:spacing w:line="480" w:lineRule="exact"/>
        <w:jc w:val="center"/>
        <w:rPr>
          <w:rFonts w:hint="eastAsia" w:ascii="仿宋" w:hAnsi="仿宋" w:eastAsia="仿宋" w:cs="仿宋"/>
          <w:b/>
          <w:color w:val="auto"/>
          <w:sz w:val="24"/>
          <w:highlight w:val="none"/>
        </w:rPr>
      </w:pPr>
    </w:p>
    <w:p>
      <w:pPr>
        <w:spacing w:line="480" w:lineRule="exact"/>
        <w:jc w:val="center"/>
        <w:rPr>
          <w:rFonts w:hint="eastAsia" w:ascii="仿宋" w:hAnsi="仿宋" w:eastAsia="仿宋" w:cs="仿宋"/>
          <w:b/>
          <w:color w:val="auto"/>
          <w:sz w:val="24"/>
          <w:highlight w:val="none"/>
        </w:rPr>
      </w:pPr>
    </w:p>
    <w:p>
      <w:pPr>
        <w:spacing w:line="480" w:lineRule="exact"/>
        <w:jc w:val="center"/>
        <w:rPr>
          <w:rFonts w:hint="eastAsia" w:ascii="仿宋" w:hAnsi="仿宋" w:eastAsia="仿宋" w:cs="仿宋"/>
          <w:b/>
          <w:color w:val="auto"/>
          <w:sz w:val="24"/>
          <w:highlight w:val="none"/>
        </w:rPr>
      </w:pPr>
    </w:p>
    <w:p>
      <w:pPr>
        <w:spacing w:line="480" w:lineRule="exact"/>
        <w:jc w:val="center"/>
        <w:rPr>
          <w:rFonts w:hint="eastAsia" w:ascii="仿宋" w:hAnsi="仿宋" w:eastAsia="仿宋" w:cs="仿宋"/>
          <w:b/>
          <w:color w:val="auto"/>
          <w:sz w:val="24"/>
          <w:highlight w:val="none"/>
        </w:rPr>
      </w:pPr>
    </w:p>
    <w:p>
      <w:pPr>
        <w:spacing w:line="480" w:lineRule="exact"/>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pacing w:val="0"/>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color w:val="auto"/>
          <w:spacing w:val="0"/>
          <w:sz w:val="32"/>
          <w:szCs w:val="32"/>
          <w:highlight w:val="none"/>
          <w:lang w:eastAsia="zh-CN"/>
        </w:rPr>
      </w:pPr>
      <w:r>
        <w:rPr>
          <w:rFonts w:hint="eastAsia" w:ascii="仿宋" w:hAnsi="仿宋" w:eastAsia="仿宋" w:cs="仿宋"/>
          <w:b/>
          <w:color w:val="auto"/>
          <w:spacing w:val="0"/>
          <w:sz w:val="32"/>
          <w:szCs w:val="32"/>
          <w:highlight w:val="none"/>
        </w:rPr>
        <w:t>项目名称：</w:t>
      </w:r>
      <w:r>
        <w:rPr>
          <w:rFonts w:hint="eastAsia" w:ascii="仿宋" w:hAnsi="仿宋" w:eastAsia="仿宋" w:cs="仿宋"/>
          <w:b/>
          <w:color w:val="auto"/>
          <w:spacing w:val="0"/>
          <w:sz w:val="32"/>
          <w:szCs w:val="32"/>
          <w:highlight w:val="none"/>
          <w:lang w:eastAsia="zh-CN"/>
        </w:rPr>
        <w:t>白庙子棚改区域基础设施改造工程</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bCs/>
          <w:color w:val="auto"/>
          <w:spacing w:val="0"/>
          <w:kern w:val="0"/>
          <w:sz w:val="32"/>
          <w:szCs w:val="32"/>
          <w:highlight w:val="none"/>
          <w:lang w:eastAsia="zh-CN"/>
        </w:rPr>
      </w:pPr>
      <w:r>
        <w:rPr>
          <w:rFonts w:hint="eastAsia" w:ascii="仿宋" w:hAnsi="仿宋" w:eastAsia="仿宋" w:cs="仿宋"/>
          <w:b/>
          <w:color w:val="auto"/>
          <w:spacing w:val="0"/>
          <w:sz w:val="32"/>
          <w:szCs w:val="32"/>
          <w:highlight w:val="none"/>
        </w:rPr>
        <w:t>项目编号</w:t>
      </w:r>
      <w:r>
        <w:rPr>
          <w:rFonts w:hint="eastAsia" w:ascii="仿宋" w:hAnsi="仿宋" w:eastAsia="仿宋" w:cs="仿宋"/>
          <w:b/>
          <w:color w:val="auto"/>
          <w:spacing w:val="0"/>
          <w:sz w:val="32"/>
          <w:szCs w:val="32"/>
          <w:highlight w:val="none"/>
          <w:lang w:eastAsia="zh-CN"/>
        </w:rPr>
        <w:t>：</w:t>
      </w:r>
      <w:r>
        <w:rPr>
          <w:rFonts w:hint="eastAsia" w:ascii="仿宋" w:hAnsi="仿宋" w:eastAsia="仿宋" w:cs="仿宋"/>
          <w:b/>
          <w:bCs/>
          <w:color w:val="auto"/>
          <w:spacing w:val="0"/>
          <w:kern w:val="0"/>
          <w:sz w:val="32"/>
          <w:szCs w:val="32"/>
          <w:highlight w:val="none"/>
          <w:lang w:eastAsia="zh-CN"/>
        </w:rPr>
        <w:t>JH25-210811-00273</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color w:val="auto"/>
          <w:sz w:val="32"/>
          <w:szCs w:val="32"/>
          <w:highlight w:val="none"/>
          <w:lang w:val="en-US" w:eastAsia="zh-CN"/>
        </w:rPr>
      </w:pPr>
      <w:r>
        <w:rPr>
          <w:rFonts w:hint="eastAsia" w:ascii="仿宋" w:hAnsi="仿宋" w:eastAsia="仿宋" w:cs="仿宋"/>
          <w:b/>
          <w:bCs/>
          <w:color w:val="auto"/>
          <w:kern w:val="0"/>
          <w:sz w:val="32"/>
          <w:szCs w:val="32"/>
          <w:highlight w:val="none"/>
        </w:rPr>
        <w:t>采购人：</w:t>
      </w:r>
      <w:r>
        <w:rPr>
          <w:rFonts w:hint="eastAsia" w:ascii="仿宋" w:hAnsi="仿宋" w:eastAsia="仿宋" w:cs="仿宋"/>
          <w:b/>
          <w:bCs/>
          <w:color w:val="auto"/>
          <w:kern w:val="0"/>
          <w:sz w:val="32"/>
          <w:szCs w:val="32"/>
          <w:highlight w:val="none"/>
          <w:lang w:eastAsia="zh-CN"/>
        </w:rPr>
        <w:t>营口市老边区住房和城乡建设局</w:t>
      </w:r>
      <w:r>
        <w:rPr>
          <w:rFonts w:hint="eastAsia" w:ascii="仿宋" w:hAnsi="仿宋" w:eastAsia="仿宋" w:cs="仿宋"/>
          <w:b/>
          <w:bCs/>
          <w:color w:val="auto"/>
          <w:kern w:val="0"/>
          <w:sz w:val="32"/>
          <w:szCs w:val="32"/>
          <w:highlight w:val="none"/>
          <w:lang w:eastAsia="zh-CN"/>
        </w:rPr>
        <w:tab/>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2"/>
          <w:szCs w:val="32"/>
          <w:highlight w:val="none"/>
        </w:rPr>
        <w:t>编制单位：</w:t>
      </w:r>
      <w:r>
        <w:rPr>
          <w:rFonts w:hint="eastAsia" w:ascii="仿宋" w:hAnsi="仿宋" w:eastAsia="仿宋" w:cs="仿宋"/>
          <w:b/>
          <w:color w:val="auto"/>
          <w:sz w:val="32"/>
          <w:szCs w:val="32"/>
          <w:highlight w:val="none"/>
          <w:lang w:eastAsia="zh-CN"/>
        </w:rPr>
        <w:t>辽宁省昌蕴建设项目咨询有限公司</w:t>
      </w:r>
    </w:p>
    <w:p>
      <w:pPr>
        <w:keepNext w:val="0"/>
        <w:keepLines w:val="0"/>
        <w:pageBreakBefore w:val="0"/>
        <w:widowControl w:val="0"/>
        <w:kinsoku/>
        <w:wordWrap/>
        <w:overflowPunct/>
        <w:topLinePunct w:val="0"/>
        <w:autoSpaceDE/>
        <w:autoSpaceDN/>
        <w:bidi w:val="0"/>
        <w:adjustRightInd/>
        <w:snapToGrid/>
        <w:ind w:firstLine="720" w:firstLineChars="200"/>
        <w:jc w:val="center"/>
        <w:textAlignment w:val="auto"/>
        <w:rPr>
          <w:rFonts w:hint="eastAsia" w:ascii="仿宋" w:hAnsi="仿宋" w:eastAsia="仿宋" w:cs="仿宋"/>
          <w:b/>
          <w:bCs/>
          <w:color w:val="auto"/>
          <w:sz w:val="36"/>
          <w:szCs w:val="44"/>
          <w:highlight w:val="none"/>
        </w:rPr>
        <w:sectPr>
          <w:pgSz w:w="11906" w:h="16838"/>
          <w:pgMar w:top="1440" w:right="1800" w:bottom="1440" w:left="1746" w:header="851" w:footer="992" w:gutter="0"/>
          <w:pgBorders>
            <w:top w:val="none" w:sz="0" w:space="0"/>
            <w:left w:val="none" w:sz="0" w:space="0"/>
            <w:bottom w:val="none" w:sz="0" w:space="0"/>
            <w:right w:val="none" w:sz="0" w:space="0"/>
          </w:pgBorders>
          <w:cols w:space="720" w:num="1"/>
          <w:docGrid w:type="linesAndChars" w:linePitch="312" w:charSpace="0"/>
        </w:sectPr>
      </w:pPr>
    </w:p>
    <w:p>
      <w:pPr>
        <w:pStyle w:val="82"/>
        <w:jc w:val="center"/>
        <w:rPr>
          <w:rFonts w:hint="eastAsia" w:ascii="仿宋" w:hAnsi="仿宋" w:eastAsia="仿宋" w:cs="仿宋"/>
          <w:color w:val="auto"/>
          <w:sz w:val="44"/>
          <w:szCs w:val="44"/>
          <w:highlight w:val="none"/>
          <w:lang w:val="zh-CN"/>
        </w:rPr>
      </w:pPr>
      <w:bookmarkStart w:id="0" w:name="_Toc30020"/>
      <w:bookmarkStart w:id="1" w:name="_Toc14793"/>
      <w:bookmarkStart w:id="2" w:name="_Toc6093"/>
      <w:bookmarkStart w:id="3" w:name="_Toc21805"/>
      <w:bookmarkStart w:id="4" w:name="_Toc3605"/>
      <w:r>
        <w:rPr>
          <w:rFonts w:hint="eastAsia" w:ascii="仿宋" w:hAnsi="仿宋" w:eastAsia="仿宋" w:cs="仿宋"/>
          <w:color w:val="auto"/>
          <w:sz w:val="44"/>
          <w:szCs w:val="44"/>
          <w:highlight w:val="none"/>
          <w:lang w:val="zh-CN"/>
        </w:rPr>
        <w:t>目  录</w:t>
      </w:r>
      <w:bookmarkEnd w:id="0"/>
      <w:bookmarkEnd w:id="1"/>
      <w:bookmarkEnd w:id="2"/>
      <w:bookmarkEnd w:id="3"/>
      <w:bookmarkEnd w:id="4"/>
    </w:p>
    <w:p>
      <w:pPr>
        <w:rPr>
          <w:rFonts w:hint="eastAsia" w:ascii="仿宋" w:hAnsi="仿宋" w:eastAsia="仿宋" w:cs="仿宋"/>
          <w:color w:val="auto"/>
          <w:highlight w:val="none"/>
          <w:lang w:val="zh-CN"/>
        </w:rPr>
      </w:pPr>
    </w:p>
    <w:p>
      <w:pPr>
        <w:pStyle w:val="21"/>
        <w:tabs>
          <w:tab w:val="right" w:leader="dot" w:pos="8300"/>
        </w:tabs>
        <w:spacing w:line="360" w:lineRule="auto"/>
        <w:rPr>
          <w:b/>
          <w:bCs w:val="0"/>
          <w:color w:val="auto"/>
          <w:sz w:val="22"/>
          <w:szCs w:val="28"/>
          <w:highlight w:val="none"/>
        </w:rPr>
      </w:pPr>
      <w:r>
        <w:rPr>
          <w:rFonts w:hint="eastAsia" w:ascii="仿宋" w:hAnsi="仿宋" w:eastAsia="仿宋" w:cs="仿宋"/>
          <w:b/>
          <w:bCs/>
          <w:color w:val="auto"/>
          <w:sz w:val="32"/>
          <w:szCs w:val="32"/>
          <w:highlight w:val="none"/>
        </w:rPr>
        <w:fldChar w:fldCharType="begin"/>
      </w:r>
      <w:r>
        <w:rPr>
          <w:rFonts w:hint="eastAsia" w:ascii="仿宋" w:hAnsi="仿宋" w:eastAsia="仿宋" w:cs="仿宋"/>
          <w:b/>
          <w:bCs/>
          <w:color w:val="auto"/>
          <w:sz w:val="32"/>
          <w:szCs w:val="32"/>
          <w:highlight w:val="none"/>
        </w:rPr>
        <w:instrText xml:space="preserve">TOC \o "1-1" \h \u </w:instrText>
      </w:r>
      <w:r>
        <w:rPr>
          <w:rFonts w:hint="eastAsia" w:ascii="仿宋" w:hAnsi="仿宋" w:eastAsia="仿宋" w:cs="仿宋"/>
          <w:b/>
          <w:bCs/>
          <w:color w:val="auto"/>
          <w:sz w:val="32"/>
          <w:szCs w:val="32"/>
          <w:highlight w:val="none"/>
        </w:rPr>
        <w:fldChar w:fldCharType="separate"/>
      </w:r>
      <w:r>
        <w:rPr>
          <w:rFonts w:hint="eastAsia" w:ascii="仿宋" w:hAnsi="仿宋" w:eastAsia="仿宋" w:cs="仿宋"/>
          <w:b/>
          <w:bCs w:val="0"/>
          <w:color w:val="auto"/>
          <w:sz w:val="22"/>
          <w:szCs w:val="32"/>
          <w:highlight w:val="none"/>
        </w:rPr>
        <w:fldChar w:fldCharType="begin"/>
      </w:r>
      <w:r>
        <w:rPr>
          <w:rFonts w:hint="eastAsia" w:ascii="仿宋" w:hAnsi="仿宋" w:eastAsia="仿宋" w:cs="仿宋"/>
          <w:b/>
          <w:bCs w:val="0"/>
          <w:color w:val="auto"/>
          <w:sz w:val="22"/>
          <w:szCs w:val="32"/>
          <w:highlight w:val="none"/>
        </w:rPr>
        <w:instrText xml:space="preserve"> HYPERLINK \l _Toc14934 </w:instrText>
      </w:r>
      <w:r>
        <w:rPr>
          <w:rFonts w:hint="eastAsia" w:ascii="仿宋" w:hAnsi="仿宋" w:eastAsia="仿宋" w:cs="仿宋"/>
          <w:b/>
          <w:bCs w:val="0"/>
          <w:color w:val="auto"/>
          <w:sz w:val="22"/>
          <w:szCs w:val="32"/>
          <w:highlight w:val="none"/>
        </w:rPr>
        <w:fldChar w:fldCharType="separate"/>
      </w:r>
      <w:r>
        <w:rPr>
          <w:rFonts w:hint="eastAsia" w:ascii="仿宋" w:hAnsi="仿宋" w:eastAsia="仿宋" w:cs="仿宋"/>
          <w:b/>
          <w:bCs w:val="0"/>
          <w:color w:val="auto"/>
          <w:sz w:val="22"/>
          <w:szCs w:val="32"/>
          <w:highlight w:val="none"/>
          <w:lang w:eastAsia="zh-CN"/>
        </w:rPr>
        <w:t>采购公告</w:t>
      </w:r>
      <w:r>
        <w:rPr>
          <w:b/>
          <w:bCs w:val="0"/>
          <w:color w:val="auto"/>
          <w:sz w:val="22"/>
          <w:szCs w:val="28"/>
          <w:highlight w:val="none"/>
        </w:rPr>
        <w:tab/>
      </w:r>
      <w:r>
        <w:rPr>
          <w:b/>
          <w:bCs w:val="0"/>
          <w:color w:val="auto"/>
          <w:sz w:val="22"/>
          <w:szCs w:val="28"/>
          <w:highlight w:val="none"/>
        </w:rPr>
        <w:fldChar w:fldCharType="begin"/>
      </w:r>
      <w:r>
        <w:rPr>
          <w:b/>
          <w:bCs w:val="0"/>
          <w:color w:val="auto"/>
          <w:sz w:val="22"/>
          <w:szCs w:val="28"/>
          <w:highlight w:val="none"/>
        </w:rPr>
        <w:instrText xml:space="preserve"> PAGEREF _Toc14934 \h </w:instrText>
      </w:r>
      <w:r>
        <w:rPr>
          <w:b/>
          <w:bCs w:val="0"/>
          <w:color w:val="auto"/>
          <w:sz w:val="22"/>
          <w:szCs w:val="28"/>
          <w:highlight w:val="none"/>
        </w:rPr>
        <w:fldChar w:fldCharType="separate"/>
      </w:r>
      <w:r>
        <w:rPr>
          <w:b/>
          <w:bCs w:val="0"/>
          <w:color w:val="auto"/>
          <w:sz w:val="22"/>
          <w:szCs w:val="28"/>
          <w:highlight w:val="none"/>
        </w:rPr>
        <w:t>1</w:t>
      </w:r>
      <w:r>
        <w:rPr>
          <w:b/>
          <w:bCs w:val="0"/>
          <w:color w:val="auto"/>
          <w:sz w:val="22"/>
          <w:szCs w:val="28"/>
          <w:highlight w:val="none"/>
        </w:rPr>
        <w:fldChar w:fldCharType="end"/>
      </w:r>
      <w:r>
        <w:rPr>
          <w:rFonts w:hint="eastAsia" w:ascii="仿宋" w:hAnsi="仿宋" w:eastAsia="仿宋" w:cs="仿宋"/>
          <w:b/>
          <w:bCs w:val="0"/>
          <w:color w:val="auto"/>
          <w:sz w:val="22"/>
          <w:szCs w:val="32"/>
          <w:highlight w:val="none"/>
        </w:rPr>
        <w:fldChar w:fldCharType="end"/>
      </w:r>
    </w:p>
    <w:p>
      <w:pPr>
        <w:pStyle w:val="21"/>
        <w:tabs>
          <w:tab w:val="right" w:leader="dot" w:pos="8300"/>
        </w:tabs>
        <w:spacing w:line="360" w:lineRule="auto"/>
        <w:rPr>
          <w:b/>
          <w:bCs w:val="0"/>
          <w:color w:val="auto"/>
          <w:sz w:val="22"/>
          <w:szCs w:val="28"/>
          <w:highlight w:val="none"/>
        </w:rPr>
      </w:pPr>
      <w:r>
        <w:rPr>
          <w:rFonts w:hint="eastAsia" w:ascii="仿宋" w:hAnsi="仿宋" w:eastAsia="仿宋" w:cs="仿宋"/>
          <w:b/>
          <w:bCs w:val="0"/>
          <w:color w:val="auto"/>
          <w:sz w:val="22"/>
          <w:szCs w:val="32"/>
          <w:highlight w:val="none"/>
        </w:rPr>
        <w:fldChar w:fldCharType="begin"/>
      </w:r>
      <w:r>
        <w:rPr>
          <w:rFonts w:hint="eastAsia" w:ascii="仿宋" w:hAnsi="仿宋" w:eastAsia="仿宋" w:cs="仿宋"/>
          <w:b/>
          <w:bCs w:val="0"/>
          <w:color w:val="auto"/>
          <w:sz w:val="22"/>
          <w:szCs w:val="32"/>
          <w:highlight w:val="none"/>
        </w:rPr>
        <w:instrText xml:space="preserve"> HYPERLINK \l _Toc31622 </w:instrText>
      </w:r>
      <w:r>
        <w:rPr>
          <w:rFonts w:hint="eastAsia" w:ascii="仿宋" w:hAnsi="仿宋" w:eastAsia="仿宋" w:cs="仿宋"/>
          <w:b/>
          <w:bCs w:val="0"/>
          <w:color w:val="auto"/>
          <w:sz w:val="22"/>
          <w:szCs w:val="32"/>
          <w:highlight w:val="none"/>
        </w:rPr>
        <w:fldChar w:fldCharType="separate"/>
      </w:r>
      <w:r>
        <w:rPr>
          <w:rFonts w:hint="eastAsia" w:ascii="仿宋" w:hAnsi="仿宋" w:eastAsia="仿宋" w:cs="仿宋"/>
          <w:b/>
          <w:bCs w:val="0"/>
          <w:color w:val="auto"/>
          <w:sz w:val="22"/>
          <w:szCs w:val="28"/>
          <w:highlight w:val="none"/>
        </w:rPr>
        <w:t>第一章 供应商须知</w:t>
      </w:r>
      <w:r>
        <w:rPr>
          <w:b/>
          <w:bCs w:val="0"/>
          <w:color w:val="auto"/>
          <w:sz w:val="22"/>
          <w:szCs w:val="28"/>
          <w:highlight w:val="none"/>
        </w:rPr>
        <w:tab/>
      </w:r>
      <w:r>
        <w:rPr>
          <w:b/>
          <w:bCs w:val="0"/>
          <w:color w:val="auto"/>
          <w:sz w:val="22"/>
          <w:szCs w:val="28"/>
          <w:highlight w:val="none"/>
        </w:rPr>
        <w:fldChar w:fldCharType="begin"/>
      </w:r>
      <w:r>
        <w:rPr>
          <w:b/>
          <w:bCs w:val="0"/>
          <w:color w:val="auto"/>
          <w:sz w:val="22"/>
          <w:szCs w:val="28"/>
          <w:highlight w:val="none"/>
        </w:rPr>
        <w:instrText xml:space="preserve"> PAGEREF _Toc31622 \h </w:instrText>
      </w:r>
      <w:r>
        <w:rPr>
          <w:b/>
          <w:bCs w:val="0"/>
          <w:color w:val="auto"/>
          <w:sz w:val="22"/>
          <w:szCs w:val="28"/>
          <w:highlight w:val="none"/>
        </w:rPr>
        <w:fldChar w:fldCharType="separate"/>
      </w:r>
      <w:r>
        <w:rPr>
          <w:b/>
          <w:bCs w:val="0"/>
          <w:color w:val="auto"/>
          <w:sz w:val="22"/>
          <w:szCs w:val="28"/>
          <w:highlight w:val="none"/>
        </w:rPr>
        <w:t>5</w:t>
      </w:r>
      <w:r>
        <w:rPr>
          <w:b/>
          <w:bCs w:val="0"/>
          <w:color w:val="auto"/>
          <w:sz w:val="22"/>
          <w:szCs w:val="28"/>
          <w:highlight w:val="none"/>
        </w:rPr>
        <w:fldChar w:fldCharType="end"/>
      </w:r>
      <w:r>
        <w:rPr>
          <w:rFonts w:hint="eastAsia" w:ascii="仿宋" w:hAnsi="仿宋" w:eastAsia="仿宋" w:cs="仿宋"/>
          <w:b/>
          <w:bCs w:val="0"/>
          <w:color w:val="auto"/>
          <w:sz w:val="22"/>
          <w:szCs w:val="32"/>
          <w:highlight w:val="none"/>
        </w:rPr>
        <w:fldChar w:fldCharType="end"/>
      </w:r>
    </w:p>
    <w:p>
      <w:pPr>
        <w:pStyle w:val="21"/>
        <w:tabs>
          <w:tab w:val="right" w:leader="dot" w:pos="8300"/>
        </w:tabs>
        <w:spacing w:line="360" w:lineRule="auto"/>
        <w:rPr>
          <w:rFonts w:hint="default" w:eastAsia="仿宋"/>
          <w:b/>
          <w:bCs w:val="0"/>
          <w:color w:val="auto"/>
          <w:sz w:val="22"/>
          <w:szCs w:val="28"/>
          <w:highlight w:val="none"/>
          <w:lang w:val="en-US" w:eastAsia="zh-CN"/>
        </w:rPr>
      </w:pPr>
      <w:r>
        <w:rPr>
          <w:rFonts w:hint="eastAsia" w:ascii="仿宋" w:hAnsi="仿宋" w:eastAsia="仿宋" w:cs="仿宋"/>
          <w:b/>
          <w:bCs w:val="0"/>
          <w:color w:val="auto"/>
          <w:sz w:val="22"/>
          <w:szCs w:val="32"/>
          <w:highlight w:val="none"/>
        </w:rPr>
        <w:fldChar w:fldCharType="begin"/>
      </w:r>
      <w:r>
        <w:rPr>
          <w:rFonts w:hint="eastAsia" w:ascii="仿宋" w:hAnsi="仿宋" w:eastAsia="仿宋" w:cs="仿宋"/>
          <w:b/>
          <w:bCs w:val="0"/>
          <w:color w:val="auto"/>
          <w:sz w:val="22"/>
          <w:szCs w:val="32"/>
          <w:highlight w:val="none"/>
        </w:rPr>
        <w:instrText xml:space="preserve"> HYPERLINK \l _Toc7640 </w:instrText>
      </w:r>
      <w:r>
        <w:rPr>
          <w:rFonts w:hint="eastAsia" w:ascii="仿宋" w:hAnsi="仿宋" w:eastAsia="仿宋" w:cs="仿宋"/>
          <w:b/>
          <w:bCs w:val="0"/>
          <w:color w:val="auto"/>
          <w:sz w:val="22"/>
          <w:szCs w:val="32"/>
          <w:highlight w:val="none"/>
        </w:rPr>
        <w:fldChar w:fldCharType="separate"/>
      </w:r>
      <w:r>
        <w:rPr>
          <w:rFonts w:hint="eastAsia" w:ascii="仿宋" w:hAnsi="仿宋" w:eastAsia="仿宋" w:cs="仿宋"/>
          <w:b/>
          <w:bCs w:val="0"/>
          <w:color w:val="auto"/>
          <w:sz w:val="22"/>
          <w:szCs w:val="28"/>
          <w:highlight w:val="none"/>
        </w:rPr>
        <w:t>第二章 响应文件内容及格式</w:t>
      </w:r>
      <w:r>
        <w:rPr>
          <w:b/>
          <w:bCs w:val="0"/>
          <w:color w:val="auto"/>
          <w:sz w:val="22"/>
          <w:szCs w:val="28"/>
          <w:highlight w:val="none"/>
        </w:rPr>
        <w:tab/>
      </w:r>
      <w:r>
        <w:rPr>
          <w:rFonts w:hint="eastAsia" w:ascii="仿宋" w:hAnsi="仿宋" w:eastAsia="仿宋" w:cs="仿宋"/>
          <w:b/>
          <w:bCs w:val="0"/>
          <w:color w:val="auto"/>
          <w:sz w:val="22"/>
          <w:szCs w:val="32"/>
          <w:highlight w:val="none"/>
        </w:rPr>
        <w:fldChar w:fldCharType="end"/>
      </w:r>
      <w:r>
        <w:rPr>
          <w:rFonts w:hint="eastAsia" w:ascii="仿宋" w:hAnsi="仿宋" w:eastAsia="仿宋" w:cs="仿宋"/>
          <w:b/>
          <w:bCs w:val="0"/>
          <w:color w:val="auto"/>
          <w:sz w:val="22"/>
          <w:szCs w:val="32"/>
          <w:highlight w:val="none"/>
          <w:lang w:val="en-US" w:eastAsia="zh-CN"/>
        </w:rPr>
        <w:t>21</w:t>
      </w:r>
    </w:p>
    <w:p>
      <w:pPr>
        <w:pStyle w:val="21"/>
        <w:tabs>
          <w:tab w:val="right" w:leader="dot" w:pos="8300"/>
        </w:tabs>
        <w:spacing w:line="360" w:lineRule="auto"/>
        <w:rPr>
          <w:b/>
          <w:bCs w:val="0"/>
          <w:color w:val="auto"/>
          <w:sz w:val="22"/>
          <w:szCs w:val="28"/>
          <w:highlight w:val="none"/>
        </w:rPr>
      </w:pPr>
      <w:r>
        <w:rPr>
          <w:rFonts w:hint="eastAsia" w:ascii="仿宋" w:hAnsi="仿宋" w:eastAsia="仿宋" w:cs="仿宋"/>
          <w:b/>
          <w:bCs w:val="0"/>
          <w:color w:val="auto"/>
          <w:sz w:val="22"/>
          <w:szCs w:val="32"/>
          <w:highlight w:val="none"/>
        </w:rPr>
        <w:fldChar w:fldCharType="begin"/>
      </w:r>
      <w:r>
        <w:rPr>
          <w:rFonts w:hint="eastAsia" w:ascii="仿宋" w:hAnsi="仿宋" w:eastAsia="仿宋" w:cs="仿宋"/>
          <w:b/>
          <w:bCs w:val="0"/>
          <w:color w:val="auto"/>
          <w:sz w:val="22"/>
          <w:szCs w:val="32"/>
          <w:highlight w:val="none"/>
        </w:rPr>
        <w:instrText xml:space="preserve"> HYPERLINK \l _Toc18674 </w:instrText>
      </w:r>
      <w:r>
        <w:rPr>
          <w:rFonts w:hint="eastAsia" w:ascii="仿宋" w:hAnsi="仿宋" w:eastAsia="仿宋" w:cs="仿宋"/>
          <w:b/>
          <w:bCs w:val="0"/>
          <w:color w:val="auto"/>
          <w:sz w:val="22"/>
          <w:szCs w:val="32"/>
          <w:highlight w:val="none"/>
        </w:rPr>
        <w:fldChar w:fldCharType="separate"/>
      </w:r>
      <w:r>
        <w:rPr>
          <w:rFonts w:hint="eastAsia" w:ascii="仿宋" w:hAnsi="仿宋" w:eastAsia="仿宋" w:cs="仿宋"/>
          <w:b/>
          <w:bCs w:val="0"/>
          <w:color w:val="auto"/>
          <w:sz w:val="22"/>
          <w:szCs w:val="28"/>
          <w:highlight w:val="none"/>
        </w:rPr>
        <w:t xml:space="preserve">第三章 </w:t>
      </w:r>
      <w:r>
        <w:rPr>
          <w:rFonts w:hint="eastAsia" w:ascii="仿宋" w:hAnsi="仿宋" w:eastAsia="仿宋" w:cs="仿宋"/>
          <w:b/>
          <w:bCs w:val="0"/>
          <w:color w:val="auto"/>
          <w:sz w:val="22"/>
          <w:szCs w:val="28"/>
          <w:highlight w:val="none"/>
          <w:lang w:eastAsia="zh-CN"/>
        </w:rPr>
        <w:t>项目需求</w:t>
      </w:r>
      <w:r>
        <w:rPr>
          <w:b/>
          <w:bCs w:val="0"/>
          <w:color w:val="auto"/>
          <w:sz w:val="22"/>
          <w:szCs w:val="28"/>
          <w:highlight w:val="none"/>
        </w:rPr>
        <w:tab/>
      </w:r>
      <w:r>
        <w:rPr>
          <w:b/>
          <w:bCs w:val="0"/>
          <w:color w:val="auto"/>
          <w:sz w:val="22"/>
          <w:szCs w:val="28"/>
          <w:highlight w:val="none"/>
        </w:rPr>
        <w:fldChar w:fldCharType="begin"/>
      </w:r>
      <w:r>
        <w:rPr>
          <w:b/>
          <w:bCs w:val="0"/>
          <w:color w:val="auto"/>
          <w:sz w:val="22"/>
          <w:szCs w:val="28"/>
          <w:highlight w:val="none"/>
        </w:rPr>
        <w:instrText xml:space="preserve"> PAGEREF _Toc18674 \h </w:instrText>
      </w:r>
      <w:r>
        <w:rPr>
          <w:b/>
          <w:bCs w:val="0"/>
          <w:color w:val="auto"/>
          <w:sz w:val="22"/>
          <w:szCs w:val="28"/>
          <w:highlight w:val="none"/>
        </w:rPr>
        <w:fldChar w:fldCharType="separate"/>
      </w:r>
      <w:r>
        <w:rPr>
          <w:b/>
          <w:bCs w:val="0"/>
          <w:color w:val="auto"/>
          <w:sz w:val="22"/>
          <w:szCs w:val="28"/>
          <w:highlight w:val="none"/>
        </w:rPr>
        <w:t>41</w:t>
      </w:r>
      <w:r>
        <w:rPr>
          <w:b/>
          <w:bCs w:val="0"/>
          <w:color w:val="auto"/>
          <w:sz w:val="22"/>
          <w:szCs w:val="28"/>
          <w:highlight w:val="none"/>
        </w:rPr>
        <w:fldChar w:fldCharType="end"/>
      </w:r>
      <w:r>
        <w:rPr>
          <w:rFonts w:hint="eastAsia" w:ascii="仿宋" w:hAnsi="仿宋" w:eastAsia="仿宋" w:cs="仿宋"/>
          <w:b/>
          <w:bCs w:val="0"/>
          <w:color w:val="auto"/>
          <w:sz w:val="22"/>
          <w:szCs w:val="32"/>
          <w:highlight w:val="none"/>
        </w:rPr>
        <w:fldChar w:fldCharType="end"/>
      </w:r>
    </w:p>
    <w:p>
      <w:pPr>
        <w:pStyle w:val="21"/>
        <w:tabs>
          <w:tab w:val="right" w:leader="dot" w:pos="8300"/>
        </w:tabs>
        <w:spacing w:line="360" w:lineRule="auto"/>
        <w:rPr>
          <w:b/>
          <w:bCs w:val="0"/>
          <w:color w:val="auto"/>
          <w:sz w:val="22"/>
          <w:szCs w:val="28"/>
          <w:highlight w:val="none"/>
        </w:rPr>
      </w:pPr>
      <w:r>
        <w:rPr>
          <w:rFonts w:hint="eastAsia" w:ascii="仿宋" w:hAnsi="仿宋" w:eastAsia="仿宋" w:cs="仿宋"/>
          <w:b/>
          <w:bCs w:val="0"/>
          <w:color w:val="auto"/>
          <w:sz w:val="22"/>
          <w:szCs w:val="32"/>
          <w:highlight w:val="none"/>
        </w:rPr>
        <w:fldChar w:fldCharType="begin"/>
      </w:r>
      <w:r>
        <w:rPr>
          <w:rFonts w:hint="eastAsia" w:ascii="仿宋" w:hAnsi="仿宋" w:eastAsia="仿宋" w:cs="仿宋"/>
          <w:b/>
          <w:bCs w:val="0"/>
          <w:color w:val="auto"/>
          <w:sz w:val="22"/>
          <w:szCs w:val="32"/>
          <w:highlight w:val="none"/>
        </w:rPr>
        <w:instrText xml:space="preserve"> HYPERLINK \l _Toc26854 </w:instrText>
      </w:r>
      <w:r>
        <w:rPr>
          <w:rFonts w:hint="eastAsia" w:ascii="仿宋" w:hAnsi="仿宋" w:eastAsia="仿宋" w:cs="仿宋"/>
          <w:b/>
          <w:bCs w:val="0"/>
          <w:color w:val="auto"/>
          <w:sz w:val="22"/>
          <w:szCs w:val="32"/>
          <w:highlight w:val="none"/>
        </w:rPr>
        <w:fldChar w:fldCharType="separate"/>
      </w:r>
      <w:r>
        <w:rPr>
          <w:rFonts w:hint="eastAsia" w:ascii="仿宋" w:hAnsi="仿宋" w:eastAsia="仿宋" w:cs="仿宋"/>
          <w:b/>
          <w:bCs w:val="0"/>
          <w:color w:val="auto"/>
          <w:sz w:val="22"/>
          <w:szCs w:val="48"/>
          <w:highlight w:val="none"/>
          <w:lang w:val="en-US" w:eastAsia="zh-CN"/>
        </w:rPr>
        <w:t>第四章 磋商内容、磋商过程中可能实质性变动的内容</w:t>
      </w:r>
      <w:r>
        <w:rPr>
          <w:b/>
          <w:bCs w:val="0"/>
          <w:color w:val="auto"/>
          <w:sz w:val="22"/>
          <w:szCs w:val="28"/>
          <w:highlight w:val="none"/>
        </w:rPr>
        <w:tab/>
      </w:r>
      <w:r>
        <w:rPr>
          <w:b/>
          <w:bCs w:val="0"/>
          <w:color w:val="auto"/>
          <w:sz w:val="22"/>
          <w:szCs w:val="28"/>
          <w:highlight w:val="none"/>
        </w:rPr>
        <w:fldChar w:fldCharType="begin"/>
      </w:r>
      <w:r>
        <w:rPr>
          <w:b/>
          <w:bCs w:val="0"/>
          <w:color w:val="auto"/>
          <w:sz w:val="22"/>
          <w:szCs w:val="28"/>
          <w:highlight w:val="none"/>
        </w:rPr>
        <w:instrText xml:space="preserve"> PAGEREF _Toc26854 \h </w:instrText>
      </w:r>
      <w:r>
        <w:rPr>
          <w:b/>
          <w:bCs w:val="0"/>
          <w:color w:val="auto"/>
          <w:sz w:val="22"/>
          <w:szCs w:val="28"/>
          <w:highlight w:val="none"/>
        </w:rPr>
        <w:fldChar w:fldCharType="separate"/>
      </w:r>
      <w:r>
        <w:rPr>
          <w:b/>
          <w:bCs w:val="0"/>
          <w:color w:val="auto"/>
          <w:sz w:val="22"/>
          <w:szCs w:val="28"/>
          <w:highlight w:val="none"/>
        </w:rPr>
        <w:t>41</w:t>
      </w:r>
      <w:r>
        <w:rPr>
          <w:b/>
          <w:bCs w:val="0"/>
          <w:color w:val="auto"/>
          <w:sz w:val="22"/>
          <w:szCs w:val="28"/>
          <w:highlight w:val="none"/>
        </w:rPr>
        <w:fldChar w:fldCharType="end"/>
      </w:r>
      <w:r>
        <w:rPr>
          <w:rFonts w:hint="eastAsia" w:ascii="仿宋" w:hAnsi="仿宋" w:eastAsia="仿宋" w:cs="仿宋"/>
          <w:b/>
          <w:bCs w:val="0"/>
          <w:color w:val="auto"/>
          <w:sz w:val="22"/>
          <w:szCs w:val="32"/>
          <w:highlight w:val="none"/>
        </w:rPr>
        <w:fldChar w:fldCharType="end"/>
      </w:r>
    </w:p>
    <w:p>
      <w:pPr>
        <w:pStyle w:val="21"/>
        <w:tabs>
          <w:tab w:val="right" w:leader="dot" w:pos="8300"/>
        </w:tabs>
        <w:spacing w:line="360" w:lineRule="auto"/>
        <w:rPr>
          <w:rFonts w:hint="default" w:eastAsia="仿宋"/>
          <w:b/>
          <w:bCs w:val="0"/>
          <w:color w:val="auto"/>
          <w:sz w:val="22"/>
          <w:szCs w:val="28"/>
          <w:highlight w:val="none"/>
          <w:lang w:val="en-US" w:eastAsia="zh-CN"/>
        </w:rPr>
      </w:pPr>
      <w:r>
        <w:rPr>
          <w:rFonts w:hint="eastAsia" w:ascii="仿宋" w:hAnsi="仿宋" w:eastAsia="仿宋" w:cs="仿宋"/>
          <w:b/>
          <w:bCs w:val="0"/>
          <w:color w:val="auto"/>
          <w:sz w:val="22"/>
          <w:szCs w:val="32"/>
          <w:highlight w:val="none"/>
        </w:rPr>
        <w:fldChar w:fldCharType="begin"/>
      </w:r>
      <w:r>
        <w:rPr>
          <w:rFonts w:hint="eastAsia" w:ascii="仿宋" w:hAnsi="仿宋" w:eastAsia="仿宋" w:cs="仿宋"/>
          <w:b/>
          <w:bCs w:val="0"/>
          <w:color w:val="auto"/>
          <w:sz w:val="22"/>
          <w:szCs w:val="32"/>
          <w:highlight w:val="none"/>
        </w:rPr>
        <w:instrText xml:space="preserve"> HYPERLINK \l _Toc24306 </w:instrText>
      </w:r>
      <w:r>
        <w:rPr>
          <w:rFonts w:hint="eastAsia" w:ascii="仿宋" w:hAnsi="仿宋" w:eastAsia="仿宋" w:cs="仿宋"/>
          <w:b/>
          <w:bCs w:val="0"/>
          <w:color w:val="auto"/>
          <w:sz w:val="22"/>
          <w:szCs w:val="32"/>
          <w:highlight w:val="none"/>
        </w:rPr>
        <w:fldChar w:fldCharType="separate"/>
      </w:r>
      <w:r>
        <w:rPr>
          <w:rFonts w:hint="eastAsia" w:ascii="仿宋" w:hAnsi="仿宋" w:eastAsia="仿宋" w:cs="仿宋"/>
          <w:b/>
          <w:bCs w:val="0"/>
          <w:color w:val="auto"/>
          <w:sz w:val="22"/>
          <w:szCs w:val="48"/>
          <w:highlight w:val="none"/>
        </w:rPr>
        <w:t>第五章 评审办法</w:t>
      </w:r>
      <w:r>
        <w:rPr>
          <w:b/>
          <w:bCs w:val="0"/>
          <w:color w:val="auto"/>
          <w:sz w:val="22"/>
          <w:szCs w:val="28"/>
          <w:highlight w:val="none"/>
        </w:rPr>
        <w:tab/>
      </w:r>
      <w:r>
        <w:rPr>
          <w:rFonts w:hint="eastAsia" w:ascii="仿宋" w:hAnsi="仿宋" w:eastAsia="仿宋" w:cs="仿宋"/>
          <w:b/>
          <w:bCs w:val="0"/>
          <w:color w:val="auto"/>
          <w:sz w:val="22"/>
          <w:szCs w:val="32"/>
          <w:highlight w:val="none"/>
        </w:rPr>
        <w:fldChar w:fldCharType="end"/>
      </w:r>
      <w:r>
        <w:rPr>
          <w:rFonts w:hint="eastAsia" w:ascii="仿宋" w:hAnsi="仿宋" w:eastAsia="仿宋" w:cs="仿宋"/>
          <w:b/>
          <w:bCs w:val="0"/>
          <w:color w:val="auto"/>
          <w:sz w:val="22"/>
          <w:szCs w:val="32"/>
          <w:highlight w:val="none"/>
          <w:lang w:val="en-US" w:eastAsia="zh-CN"/>
        </w:rPr>
        <w:t>43</w:t>
      </w:r>
    </w:p>
    <w:p>
      <w:pPr>
        <w:pStyle w:val="21"/>
        <w:tabs>
          <w:tab w:val="right" w:leader="dot" w:pos="8300"/>
        </w:tabs>
        <w:spacing w:line="360" w:lineRule="auto"/>
        <w:rPr>
          <w:color w:val="auto"/>
          <w:sz w:val="22"/>
          <w:szCs w:val="28"/>
          <w:highlight w:val="none"/>
        </w:rPr>
      </w:pPr>
      <w:r>
        <w:rPr>
          <w:rFonts w:hint="eastAsia" w:ascii="仿宋" w:hAnsi="仿宋" w:eastAsia="仿宋" w:cs="仿宋"/>
          <w:b/>
          <w:bCs w:val="0"/>
          <w:color w:val="auto"/>
          <w:sz w:val="22"/>
          <w:szCs w:val="32"/>
          <w:highlight w:val="none"/>
        </w:rPr>
        <w:fldChar w:fldCharType="begin"/>
      </w:r>
      <w:r>
        <w:rPr>
          <w:rFonts w:hint="eastAsia" w:ascii="仿宋" w:hAnsi="仿宋" w:eastAsia="仿宋" w:cs="仿宋"/>
          <w:b/>
          <w:bCs w:val="0"/>
          <w:color w:val="auto"/>
          <w:sz w:val="22"/>
          <w:szCs w:val="32"/>
          <w:highlight w:val="none"/>
        </w:rPr>
        <w:instrText xml:space="preserve"> HYPERLINK \l _Toc3590 </w:instrText>
      </w:r>
      <w:r>
        <w:rPr>
          <w:rFonts w:hint="eastAsia" w:ascii="仿宋" w:hAnsi="仿宋" w:eastAsia="仿宋" w:cs="仿宋"/>
          <w:b/>
          <w:bCs w:val="0"/>
          <w:color w:val="auto"/>
          <w:sz w:val="22"/>
          <w:szCs w:val="32"/>
          <w:highlight w:val="none"/>
        </w:rPr>
        <w:fldChar w:fldCharType="separate"/>
      </w:r>
      <w:r>
        <w:rPr>
          <w:rFonts w:hint="eastAsia" w:ascii="仿宋" w:hAnsi="仿宋" w:eastAsia="仿宋" w:cs="仿宋"/>
          <w:b/>
          <w:bCs w:val="0"/>
          <w:color w:val="auto"/>
          <w:sz w:val="22"/>
          <w:szCs w:val="28"/>
          <w:highlight w:val="none"/>
          <w:lang w:val="en-US" w:eastAsia="zh-CN"/>
        </w:rPr>
        <w:t xml:space="preserve">第六章 </w:t>
      </w:r>
      <w:r>
        <w:rPr>
          <w:rFonts w:hint="eastAsia" w:ascii="仿宋" w:hAnsi="仿宋" w:eastAsia="仿宋" w:cs="仿宋"/>
          <w:b/>
          <w:bCs w:val="0"/>
          <w:color w:val="auto"/>
          <w:sz w:val="22"/>
          <w:szCs w:val="28"/>
          <w:highlight w:val="none"/>
        </w:rPr>
        <w:t>政府采购合同条款</w:t>
      </w:r>
      <w:r>
        <w:rPr>
          <w:rFonts w:hint="eastAsia" w:ascii="仿宋" w:hAnsi="仿宋" w:eastAsia="仿宋" w:cs="仿宋"/>
          <w:b/>
          <w:bCs w:val="0"/>
          <w:color w:val="auto"/>
          <w:sz w:val="22"/>
          <w:szCs w:val="28"/>
          <w:highlight w:val="none"/>
          <w:lang w:val="en-US" w:eastAsia="zh-CN"/>
        </w:rPr>
        <w:t>及格式</w:t>
      </w:r>
      <w:r>
        <w:rPr>
          <w:b/>
          <w:bCs w:val="0"/>
          <w:color w:val="auto"/>
          <w:sz w:val="22"/>
          <w:szCs w:val="28"/>
          <w:highlight w:val="none"/>
        </w:rPr>
        <w:tab/>
      </w:r>
      <w:r>
        <w:rPr>
          <w:b/>
          <w:bCs w:val="0"/>
          <w:color w:val="auto"/>
          <w:sz w:val="22"/>
          <w:szCs w:val="28"/>
          <w:highlight w:val="none"/>
        </w:rPr>
        <w:fldChar w:fldCharType="begin"/>
      </w:r>
      <w:r>
        <w:rPr>
          <w:b/>
          <w:bCs w:val="0"/>
          <w:color w:val="auto"/>
          <w:sz w:val="22"/>
          <w:szCs w:val="28"/>
          <w:highlight w:val="none"/>
        </w:rPr>
        <w:instrText xml:space="preserve"> PAGEREF _Toc3590 \h </w:instrText>
      </w:r>
      <w:r>
        <w:rPr>
          <w:b/>
          <w:bCs w:val="0"/>
          <w:color w:val="auto"/>
          <w:sz w:val="22"/>
          <w:szCs w:val="28"/>
          <w:highlight w:val="none"/>
        </w:rPr>
        <w:fldChar w:fldCharType="separate"/>
      </w:r>
      <w:r>
        <w:rPr>
          <w:b/>
          <w:bCs w:val="0"/>
          <w:color w:val="auto"/>
          <w:sz w:val="22"/>
          <w:szCs w:val="28"/>
          <w:highlight w:val="none"/>
        </w:rPr>
        <w:t>51</w:t>
      </w:r>
      <w:r>
        <w:rPr>
          <w:b/>
          <w:bCs w:val="0"/>
          <w:color w:val="auto"/>
          <w:sz w:val="22"/>
          <w:szCs w:val="28"/>
          <w:highlight w:val="none"/>
        </w:rPr>
        <w:fldChar w:fldCharType="end"/>
      </w:r>
      <w:r>
        <w:rPr>
          <w:rFonts w:hint="eastAsia" w:ascii="仿宋" w:hAnsi="仿宋" w:eastAsia="仿宋" w:cs="仿宋"/>
          <w:b/>
          <w:bCs w:val="0"/>
          <w:color w:val="auto"/>
          <w:sz w:val="22"/>
          <w:szCs w:val="32"/>
          <w:highlight w:val="none"/>
        </w:rPr>
        <w:fldChar w:fldCharType="end"/>
      </w:r>
    </w:p>
    <w:p>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bCs/>
          <w:color w:val="auto"/>
          <w:sz w:val="22"/>
          <w:szCs w:val="32"/>
          <w:highlight w:val="none"/>
        </w:rPr>
        <w:fldChar w:fldCharType="end"/>
      </w:r>
    </w:p>
    <w:p>
      <w:pPr>
        <w:pStyle w:val="63"/>
        <w:tabs>
          <w:tab w:val="right" w:leader="dot" w:pos="8306"/>
        </w:tabs>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 xml:space="preserve"> </w:t>
      </w:r>
    </w:p>
    <w:p>
      <w:pPr>
        <w:pStyle w:val="63"/>
        <w:tabs>
          <w:tab w:val="right" w:leader="dot" w:pos="8306"/>
        </w:tabs>
        <w:rPr>
          <w:rFonts w:hint="eastAsia" w:ascii="仿宋" w:hAnsi="仿宋" w:eastAsia="仿宋" w:cs="仿宋"/>
          <w:color w:val="auto"/>
          <w:highlight w:val="none"/>
        </w:rPr>
      </w:pPr>
    </w:p>
    <w:p>
      <w:pPr>
        <w:pStyle w:val="63"/>
        <w:tabs>
          <w:tab w:val="right" w:leader="dot" w:pos="8306"/>
        </w:tabs>
        <w:rPr>
          <w:rFonts w:hint="eastAsia" w:ascii="仿宋" w:hAnsi="仿宋" w:eastAsia="仿宋" w:cs="仿宋"/>
          <w:color w:val="auto"/>
          <w:highlight w:val="none"/>
        </w:rPr>
      </w:pPr>
    </w:p>
    <w:p>
      <w:pPr>
        <w:pStyle w:val="63"/>
        <w:tabs>
          <w:tab w:val="left" w:pos="1834"/>
          <w:tab w:val="right" w:leader="dot" w:pos="8306"/>
        </w:tabs>
        <w:rPr>
          <w:rFonts w:hint="eastAsia" w:ascii="仿宋" w:hAnsi="仿宋" w:eastAsia="仿宋" w:cs="仿宋"/>
          <w:b/>
          <w:bCs/>
          <w:color w:val="auto"/>
          <w:highlight w:val="none"/>
        </w:rPr>
      </w:pPr>
      <w:r>
        <w:rPr>
          <w:rFonts w:hint="eastAsia" w:ascii="仿宋" w:hAnsi="仿宋" w:eastAsia="仿宋" w:cs="仿宋"/>
          <w:b/>
          <w:bCs/>
          <w:color w:val="auto"/>
          <w:highlight w:val="none"/>
        </w:rPr>
        <w:tab/>
      </w:r>
    </w:p>
    <w:p>
      <w:pPr>
        <w:adjustRightInd w:val="0"/>
        <w:snapToGrid w:val="0"/>
        <w:spacing w:line="360" w:lineRule="auto"/>
        <w:jc w:val="center"/>
        <w:rPr>
          <w:rFonts w:hint="eastAsia" w:ascii="仿宋" w:hAnsi="仿宋" w:eastAsia="仿宋" w:cs="仿宋"/>
          <w:bCs/>
          <w:color w:val="auto"/>
          <w:highlight w:val="none"/>
        </w:rPr>
        <w:sectPr>
          <w:pgSz w:w="11906" w:h="16838"/>
          <w:pgMar w:top="1440" w:right="1803" w:bottom="1440" w:left="1803"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仿宋" w:hAnsi="仿宋" w:eastAsia="仿宋" w:cs="仿宋"/>
          <w:b/>
          <w:bCs/>
          <w:color w:val="auto"/>
          <w:sz w:val="24"/>
          <w:highlight w:val="none"/>
        </w:rPr>
        <w:tab/>
      </w:r>
      <w:r>
        <w:rPr>
          <w:rFonts w:hint="eastAsia" w:ascii="仿宋" w:hAnsi="仿宋" w:eastAsia="仿宋" w:cs="仿宋"/>
          <w:b/>
          <w:bCs/>
          <w:color w:val="auto"/>
          <w:sz w:val="24"/>
          <w:highlight w:val="none"/>
        </w:rPr>
        <w:tab/>
      </w:r>
      <w:r>
        <w:rPr>
          <w:rFonts w:hint="eastAsia" w:ascii="仿宋" w:hAnsi="仿宋" w:eastAsia="仿宋" w:cs="仿宋"/>
          <w:bCs/>
          <w:color w:val="auto"/>
          <w:highlight w:val="none"/>
        </w:rPr>
        <w:tab/>
      </w:r>
      <w:r>
        <w:rPr>
          <w:rFonts w:hint="eastAsia" w:ascii="仿宋" w:hAnsi="仿宋" w:eastAsia="仿宋" w:cs="仿宋"/>
          <w:bCs/>
          <w:color w:val="auto"/>
          <w:highlight w:val="none"/>
        </w:rPr>
        <w:tab/>
      </w:r>
      <w:bookmarkStart w:id="5" w:name="_Toc4485616"/>
    </w:p>
    <w:bookmarkEnd w:id="5"/>
    <w:p>
      <w:pPr>
        <w:pStyle w:val="2"/>
        <w:pageBreakBefore w:val="0"/>
        <w:tabs>
          <w:tab w:val="left" w:pos="0"/>
        </w:tabs>
        <w:kinsoku/>
        <w:wordWrap/>
        <w:overflowPunct/>
        <w:topLinePunct w:val="0"/>
        <w:autoSpaceDE w:val="0"/>
        <w:autoSpaceDN w:val="0"/>
        <w:bidi w:val="0"/>
        <w:adjustRightInd w:val="0"/>
        <w:snapToGrid w:val="0"/>
        <w:spacing w:before="0" w:beforeLines="0" w:after="0" w:afterLines="0" w:line="336" w:lineRule="auto"/>
        <w:jc w:val="center"/>
        <w:textAlignment w:val="auto"/>
        <w:rPr>
          <w:rFonts w:hint="eastAsia" w:ascii="仿宋" w:hAnsi="仿宋" w:eastAsia="仿宋" w:cs="仿宋"/>
          <w:bCs/>
          <w:color w:val="auto"/>
          <w:sz w:val="44"/>
          <w:szCs w:val="44"/>
          <w:highlight w:val="none"/>
          <w:lang w:eastAsia="zh-CN"/>
        </w:rPr>
      </w:pPr>
      <w:bookmarkStart w:id="6" w:name="_Toc27494"/>
      <w:bookmarkStart w:id="7" w:name="_Toc14934"/>
      <w:bookmarkStart w:id="8" w:name="_Toc4485617"/>
      <w:r>
        <w:rPr>
          <w:rFonts w:hint="eastAsia" w:ascii="仿宋" w:hAnsi="仿宋" w:eastAsia="仿宋" w:cs="仿宋"/>
          <w:bCs/>
          <w:color w:val="auto"/>
          <w:sz w:val="36"/>
          <w:szCs w:val="36"/>
          <w:highlight w:val="none"/>
          <w:lang w:eastAsia="zh-CN"/>
        </w:rPr>
        <w:t>白庙子棚改区域基础设施改造工程竞争性磋商公告</w:t>
      </w:r>
      <w:bookmarkEnd w:id="6"/>
      <w:bookmarkEnd w:id="7"/>
    </w:p>
    <w:p>
      <w:pPr>
        <w:pageBreakBefore w:val="0"/>
        <w:pBdr>
          <w:top w:val="single" w:color="auto" w:sz="4" w:space="1"/>
          <w:left w:val="single" w:color="auto" w:sz="4" w:space="4"/>
          <w:bottom w:val="single" w:color="auto" w:sz="4" w:space="1"/>
          <w:right w:val="single" w:color="auto" w:sz="4" w:space="4"/>
        </w:pBdr>
        <w:kinsoku/>
        <w:wordWrap/>
        <w:overflowPunct/>
        <w:topLinePunct w:val="0"/>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项目概况</w:t>
      </w:r>
    </w:p>
    <w:p>
      <w:pPr>
        <w:pageBreakBefore w:val="0"/>
        <w:pBdr>
          <w:top w:val="single" w:color="auto" w:sz="4" w:space="1"/>
          <w:left w:val="single" w:color="auto" w:sz="4" w:space="4"/>
          <w:bottom w:val="single" w:color="auto" w:sz="4" w:space="1"/>
          <w:right w:val="single" w:color="auto" w:sz="4" w:space="4"/>
        </w:pBdr>
        <w:kinsoku/>
        <w:wordWrap/>
        <w:overflowPunct/>
        <w:topLinePunct w:val="0"/>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lang w:eastAsia="zh-CN"/>
        </w:rPr>
        <w:t>白庙子棚改区域基础设施改造工程</w:t>
      </w:r>
      <w:r>
        <w:rPr>
          <w:rFonts w:hint="eastAsia" w:ascii="仿宋" w:hAnsi="仿宋" w:eastAsia="仿宋" w:cs="仿宋"/>
          <w:color w:val="auto"/>
          <w:sz w:val="24"/>
          <w:szCs w:val="24"/>
          <w:highlight w:val="none"/>
        </w:rPr>
        <w:t>采购项目的潜在供应商</w:t>
      </w:r>
      <w:r>
        <w:rPr>
          <w:rFonts w:hint="eastAsia" w:ascii="仿宋" w:hAnsi="仿宋" w:eastAsia="仿宋" w:cs="仿宋"/>
          <w:color w:val="auto"/>
          <w:sz w:val="24"/>
          <w:szCs w:val="24"/>
          <w:highlight w:val="none"/>
          <w:lang w:eastAsia="zh-CN"/>
        </w:rPr>
        <w:t>在</w:t>
      </w:r>
      <w:r>
        <w:rPr>
          <w:rFonts w:hint="eastAsia" w:ascii="仿宋" w:hAnsi="仿宋" w:eastAsia="仿宋" w:cs="仿宋"/>
          <w:color w:val="auto"/>
          <w:sz w:val="24"/>
          <w:szCs w:val="24"/>
          <w:highlight w:val="none"/>
          <w:u w:val="single"/>
          <w:lang w:eastAsia="zh-CN"/>
        </w:rPr>
        <w:t>辽宁政府采购网线上</w:t>
      </w:r>
      <w:r>
        <w:rPr>
          <w:rFonts w:hint="eastAsia" w:ascii="仿宋" w:hAnsi="仿宋" w:eastAsia="仿宋" w:cs="仿宋"/>
          <w:color w:val="auto"/>
          <w:sz w:val="24"/>
          <w:szCs w:val="24"/>
          <w:highlight w:val="none"/>
        </w:rPr>
        <w:t>获取采购文件，并于</w:t>
      </w:r>
      <w:r>
        <w:rPr>
          <w:rFonts w:hint="eastAsia" w:ascii="仿宋" w:hAnsi="仿宋" w:eastAsia="仿宋" w:cs="仿宋"/>
          <w:color w:val="auto"/>
          <w:sz w:val="24"/>
          <w:szCs w:val="24"/>
          <w:highlight w:val="none"/>
          <w:u w:val="single"/>
          <w:lang w:val="en-US" w:eastAsia="zh-CN"/>
        </w:rPr>
        <w:t>2025年9月29日09点30分</w:t>
      </w:r>
      <w:r>
        <w:rPr>
          <w:rFonts w:hint="eastAsia" w:ascii="仿宋" w:hAnsi="仿宋" w:eastAsia="仿宋" w:cs="仿宋"/>
          <w:color w:val="auto"/>
          <w:sz w:val="24"/>
          <w:szCs w:val="24"/>
          <w:highlight w:val="none"/>
        </w:rPr>
        <w:t>（北京时间）前提交响应文件。</w:t>
      </w:r>
    </w:p>
    <w:p>
      <w:pPr>
        <w:pageBreakBefore w:val="0"/>
        <w:kinsoku/>
        <w:wordWrap/>
        <w:overflowPunct/>
        <w:topLinePunct w:val="0"/>
        <w:bidi w:val="0"/>
        <w:adjustRightInd w:val="0"/>
        <w:snapToGrid w:val="0"/>
        <w:spacing w:line="336" w:lineRule="auto"/>
        <w:ind w:firstLine="480" w:firstLineChars="200"/>
        <w:textAlignment w:val="auto"/>
        <w:rPr>
          <w:rFonts w:hint="eastAsia" w:ascii="仿宋" w:hAnsi="仿宋" w:eastAsia="仿宋" w:cs="仿宋"/>
          <w:color w:val="auto"/>
          <w:sz w:val="24"/>
          <w:szCs w:val="24"/>
          <w:highlight w:val="none"/>
        </w:rPr>
      </w:pPr>
      <w:bookmarkStart w:id="9" w:name="_Toc35393629"/>
      <w:bookmarkStart w:id="10" w:name="_Toc28359012"/>
      <w:bookmarkStart w:id="11" w:name="_Toc35393798"/>
      <w:bookmarkStart w:id="12" w:name="_Toc28359089"/>
      <w:r>
        <w:rPr>
          <w:rFonts w:hint="eastAsia" w:ascii="仿宋" w:hAnsi="仿宋" w:eastAsia="仿宋" w:cs="仿宋"/>
          <w:color w:val="auto"/>
          <w:sz w:val="24"/>
          <w:szCs w:val="24"/>
          <w:highlight w:val="none"/>
        </w:rPr>
        <w:t>一、项目基本情况</w:t>
      </w:r>
      <w:bookmarkEnd w:id="9"/>
      <w:bookmarkEnd w:id="10"/>
      <w:bookmarkEnd w:id="11"/>
      <w:bookmarkEnd w:id="12"/>
    </w:p>
    <w:p>
      <w:pPr>
        <w:pageBreakBefore w:val="0"/>
        <w:widowControl w:val="0"/>
        <w:kinsoku/>
        <w:wordWrap/>
        <w:overflowPunct/>
        <w:topLinePunct w:val="0"/>
        <w:autoSpaceDE/>
        <w:autoSpaceDN/>
        <w:bidi w:val="0"/>
        <w:snapToGrid w:val="0"/>
        <w:spacing w:beforeLines="0" w:afterLines="0" w:line="336"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项目编号：</w:t>
      </w:r>
      <w:r>
        <w:rPr>
          <w:rFonts w:hint="eastAsia" w:ascii="仿宋" w:hAnsi="仿宋" w:eastAsia="仿宋" w:cs="仿宋"/>
          <w:color w:val="auto"/>
          <w:sz w:val="24"/>
          <w:szCs w:val="24"/>
          <w:highlight w:val="none"/>
          <w:lang w:eastAsia="zh-CN"/>
        </w:rPr>
        <w:t>JH25-210811-00273</w:t>
      </w:r>
    </w:p>
    <w:p>
      <w:pPr>
        <w:pageBreakBefore w:val="0"/>
        <w:widowControl w:val="0"/>
        <w:kinsoku/>
        <w:wordWrap/>
        <w:overflowPunct/>
        <w:topLinePunct w:val="0"/>
        <w:autoSpaceDE/>
        <w:autoSpaceDN/>
        <w:bidi w:val="0"/>
        <w:snapToGrid w:val="0"/>
        <w:spacing w:beforeLines="0" w:afterLines="0" w:line="336"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项目名称：</w:t>
      </w:r>
      <w:r>
        <w:rPr>
          <w:rFonts w:hint="eastAsia" w:ascii="仿宋" w:hAnsi="仿宋" w:eastAsia="仿宋" w:cs="仿宋"/>
          <w:color w:val="auto"/>
          <w:sz w:val="24"/>
          <w:szCs w:val="24"/>
          <w:highlight w:val="none"/>
          <w:lang w:eastAsia="zh-CN"/>
        </w:rPr>
        <w:t>白庙子棚改区域基础设施改造工程</w:t>
      </w:r>
    </w:p>
    <w:p>
      <w:pPr>
        <w:pageBreakBefore w:val="0"/>
        <w:widowControl w:val="0"/>
        <w:kinsoku/>
        <w:wordWrap/>
        <w:overflowPunct/>
        <w:topLinePunct w:val="0"/>
        <w:autoSpaceDE/>
        <w:autoSpaceDN/>
        <w:bidi w:val="0"/>
        <w:snapToGrid w:val="0"/>
        <w:spacing w:beforeLines="0" w:afterLines="0"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采购方式：竞争性磋商 </w:t>
      </w:r>
    </w:p>
    <w:p>
      <w:pPr>
        <w:pageBreakBefore w:val="0"/>
        <w:widowControl w:val="0"/>
        <w:kinsoku/>
        <w:wordWrap/>
        <w:overflowPunct/>
        <w:topLinePunct w:val="0"/>
        <w:autoSpaceDE/>
        <w:autoSpaceDN/>
        <w:bidi w:val="0"/>
        <w:snapToGrid w:val="0"/>
        <w:spacing w:beforeLines="0" w:afterLines="0"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预算金额：人民币</w:t>
      </w:r>
      <w:r>
        <w:rPr>
          <w:rFonts w:hint="eastAsia" w:ascii="仿宋" w:hAnsi="仿宋" w:eastAsia="仿宋" w:cs="仿宋"/>
          <w:color w:val="auto"/>
          <w:sz w:val="24"/>
          <w:szCs w:val="24"/>
          <w:highlight w:val="none"/>
          <w:lang w:eastAsia="zh-CN"/>
        </w:rPr>
        <w:t>1,931,183.34</w:t>
      </w:r>
      <w:r>
        <w:rPr>
          <w:rFonts w:hint="eastAsia" w:ascii="仿宋" w:hAnsi="仿宋" w:eastAsia="仿宋" w:cs="仿宋"/>
          <w:color w:val="auto"/>
          <w:sz w:val="24"/>
          <w:szCs w:val="24"/>
          <w:highlight w:val="none"/>
        </w:rPr>
        <w:t>元。</w:t>
      </w:r>
    </w:p>
    <w:p>
      <w:pPr>
        <w:pageBreakBefore w:val="0"/>
        <w:widowControl w:val="0"/>
        <w:kinsoku/>
        <w:wordWrap/>
        <w:overflowPunct/>
        <w:topLinePunct w:val="0"/>
        <w:autoSpaceDE/>
        <w:autoSpaceDN/>
        <w:bidi w:val="0"/>
        <w:snapToGrid w:val="0"/>
        <w:spacing w:beforeLines="0" w:afterLines="0"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最高限价：人民币</w:t>
      </w:r>
      <w:r>
        <w:rPr>
          <w:rFonts w:hint="eastAsia" w:ascii="仿宋" w:hAnsi="仿宋" w:eastAsia="仿宋" w:cs="仿宋"/>
          <w:color w:val="auto"/>
          <w:sz w:val="24"/>
          <w:szCs w:val="24"/>
          <w:highlight w:val="none"/>
          <w:lang w:val="en-US" w:eastAsia="zh-CN"/>
        </w:rPr>
        <w:t>1,931,183.34</w:t>
      </w:r>
      <w:r>
        <w:rPr>
          <w:rFonts w:hint="eastAsia" w:ascii="仿宋" w:hAnsi="仿宋" w:eastAsia="仿宋" w:cs="仿宋"/>
          <w:color w:val="auto"/>
          <w:sz w:val="24"/>
          <w:szCs w:val="24"/>
          <w:highlight w:val="none"/>
          <w:lang w:eastAsia="zh-CN"/>
        </w:rPr>
        <w:t>元</w:t>
      </w:r>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napToGrid w:val="0"/>
        <w:spacing w:beforeLines="0" w:afterLines="0" w:line="336"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采购需求：白庙子棚改区域基础设施改造工程，</w:t>
      </w:r>
      <w:r>
        <w:rPr>
          <w:rFonts w:hint="default" w:ascii="仿宋" w:hAnsi="仿宋" w:eastAsia="仿宋" w:cs="仿宋"/>
          <w:color w:val="auto"/>
          <w:sz w:val="24"/>
          <w:szCs w:val="24"/>
          <w:highlight w:val="none"/>
          <w:lang w:val="en-US" w:eastAsia="zh-CN"/>
        </w:rPr>
        <w:t>包含：</w:t>
      </w:r>
      <w:r>
        <w:rPr>
          <w:rFonts w:hint="eastAsia" w:ascii="仿宋" w:hAnsi="仿宋" w:eastAsia="仿宋" w:cs="仿宋"/>
          <w:color w:val="auto"/>
          <w:sz w:val="24"/>
          <w:szCs w:val="24"/>
          <w:highlight w:val="none"/>
          <w:lang w:val="en-US" w:eastAsia="zh-CN"/>
        </w:rPr>
        <w:t>改善居民出行，平整夯实居住区道路，保障该区域群众出行顺畅；保障排水等公共服务便利，对此区域的排水系统进行提升改造，保障居民正常的生产生活；为保障未棚改居民生活区域环境干净整洁、设置围挡；为改善居民生活质量，便于村民晚间出行，设置路灯；白庙子路北侧路段雨水排水管网。</w:t>
      </w:r>
      <w:r>
        <w:rPr>
          <w:rFonts w:hint="eastAsia" w:ascii="仿宋" w:hAnsi="仿宋" w:eastAsia="仿宋" w:cs="仿宋"/>
          <w:color w:val="auto"/>
          <w:sz w:val="24"/>
          <w:szCs w:val="24"/>
          <w:highlight w:val="none"/>
          <w:lang w:eastAsia="zh-CN"/>
        </w:rPr>
        <w:t>（具体详见工程量清单</w:t>
      </w:r>
      <w:r>
        <w:rPr>
          <w:rFonts w:hint="eastAsia" w:ascii="仿宋" w:hAnsi="仿宋" w:eastAsia="仿宋" w:cs="仿宋"/>
          <w:color w:val="auto"/>
          <w:sz w:val="24"/>
          <w:szCs w:val="24"/>
          <w:highlight w:val="none"/>
          <w:lang w:val="en-US" w:eastAsia="zh-CN"/>
        </w:rPr>
        <w:t>所示全部内容</w:t>
      </w:r>
      <w:r>
        <w:rPr>
          <w:rFonts w:hint="eastAsia" w:ascii="仿宋" w:hAnsi="仿宋" w:eastAsia="仿宋" w:cs="仿宋"/>
          <w:color w:val="auto"/>
          <w:sz w:val="24"/>
          <w:szCs w:val="24"/>
          <w:highlight w:val="none"/>
          <w:lang w:eastAsia="zh-CN"/>
        </w:rPr>
        <w:t>）。</w:t>
      </w:r>
    </w:p>
    <w:p>
      <w:pPr>
        <w:pageBreakBefore w:val="0"/>
        <w:widowControl w:val="0"/>
        <w:kinsoku/>
        <w:wordWrap/>
        <w:overflowPunct/>
        <w:topLinePunct w:val="0"/>
        <w:autoSpaceDE/>
        <w:autoSpaceDN/>
        <w:bidi w:val="0"/>
        <w:snapToGrid w:val="0"/>
        <w:spacing w:beforeLines="0" w:afterLines="0" w:line="336" w:lineRule="auto"/>
        <w:ind w:firstLine="480" w:firstLineChars="200"/>
        <w:textAlignment w:val="auto"/>
        <w:rPr>
          <w:rFonts w:hint="eastAsia" w:ascii="仿宋" w:hAnsi="仿宋" w:eastAsia="仿宋" w:cs="仿宋"/>
          <w:color w:val="auto"/>
          <w:sz w:val="24"/>
          <w:szCs w:val="24"/>
          <w:highlight w:val="none"/>
        </w:rPr>
      </w:pPr>
      <w:bookmarkStart w:id="13" w:name="_Toc28359014"/>
      <w:bookmarkStart w:id="14" w:name="_Toc28359091"/>
      <w:r>
        <w:rPr>
          <w:rFonts w:hint="eastAsia" w:ascii="仿宋" w:hAnsi="仿宋" w:eastAsia="仿宋" w:cs="仿宋"/>
          <w:color w:val="auto"/>
          <w:sz w:val="24"/>
          <w:szCs w:val="24"/>
          <w:highlight w:val="none"/>
        </w:rPr>
        <w:t>质量标准:达到国家相关规定的合格标准。</w:t>
      </w:r>
    </w:p>
    <w:p>
      <w:pPr>
        <w:pageBreakBefore w:val="0"/>
        <w:widowControl w:val="0"/>
        <w:kinsoku/>
        <w:wordWrap/>
        <w:overflowPunct/>
        <w:topLinePunct w:val="0"/>
        <w:autoSpaceDE/>
        <w:autoSpaceDN/>
        <w:bidi w:val="0"/>
        <w:snapToGrid w:val="0"/>
        <w:spacing w:beforeLines="0" w:afterLines="0" w:line="336"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合同履约期限：自</w:t>
      </w:r>
      <w:r>
        <w:rPr>
          <w:rFonts w:hint="eastAsia" w:ascii="仿宋" w:hAnsi="仿宋" w:eastAsia="仿宋" w:cs="仿宋"/>
          <w:color w:val="auto"/>
          <w:sz w:val="24"/>
          <w:szCs w:val="24"/>
          <w:highlight w:val="none"/>
        </w:rPr>
        <w:t>签订合同之日起</w:t>
      </w:r>
      <w:r>
        <w:rPr>
          <w:rFonts w:hint="eastAsia" w:ascii="仿宋" w:hAnsi="仿宋" w:eastAsia="仿宋" w:cs="仿宋"/>
          <w:color w:val="auto"/>
          <w:sz w:val="24"/>
          <w:szCs w:val="24"/>
          <w:highlight w:val="none"/>
          <w:lang w:val="en-US" w:eastAsia="zh-CN"/>
        </w:rPr>
        <w:t>60日历日内</w:t>
      </w:r>
      <w:r>
        <w:rPr>
          <w:rFonts w:hint="eastAsia" w:ascii="仿宋" w:hAnsi="仿宋" w:eastAsia="仿宋" w:cs="仿宋"/>
          <w:color w:val="auto"/>
          <w:sz w:val="24"/>
          <w:szCs w:val="24"/>
          <w:highlight w:val="none"/>
        </w:rPr>
        <w:t>完工</w:t>
      </w:r>
      <w:r>
        <w:rPr>
          <w:rFonts w:hint="eastAsia" w:ascii="仿宋" w:hAnsi="仿宋" w:eastAsia="仿宋" w:cs="仿宋"/>
          <w:color w:val="auto"/>
          <w:sz w:val="24"/>
          <w:szCs w:val="24"/>
          <w:highlight w:val="none"/>
          <w:lang w:eastAsia="zh-CN"/>
        </w:rPr>
        <w:t>（具体以甲乙双方实际签订的工期时间为准）</w:t>
      </w:r>
      <w:r>
        <w:rPr>
          <w:rFonts w:hint="eastAsia" w:ascii="仿宋" w:hAnsi="仿宋" w:eastAsia="仿宋" w:cs="仿宋"/>
          <w:color w:val="auto"/>
          <w:sz w:val="24"/>
          <w:szCs w:val="24"/>
          <w:highlight w:val="none"/>
          <w:lang w:val="en-US" w:eastAsia="zh-CN"/>
        </w:rPr>
        <w:t>。</w:t>
      </w:r>
    </w:p>
    <w:p>
      <w:pPr>
        <w:pageBreakBefore w:val="0"/>
        <w:widowControl w:val="0"/>
        <w:numPr>
          <w:ilvl w:val="0"/>
          <w:numId w:val="0"/>
        </w:numPr>
        <w:kinsoku/>
        <w:wordWrap/>
        <w:overflowPunct/>
        <w:topLinePunct w:val="0"/>
        <w:autoSpaceDE/>
        <w:autoSpaceDN/>
        <w:bidi w:val="0"/>
        <w:snapToGrid w:val="0"/>
        <w:spacing w:beforeLines="0" w:afterLines="0" w:line="336"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需落实的政府采购政策内容：中小微企业（含监狱企业）、促进残疾人就业的相关规定</w:t>
      </w:r>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napToGrid w:val="0"/>
        <w:spacing w:beforeLines="0" w:afterLines="0" w:line="336"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本项目（否）接受联合体。</w:t>
      </w:r>
    </w:p>
    <w:p>
      <w:pPr>
        <w:pageBreakBefore w:val="0"/>
        <w:kinsoku/>
        <w:wordWrap/>
        <w:overflowPunct/>
        <w:topLinePunct w:val="0"/>
        <w:bidi w:val="0"/>
        <w:adjustRightInd w:val="0"/>
        <w:snapToGrid w:val="0"/>
        <w:spacing w:line="336" w:lineRule="auto"/>
        <w:ind w:firstLine="480" w:firstLineChars="200"/>
        <w:textAlignment w:val="auto"/>
        <w:rPr>
          <w:rFonts w:hint="eastAsia" w:ascii="仿宋" w:hAnsi="仿宋" w:eastAsia="仿宋" w:cs="仿宋"/>
          <w:color w:val="auto"/>
          <w:sz w:val="24"/>
          <w:szCs w:val="24"/>
          <w:highlight w:val="none"/>
        </w:rPr>
      </w:pPr>
      <w:bookmarkStart w:id="15" w:name="_Toc35393630"/>
      <w:bookmarkStart w:id="16" w:name="_Toc35393799"/>
      <w:bookmarkStart w:id="17" w:name="_Toc28359090"/>
      <w:bookmarkStart w:id="18" w:name="_Toc28359013"/>
      <w:r>
        <w:rPr>
          <w:rFonts w:hint="eastAsia" w:ascii="仿宋" w:hAnsi="仿宋" w:eastAsia="仿宋" w:cs="仿宋"/>
          <w:color w:val="auto"/>
          <w:sz w:val="24"/>
          <w:szCs w:val="24"/>
          <w:highlight w:val="none"/>
        </w:rPr>
        <w:t>二、供应商的资格要求：</w:t>
      </w:r>
      <w:bookmarkEnd w:id="15"/>
      <w:bookmarkEnd w:id="16"/>
      <w:bookmarkEnd w:id="17"/>
      <w:bookmarkEnd w:id="18"/>
    </w:p>
    <w:p>
      <w:pPr>
        <w:pageBreakBefore w:val="0"/>
        <w:widowControl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1.满足《中华人民共和国政府采购法》第二十二条规定；</w:t>
      </w:r>
    </w:p>
    <w:p>
      <w:pPr>
        <w:pageBreakBefore w:val="0"/>
        <w:widowControl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2.落实政府采购政策需满足的资格要求：</w:t>
      </w:r>
      <w:r>
        <w:rPr>
          <w:rFonts w:hint="eastAsia" w:ascii="仿宋" w:hAnsi="仿宋" w:eastAsia="仿宋" w:cs="仿宋"/>
          <w:color w:val="auto"/>
          <w:sz w:val="24"/>
          <w:szCs w:val="24"/>
          <w:highlight w:val="none"/>
          <w:lang w:eastAsia="zh-CN"/>
        </w:rPr>
        <w:t>本项目属于专门面向中小微企业采购的项目,供应商应为中小微企业或监狱企业或残疾人福利性单位。</w:t>
      </w:r>
    </w:p>
    <w:p>
      <w:pPr>
        <w:pageBreakBefore w:val="0"/>
        <w:kinsoku/>
        <w:wordWrap/>
        <w:overflowPunct/>
        <w:topLinePunct w:val="0"/>
        <w:autoSpaceDE/>
        <w:autoSpaceDN/>
        <w:bidi w:val="0"/>
        <w:adjustRightInd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3.本项目的特定资格要求：</w:t>
      </w:r>
    </w:p>
    <w:bookmarkEnd w:id="13"/>
    <w:bookmarkEnd w:id="14"/>
    <w:p>
      <w:pPr>
        <w:pageBreakBefore w:val="0"/>
        <w:kinsoku/>
        <w:wordWrap/>
        <w:overflowPunct/>
        <w:topLinePunct w:val="0"/>
        <w:bidi w:val="0"/>
        <w:adjustRightInd w:val="0"/>
        <w:snapToGrid w:val="0"/>
        <w:spacing w:line="336" w:lineRule="auto"/>
        <w:ind w:firstLine="480" w:firstLineChars="200"/>
        <w:textAlignment w:val="auto"/>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rPr>
        <w:t>(1)</w:t>
      </w:r>
      <w:r>
        <w:rPr>
          <w:rFonts w:hint="eastAsia" w:ascii="仿宋" w:hAnsi="仿宋" w:eastAsia="仿宋" w:cs="仿宋"/>
          <w:bCs/>
          <w:color w:val="auto"/>
          <w:sz w:val="24"/>
          <w:szCs w:val="24"/>
          <w:highlight w:val="none"/>
          <w:lang w:eastAsia="zh-CN"/>
        </w:rPr>
        <w:t xml:space="preserve">具有国家建设行政主管部门核发的市政公用工程施工总承包三级（含）以上资质； </w:t>
      </w:r>
    </w:p>
    <w:p>
      <w:pPr>
        <w:pageBreakBefore w:val="0"/>
        <w:kinsoku/>
        <w:wordWrap/>
        <w:overflowPunct/>
        <w:topLinePunct w:val="0"/>
        <w:bidi w:val="0"/>
        <w:adjustRightInd w:val="0"/>
        <w:snapToGrid w:val="0"/>
        <w:spacing w:line="336" w:lineRule="auto"/>
        <w:ind w:firstLine="480" w:firstLineChars="200"/>
        <w:textAlignment w:val="auto"/>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eastAsia="zh-CN"/>
        </w:rPr>
        <w:t>拟投入本项目的项目经理须具有市政公用工程专业二级（含二级）以上注册证书，并具备有效的安全生产考核合格证(B证)</w:t>
      </w:r>
      <w:r>
        <w:rPr>
          <w:rFonts w:hint="eastAsia" w:ascii="仿宋" w:hAnsi="仿宋" w:eastAsia="仿宋" w:cs="仿宋"/>
          <w:bCs/>
          <w:color w:val="auto"/>
          <w:sz w:val="24"/>
          <w:szCs w:val="24"/>
          <w:highlight w:val="none"/>
        </w:rPr>
        <w:t xml:space="preserve"> </w:t>
      </w:r>
      <w:r>
        <w:rPr>
          <w:rFonts w:hint="eastAsia" w:ascii="仿宋" w:hAnsi="仿宋" w:eastAsia="仿宋" w:cs="仿宋"/>
          <w:bCs/>
          <w:color w:val="auto"/>
          <w:sz w:val="24"/>
          <w:szCs w:val="24"/>
          <w:highlight w:val="none"/>
          <w:lang w:eastAsia="zh-CN"/>
        </w:rPr>
        <w:t>；</w:t>
      </w:r>
    </w:p>
    <w:p>
      <w:pPr>
        <w:pageBreakBefore w:val="0"/>
        <w:kinsoku/>
        <w:wordWrap/>
        <w:overflowPunct/>
        <w:topLinePunct w:val="0"/>
        <w:bidi w:val="0"/>
        <w:adjustRightInd w:val="0"/>
        <w:snapToGrid w:val="0"/>
        <w:spacing w:line="336" w:lineRule="auto"/>
        <w:ind w:firstLine="480" w:firstLineChars="200"/>
        <w:textAlignment w:val="auto"/>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rPr>
        <w:t>(3)具有建设行政主管部门核发的有效期内的安全生产许可证</w:t>
      </w:r>
      <w:r>
        <w:rPr>
          <w:rFonts w:hint="eastAsia" w:ascii="仿宋" w:hAnsi="仿宋" w:eastAsia="仿宋" w:cs="仿宋"/>
          <w:bCs/>
          <w:color w:val="auto"/>
          <w:sz w:val="24"/>
          <w:szCs w:val="24"/>
          <w:highlight w:val="none"/>
          <w:lang w:eastAsia="zh-CN"/>
        </w:rPr>
        <w:t>。</w:t>
      </w:r>
    </w:p>
    <w:p>
      <w:pPr>
        <w:pageBreakBefore w:val="0"/>
        <w:kinsoku/>
        <w:wordWrap/>
        <w:overflowPunct/>
        <w:topLinePunct w:val="0"/>
        <w:bidi w:val="0"/>
        <w:adjustRightInd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三、政府采购供应商入库须知</w:t>
      </w:r>
    </w:p>
    <w:p>
      <w:pPr>
        <w:pageBreakBefore w:val="0"/>
        <w:kinsoku/>
        <w:wordWrap/>
        <w:overflowPunct/>
        <w:topLinePunct w:val="0"/>
        <w:bidi w:val="0"/>
        <w:adjustRightInd w:val="0"/>
        <w:snapToGrid w:val="0"/>
        <w:spacing w:line="336" w:lineRule="auto"/>
        <w:ind w:firstLine="480" w:firstLineChars="200"/>
        <w:textAlignment w:val="auto"/>
        <w:rPr>
          <w:rFonts w:hint="eastAsia" w:ascii="仿宋" w:hAnsi="仿宋" w:eastAsia="仿宋" w:cs="仿宋"/>
          <w:color w:val="auto"/>
          <w:sz w:val="24"/>
          <w:szCs w:val="24"/>
          <w:highlight w:val="none"/>
        </w:rPr>
      </w:pPr>
      <w:bookmarkStart w:id="19" w:name="_Toc35393631"/>
      <w:bookmarkStart w:id="20" w:name="_Toc35393800"/>
      <w:r>
        <w:rPr>
          <w:rFonts w:hint="eastAsia" w:ascii="仿宋" w:hAnsi="仿宋" w:eastAsia="仿宋" w:cs="仿宋"/>
          <w:color w:val="auto"/>
          <w:sz w:val="24"/>
          <w:szCs w:val="24"/>
          <w:highlight w:val="none"/>
        </w:rPr>
        <w:t>参加辽宁省政府采购活动的供应商未进入辽宁省政府采购供应商库的，请详阅辽宁政府采购网 “首页—政策法规”中公布的“政府采购供应商入库”的相关规定，及时办理入库登记手续。填写单位名称、统一社会信用代码和联系人等简要信息，由系统自动开通账号后，即可参与政府采购活动。具体规定详见《关于进一步优化辽宁省政府采购供应商入库程序的通知》（辽财采函〔2020〕198号）。</w:t>
      </w:r>
    </w:p>
    <w:p>
      <w:pPr>
        <w:pageBreakBefore w:val="0"/>
        <w:kinsoku/>
        <w:wordWrap/>
        <w:overflowPunct/>
        <w:topLinePunct w:val="0"/>
        <w:bidi w:val="0"/>
        <w:adjustRightInd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四、获取采购文件</w:t>
      </w:r>
      <w:bookmarkEnd w:id="19"/>
      <w:bookmarkEnd w:id="20"/>
    </w:p>
    <w:p>
      <w:pPr>
        <w:pageBreakBefore w:val="0"/>
        <w:kinsoku/>
        <w:wordWrap/>
        <w:overflowPunct/>
        <w:topLinePunct w:val="0"/>
        <w:bidi w:val="0"/>
        <w:adjustRightInd w:val="0"/>
        <w:snapToGrid w:val="0"/>
        <w:spacing w:line="336" w:lineRule="auto"/>
        <w:ind w:firstLine="54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时间：</w:t>
      </w:r>
      <w:r>
        <w:rPr>
          <w:rFonts w:hint="eastAsia" w:ascii="仿宋" w:hAnsi="仿宋" w:eastAsia="仿宋" w:cs="仿宋"/>
          <w:color w:val="auto"/>
          <w:sz w:val="24"/>
          <w:szCs w:val="24"/>
          <w:highlight w:val="none"/>
          <w:u w:val="single"/>
          <w:lang w:eastAsia="zh-CN"/>
        </w:rPr>
        <w:t>2025年</w:t>
      </w:r>
      <w:r>
        <w:rPr>
          <w:rFonts w:hint="eastAsia" w:ascii="仿宋" w:hAnsi="仿宋" w:eastAsia="仿宋" w:cs="仿宋"/>
          <w:color w:val="auto"/>
          <w:sz w:val="24"/>
          <w:szCs w:val="24"/>
          <w:highlight w:val="none"/>
          <w:u w:val="single"/>
          <w:lang w:val="en-US" w:eastAsia="zh-CN"/>
        </w:rPr>
        <w:t>9</w:t>
      </w:r>
      <w:r>
        <w:rPr>
          <w:rFonts w:hint="eastAsia" w:ascii="仿宋" w:hAnsi="仿宋" w:eastAsia="仿宋" w:cs="仿宋"/>
          <w:color w:val="auto"/>
          <w:sz w:val="24"/>
          <w:szCs w:val="24"/>
          <w:highlight w:val="none"/>
          <w:u w:val="single"/>
          <w:lang w:eastAsia="zh-CN"/>
        </w:rPr>
        <w:t>月</w:t>
      </w:r>
      <w:r>
        <w:rPr>
          <w:rFonts w:hint="eastAsia" w:ascii="仿宋" w:hAnsi="仿宋" w:eastAsia="仿宋" w:cs="仿宋"/>
          <w:color w:val="auto"/>
          <w:sz w:val="24"/>
          <w:szCs w:val="24"/>
          <w:highlight w:val="none"/>
          <w:u w:val="single"/>
          <w:lang w:val="en-US" w:eastAsia="zh-CN"/>
        </w:rPr>
        <w:t>18</w:t>
      </w:r>
      <w:r>
        <w:rPr>
          <w:rFonts w:hint="eastAsia" w:ascii="仿宋" w:hAnsi="仿宋" w:eastAsia="仿宋" w:cs="仿宋"/>
          <w:color w:val="auto"/>
          <w:sz w:val="24"/>
          <w:szCs w:val="24"/>
          <w:highlight w:val="none"/>
          <w:u w:val="single"/>
          <w:lang w:eastAsia="zh-CN"/>
        </w:rPr>
        <w:t>日</w:t>
      </w:r>
      <w:r>
        <w:rPr>
          <w:rFonts w:hint="eastAsia" w:ascii="仿宋" w:hAnsi="仿宋" w:eastAsia="仿宋" w:cs="仿宋"/>
          <w:color w:val="auto"/>
          <w:sz w:val="24"/>
          <w:szCs w:val="24"/>
          <w:highlight w:val="none"/>
          <w:u w:val="single"/>
          <w:lang w:val="en-US" w:eastAsia="zh-CN"/>
        </w:rPr>
        <w:t>19</w:t>
      </w:r>
      <w:r>
        <w:rPr>
          <w:rFonts w:hint="eastAsia" w:ascii="仿宋" w:hAnsi="仿宋" w:eastAsia="仿宋" w:cs="仿宋"/>
          <w:color w:val="auto"/>
          <w:sz w:val="24"/>
          <w:szCs w:val="24"/>
          <w:highlight w:val="none"/>
          <w:u w:val="single"/>
          <w:lang w:eastAsia="zh-CN"/>
        </w:rPr>
        <w:t>时</w:t>
      </w:r>
      <w:r>
        <w:rPr>
          <w:rFonts w:hint="eastAsia" w:ascii="仿宋" w:hAnsi="仿宋" w:eastAsia="仿宋" w:cs="仿宋"/>
          <w:color w:val="auto"/>
          <w:sz w:val="24"/>
          <w:szCs w:val="24"/>
          <w:highlight w:val="none"/>
          <w:u w:val="single"/>
          <w:lang w:val="en-US" w:eastAsia="zh-CN"/>
        </w:rPr>
        <w:t>0</w:t>
      </w:r>
      <w:r>
        <w:rPr>
          <w:rFonts w:hint="eastAsia" w:ascii="仿宋" w:hAnsi="仿宋" w:eastAsia="仿宋" w:cs="仿宋"/>
          <w:color w:val="auto"/>
          <w:sz w:val="24"/>
          <w:szCs w:val="24"/>
          <w:highlight w:val="none"/>
          <w:u w:val="single"/>
          <w:lang w:eastAsia="zh-CN"/>
        </w:rPr>
        <w:t>0分至2025年</w:t>
      </w:r>
      <w:r>
        <w:rPr>
          <w:rFonts w:hint="eastAsia" w:ascii="仿宋" w:hAnsi="仿宋" w:eastAsia="仿宋" w:cs="仿宋"/>
          <w:color w:val="auto"/>
          <w:sz w:val="24"/>
          <w:szCs w:val="24"/>
          <w:highlight w:val="none"/>
          <w:u w:val="single"/>
          <w:lang w:val="en-US" w:eastAsia="zh-CN"/>
        </w:rPr>
        <w:t>9</w:t>
      </w:r>
      <w:r>
        <w:rPr>
          <w:rFonts w:hint="eastAsia" w:ascii="仿宋" w:hAnsi="仿宋" w:eastAsia="仿宋" w:cs="仿宋"/>
          <w:color w:val="auto"/>
          <w:sz w:val="24"/>
          <w:szCs w:val="24"/>
          <w:highlight w:val="none"/>
          <w:u w:val="single"/>
          <w:lang w:eastAsia="zh-CN"/>
        </w:rPr>
        <w:t>月</w:t>
      </w:r>
      <w:r>
        <w:rPr>
          <w:rFonts w:hint="eastAsia" w:ascii="仿宋" w:hAnsi="仿宋" w:eastAsia="仿宋" w:cs="仿宋"/>
          <w:color w:val="auto"/>
          <w:sz w:val="24"/>
          <w:szCs w:val="24"/>
          <w:highlight w:val="none"/>
          <w:u w:val="single"/>
          <w:lang w:val="en-US" w:eastAsia="zh-CN"/>
        </w:rPr>
        <w:t>26</w:t>
      </w:r>
      <w:r>
        <w:rPr>
          <w:rFonts w:hint="eastAsia" w:ascii="仿宋" w:hAnsi="仿宋" w:eastAsia="仿宋" w:cs="仿宋"/>
          <w:color w:val="auto"/>
          <w:sz w:val="24"/>
          <w:szCs w:val="24"/>
          <w:highlight w:val="none"/>
          <w:u w:val="single"/>
          <w:lang w:eastAsia="zh-CN"/>
        </w:rPr>
        <w:t>日</w:t>
      </w:r>
      <w:r>
        <w:rPr>
          <w:rFonts w:hint="eastAsia" w:ascii="仿宋" w:hAnsi="仿宋" w:eastAsia="仿宋" w:cs="仿宋"/>
          <w:color w:val="auto"/>
          <w:sz w:val="24"/>
          <w:szCs w:val="24"/>
          <w:highlight w:val="none"/>
          <w:u w:val="single"/>
          <w:lang w:val="en-US" w:eastAsia="zh-CN"/>
        </w:rPr>
        <w:t>19</w:t>
      </w:r>
      <w:r>
        <w:rPr>
          <w:rFonts w:hint="eastAsia" w:ascii="仿宋" w:hAnsi="仿宋" w:eastAsia="仿宋" w:cs="仿宋"/>
          <w:color w:val="auto"/>
          <w:sz w:val="24"/>
          <w:szCs w:val="24"/>
          <w:highlight w:val="none"/>
          <w:u w:val="single"/>
          <w:lang w:eastAsia="zh-CN"/>
        </w:rPr>
        <w:t>时</w:t>
      </w:r>
      <w:r>
        <w:rPr>
          <w:rFonts w:hint="eastAsia" w:ascii="仿宋" w:hAnsi="仿宋" w:eastAsia="仿宋" w:cs="仿宋"/>
          <w:color w:val="auto"/>
          <w:sz w:val="24"/>
          <w:szCs w:val="24"/>
          <w:highlight w:val="none"/>
          <w:u w:val="single"/>
          <w:lang w:val="en-US" w:eastAsia="zh-CN"/>
        </w:rPr>
        <w:t>00</w:t>
      </w:r>
      <w:r>
        <w:rPr>
          <w:rFonts w:hint="eastAsia" w:ascii="仿宋" w:hAnsi="仿宋" w:eastAsia="仿宋" w:cs="仿宋"/>
          <w:color w:val="auto"/>
          <w:sz w:val="24"/>
          <w:szCs w:val="24"/>
          <w:highlight w:val="none"/>
          <w:u w:val="single"/>
          <w:lang w:eastAsia="zh-CN"/>
        </w:rPr>
        <w:t>分</w:t>
      </w:r>
      <w:r>
        <w:rPr>
          <w:rFonts w:hint="eastAsia" w:ascii="仿宋" w:hAnsi="仿宋" w:eastAsia="仿宋" w:cs="仿宋"/>
          <w:color w:val="auto"/>
          <w:sz w:val="24"/>
          <w:szCs w:val="24"/>
          <w:highlight w:val="none"/>
          <w:u w:val="none"/>
          <w:lang w:val="en-US" w:eastAsia="zh-CN"/>
        </w:rPr>
        <w:t>（</w:t>
      </w:r>
      <w:r>
        <w:rPr>
          <w:rFonts w:hint="eastAsia" w:ascii="仿宋" w:hAnsi="仿宋" w:eastAsia="仿宋" w:cs="仿宋"/>
          <w:color w:val="auto"/>
          <w:sz w:val="24"/>
          <w:szCs w:val="24"/>
          <w:highlight w:val="none"/>
        </w:rPr>
        <w:t>北京时间，法定节假日除外 ）</w:t>
      </w:r>
    </w:p>
    <w:p>
      <w:pPr>
        <w:pageBreakBefore w:val="0"/>
        <w:kinsoku/>
        <w:wordWrap/>
        <w:overflowPunct/>
        <w:topLinePunct w:val="0"/>
        <w:bidi w:val="0"/>
        <w:adjustRightInd w:val="0"/>
        <w:snapToGrid w:val="0"/>
        <w:spacing w:line="336" w:lineRule="auto"/>
        <w:ind w:firstLine="54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地点：辽宁政府采购网</w:t>
      </w:r>
    </w:p>
    <w:p>
      <w:pPr>
        <w:pageBreakBefore w:val="0"/>
        <w:kinsoku/>
        <w:wordWrap/>
        <w:overflowPunct/>
        <w:topLinePunct w:val="0"/>
        <w:bidi w:val="0"/>
        <w:adjustRightInd w:val="0"/>
        <w:snapToGrid w:val="0"/>
        <w:spacing w:line="336" w:lineRule="auto"/>
        <w:ind w:firstLine="54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方式：在线下载</w:t>
      </w:r>
    </w:p>
    <w:p>
      <w:pPr>
        <w:pageBreakBefore w:val="0"/>
        <w:kinsoku/>
        <w:wordWrap/>
        <w:overflowPunct/>
        <w:topLinePunct w:val="0"/>
        <w:bidi w:val="0"/>
        <w:adjustRightInd w:val="0"/>
        <w:snapToGrid w:val="0"/>
        <w:spacing w:line="336" w:lineRule="auto"/>
        <w:ind w:firstLine="54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售价：免费</w:t>
      </w:r>
      <w:bookmarkStart w:id="752" w:name="_GoBack"/>
      <w:bookmarkEnd w:id="752"/>
    </w:p>
    <w:p>
      <w:pPr>
        <w:pageBreakBefore w:val="0"/>
        <w:kinsoku/>
        <w:wordWrap/>
        <w:overflowPunct/>
        <w:topLinePunct w:val="0"/>
        <w:bidi w:val="0"/>
        <w:adjustRightInd w:val="0"/>
        <w:snapToGrid w:val="0"/>
        <w:spacing w:line="336" w:lineRule="auto"/>
        <w:ind w:firstLine="480" w:firstLineChars="200"/>
        <w:textAlignment w:val="auto"/>
        <w:rPr>
          <w:rFonts w:hint="eastAsia" w:ascii="仿宋" w:hAnsi="仿宋" w:eastAsia="仿宋" w:cs="仿宋"/>
          <w:color w:val="auto"/>
          <w:sz w:val="24"/>
          <w:szCs w:val="24"/>
          <w:highlight w:val="none"/>
        </w:rPr>
      </w:pPr>
      <w:bookmarkStart w:id="21" w:name="_Toc28359015"/>
      <w:bookmarkStart w:id="22" w:name="_Toc35393632"/>
      <w:bookmarkStart w:id="23" w:name="_Toc35393801"/>
      <w:bookmarkStart w:id="24" w:name="_Toc28359092"/>
      <w:r>
        <w:rPr>
          <w:rFonts w:hint="eastAsia" w:ascii="仿宋" w:hAnsi="仿宋" w:eastAsia="仿宋" w:cs="仿宋"/>
          <w:color w:val="auto"/>
          <w:sz w:val="24"/>
          <w:szCs w:val="24"/>
          <w:highlight w:val="none"/>
        </w:rPr>
        <w:t>五、响应文件提交</w:t>
      </w:r>
      <w:bookmarkEnd w:id="21"/>
      <w:bookmarkEnd w:id="22"/>
      <w:bookmarkEnd w:id="23"/>
      <w:bookmarkEnd w:id="24"/>
    </w:p>
    <w:p>
      <w:pPr>
        <w:pageBreakBefore w:val="0"/>
        <w:kinsoku/>
        <w:wordWrap/>
        <w:overflowPunct/>
        <w:topLinePunct w:val="0"/>
        <w:bidi w:val="0"/>
        <w:adjustRightInd w:val="0"/>
        <w:snapToGrid w:val="0"/>
        <w:spacing w:line="336" w:lineRule="auto"/>
        <w:ind w:firstLine="480" w:firstLineChars="200"/>
        <w:textAlignment w:val="auto"/>
        <w:rPr>
          <w:rFonts w:hint="eastAsia" w:ascii="仿宋" w:hAnsi="仿宋" w:eastAsia="仿宋" w:cs="仿宋"/>
          <w:bCs/>
          <w:color w:val="auto"/>
          <w:sz w:val="24"/>
          <w:szCs w:val="24"/>
          <w:highlight w:val="none"/>
          <w:u w:val="single"/>
        </w:rPr>
      </w:pPr>
      <w:r>
        <w:rPr>
          <w:rFonts w:hint="eastAsia" w:ascii="仿宋" w:hAnsi="仿宋" w:eastAsia="仿宋" w:cs="仿宋"/>
          <w:color w:val="auto"/>
          <w:sz w:val="24"/>
          <w:szCs w:val="24"/>
          <w:highlight w:val="none"/>
        </w:rPr>
        <w:t>截止时间：</w:t>
      </w:r>
      <w:r>
        <w:rPr>
          <w:rFonts w:hint="eastAsia" w:ascii="仿宋" w:hAnsi="仿宋" w:eastAsia="仿宋" w:cs="仿宋"/>
          <w:color w:val="auto"/>
          <w:sz w:val="24"/>
          <w:szCs w:val="24"/>
          <w:highlight w:val="none"/>
          <w:u w:val="single"/>
          <w:lang w:val="en-US" w:eastAsia="zh-CN"/>
        </w:rPr>
        <w:t>2025年9月29日9点30分</w:t>
      </w:r>
      <w:r>
        <w:rPr>
          <w:rFonts w:hint="eastAsia" w:ascii="仿宋" w:hAnsi="仿宋" w:eastAsia="仿宋" w:cs="仿宋"/>
          <w:color w:val="auto"/>
          <w:sz w:val="24"/>
          <w:szCs w:val="24"/>
          <w:highlight w:val="none"/>
        </w:rPr>
        <w:t>（北京时间）</w:t>
      </w:r>
    </w:p>
    <w:p>
      <w:pPr>
        <w:pageBreakBefore w:val="0"/>
        <w:kinsoku/>
        <w:wordWrap/>
        <w:overflowPunct/>
        <w:topLinePunct w:val="0"/>
        <w:bidi w:val="0"/>
        <w:adjustRightInd w:val="0"/>
        <w:snapToGrid w:val="0"/>
        <w:spacing w:line="336" w:lineRule="auto"/>
        <w:ind w:firstLine="480" w:firstLineChars="200"/>
        <w:textAlignment w:val="auto"/>
        <w:rPr>
          <w:rFonts w:hint="eastAsia" w:ascii="仿宋" w:hAnsi="仿宋" w:eastAsia="仿宋" w:cs="仿宋"/>
          <w:bCs/>
          <w:color w:val="auto"/>
          <w:sz w:val="24"/>
          <w:szCs w:val="24"/>
          <w:highlight w:val="none"/>
          <w:u w:val="single"/>
        </w:rPr>
      </w:pPr>
      <w:r>
        <w:rPr>
          <w:rFonts w:hint="eastAsia" w:ascii="仿宋" w:hAnsi="仿宋" w:eastAsia="仿宋" w:cs="仿宋"/>
          <w:color w:val="auto"/>
          <w:sz w:val="24"/>
          <w:szCs w:val="24"/>
          <w:highlight w:val="none"/>
        </w:rPr>
        <w:t>地点：辽宁政府采购网</w:t>
      </w:r>
    </w:p>
    <w:p>
      <w:pPr>
        <w:pageBreakBefore w:val="0"/>
        <w:kinsoku/>
        <w:wordWrap/>
        <w:overflowPunct/>
        <w:topLinePunct w:val="0"/>
        <w:bidi w:val="0"/>
        <w:adjustRightInd w:val="0"/>
        <w:snapToGrid w:val="0"/>
        <w:spacing w:line="336" w:lineRule="auto"/>
        <w:ind w:firstLine="480" w:firstLineChars="200"/>
        <w:textAlignment w:val="auto"/>
        <w:rPr>
          <w:rFonts w:hint="eastAsia" w:ascii="仿宋" w:hAnsi="仿宋" w:eastAsia="仿宋" w:cs="仿宋"/>
          <w:color w:val="auto"/>
          <w:sz w:val="24"/>
          <w:szCs w:val="24"/>
          <w:highlight w:val="none"/>
        </w:rPr>
      </w:pPr>
      <w:bookmarkStart w:id="25" w:name="_Toc35393802"/>
      <w:bookmarkStart w:id="26" w:name="_Toc35393633"/>
      <w:bookmarkStart w:id="27" w:name="_Toc28359093"/>
      <w:bookmarkStart w:id="28" w:name="_Toc28359016"/>
      <w:r>
        <w:rPr>
          <w:rFonts w:hint="eastAsia" w:ascii="仿宋" w:hAnsi="仿宋" w:eastAsia="仿宋" w:cs="仿宋"/>
          <w:color w:val="auto"/>
          <w:sz w:val="24"/>
          <w:szCs w:val="24"/>
          <w:highlight w:val="none"/>
        </w:rPr>
        <w:t>六、开启</w:t>
      </w:r>
      <w:bookmarkEnd w:id="25"/>
      <w:bookmarkEnd w:id="26"/>
      <w:bookmarkEnd w:id="27"/>
      <w:bookmarkEnd w:id="28"/>
    </w:p>
    <w:p>
      <w:pPr>
        <w:pageBreakBefore w:val="0"/>
        <w:kinsoku/>
        <w:wordWrap/>
        <w:overflowPunct/>
        <w:topLinePunct w:val="0"/>
        <w:bidi w:val="0"/>
        <w:adjustRightInd w:val="0"/>
        <w:snapToGrid w:val="0"/>
        <w:spacing w:line="336" w:lineRule="auto"/>
        <w:ind w:firstLine="480" w:firstLineChars="200"/>
        <w:textAlignment w:val="auto"/>
        <w:rPr>
          <w:rFonts w:hint="eastAsia" w:ascii="仿宋" w:hAnsi="仿宋" w:eastAsia="仿宋" w:cs="仿宋"/>
          <w:bCs/>
          <w:color w:val="auto"/>
          <w:sz w:val="24"/>
          <w:szCs w:val="24"/>
          <w:highlight w:val="none"/>
          <w:u w:val="single"/>
        </w:rPr>
      </w:pPr>
      <w:r>
        <w:rPr>
          <w:rFonts w:hint="eastAsia" w:ascii="仿宋" w:hAnsi="仿宋" w:eastAsia="仿宋" w:cs="仿宋"/>
          <w:color w:val="auto"/>
          <w:sz w:val="24"/>
          <w:szCs w:val="24"/>
          <w:highlight w:val="none"/>
        </w:rPr>
        <w:t>时间</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u w:val="single"/>
          <w:lang w:val="en-US" w:eastAsia="zh-CN"/>
        </w:rPr>
        <w:t>2025年9月29日9点30分</w:t>
      </w:r>
      <w:r>
        <w:rPr>
          <w:rFonts w:hint="eastAsia" w:ascii="仿宋" w:hAnsi="仿宋" w:eastAsia="仿宋" w:cs="仿宋"/>
          <w:color w:val="auto"/>
          <w:sz w:val="24"/>
          <w:szCs w:val="24"/>
          <w:highlight w:val="none"/>
        </w:rPr>
        <w:t>（北京时间）</w:t>
      </w:r>
    </w:p>
    <w:p>
      <w:pPr>
        <w:pageBreakBefore w:val="0"/>
        <w:widowControl/>
        <w:kinsoku/>
        <w:wordWrap/>
        <w:overflowPunct/>
        <w:topLinePunct w:val="0"/>
        <w:bidi w:val="0"/>
        <w:adjustRightInd w:val="0"/>
        <w:snapToGrid w:val="0"/>
        <w:spacing w:line="336" w:lineRule="auto"/>
        <w:ind w:firstLine="48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地点：</w:t>
      </w:r>
      <w:bookmarkStart w:id="29" w:name="_Toc28359094"/>
      <w:bookmarkStart w:id="30" w:name="_Toc35393803"/>
      <w:bookmarkStart w:id="31" w:name="_Toc35393634"/>
      <w:bookmarkStart w:id="32" w:name="_Toc28359017"/>
      <w:r>
        <w:rPr>
          <w:rFonts w:hint="eastAsia" w:ascii="仿宋" w:hAnsi="仿宋" w:eastAsia="仿宋" w:cs="仿宋"/>
          <w:color w:val="auto"/>
          <w:sz w:val="24"/>
          <w:szCs w:val="24"/>
          <w:highlight w:val="none"/>
        </w:rPr>
        <w:t>辽宁政府采购网</w:t>
      </w:r>
    </w:p>
    <w:p>
      <w:pPr>
        <w:pageBreakBefore w:val="0"/>
        <w:kinsoku/>
        <w:wordWrap/>
        <w:overflowPunct/>
        <w:topLinePunct w:val="0"/>
        <w:bidi w:val="0"/>
        <w:adjustRightInd w:val="0"/>
        <w:snapToGrid w:val="0"/>
        <w:spacing w:line="336"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七、公告期限</w:t>
      </w:r>
      <w:bookmarkEnd w:id="29"/>
      <w:bookmarkEnd w:id="30"/>
      <w:bookmarkEnd w:id="31"/>
      <w:bookmarkEnd w:id="32"/>
    </w:p>
    <w:p>
      <w:pPr>
        <w:pageBreakBefore w:val="0"/>
        <w:kinsoku/>
        <w:wordWrap/>
        <w:overflowPunct/>
        <w:topLinePunct w:val="0"/>
        <w:bidi w:val="0"/>
        <w:adjustRightInd w:val="0"/>
        <w:snapToGrid w:val="0"/>
        <w:spacing w:line="336"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自本公告发布之日起3个工作日。</w:t>
      </w:r>
    </w:p>
    <w:p>
      <w:pPr>
        <w:keepNext/>
        <w:keepLines/>
        <w:pageBreakBefore w:val="0"/>
        <w:kinsoku/>
        <w:wordWrap/>
        <w:overflowPunct/>
        <w:topLinePunct w:val="0"/>
        <w:bidi w:val="0"/>
        <w:adjustRightInd w:val="0"/>
        <w:snapToGrid w:val="0"/>
        <w:spacing w:line="336"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八、质疑与投诉</w:t>
      </w:r>
    </w:p>
    <w:p>
      <w:pPr>
        <w:pageBreakBefore w:val="0"/>
        <w:widowControl/>
        <w:kinsoku/>
        <w:wordWrap/>
        <w:overflowPunct/>
        <w:topLinePunct w:val="0"/>
        <w:bidi w:val="0"/>
        <w:adjustRightInd w:val="0"/>
        <w:snapToGrid w:val="0"/>
        <w:spacing w:line="336" w:lineRule="auto"/>
        <w:ind w:firstLine="539"/>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供应商认为自己的权益受到损害的，可以在知道或者应知其权益受到损害之日起七个工作日内，向采购代理机构或采购人提出质疑。</w:t>
      </w:r>
    </w:p>
    <w:p>
      <w:pPr>
        <w:pageBreakBefore w:val="0"/>
        <w:widowControl/>
        <w:kinsoku/>
        <w:wordWrap/>
        <w:overflowPunct/>
        <w:topLinePunct w:val="0"/>
        <w:bidi w:val="0"/>
        <w:adjustRightInd w:val="0"/>
        <w:snapToGrid w:val="0"/>
        <w:spacing w:line="336" w:lineRule="auto"/>
        <w:ind w:firstLine="48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1、接收质疑函方式：书面纸质质疑函</w:t>
      </w:r>
    </w:p>
    <w:p>
      <w:pPr>
        <w:pageBreakBefore w:val="0"/>
        <w:widowControl/>
        <w:kinsoku/>
        <w:wordWrap/>
        <w:overflowPunct/>
        <w:topLinePunct w:val="0"/>
        <w:bidi w:val="0"/>
        <w:adjustRightInd w:val="0"/>
        <w:snapToGrid w:val="0"/>
        <w:spacing w:line="336" w:lineRule="auto"/>
        <w:ind w:firstLine="48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2、质疑函内容、格式：应符合《政府采购质疑和投诉办法》相关规定和财政部制定的《政府采购质疑函范本》格式，详见辽宁政府采购网。</w:t>
      </w:r>
    </w:p>
    <w:p>
      <w:pPr>
        <w:pageBreakBefore w:val="0"/>
        <w:widowControl/>
        <w:kinsoku/>
        <w:wordWrap/>
        <w:overflowPunct/>
        <w:topLinePunct w:val="0"/>
        <w:bidi w:val="0"/>
        <w:adjustRightInd w:val="0"/>
        <w:snapToGrid w:val="0"/>
        <w:spacing w:line="336" w:lineRule="auto"/>
        <w:ind w:firstLine="48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质疑供应商对采购人、采购代理机构的答复不满意，或者采购人、采购代理机构未在规定时间内作出答复的，可以在答复期满后15个工作日内向本级财政部门提起投诉。</w:t>
      </w:r>
    </w:p>
    <w:p>
      <w:pPr>
        <w:pageBreakBefore w:val="0"/>
        <w:kinsoku/>
        <w:wordWrap/>
        <w:overflowPunct/>
        <w:topLinePunct w:val="0"/>
        <w:bidi w:val="0"/>
        <w:adjustRightInd w:val="0"/>
        <w:snapToGrid w:val="0"/>
        <w:spacing w:line="336" w:lineRule="auto"/>
        <w:ind w:firstLine="480" w:firstLineChars="200"/>
        <w:textAlignment w:val="auto"/>
        <w:rPr>
          <w:rFonts w:hint="eastAsia" w:ascii="仿宋" w:hAnsi="仿宋" w:eastAsia="仿宋" w:cs="仿宋"/>
          <w:color w:val="auto"/>
          <w:sz w:val="24"/>
          <w:szCs w:val="24"/>
          <w:highlight w:val="none"/>
        </w:rPr>
      </w:pPr>
      <w:bookmarkStart w:id="33" w:name="_Toc35393804"/>
      <w:bookmarkStart w:id="34" w:name="_Toc35393635"/>
      <w:r>
        <w:rPr>
          <w:rFonts w:hint="eastAsia" w:ascii="仿宋" w:hAnsi="仿宋" w:eastAsia="仿宋" w:cs="仿宋"/>
          <w:color w:val="auto"/>
          <w:sz w:val="24"/>
          <w:szCs w:val="24"/>
          <w:highlight w:val="none"/>
        </w:rPr>
        <w:t>九、其他补充事宜</w:t>
      </w:r>
      <w:bookmarkEnd w:id="33"/>
      <w:bookmarkEnd w:id="34"/>
    </w:p>
    <w:p>
      <w:pPr>
        <w:pageBreakBefore w:val="0"/>
        <w:kinsoku/>
        <w:wordWrap/>
        <w:overflowPunct/>
        <w:topLinePunct w:val="0"/>
        <w:bidi w:val="0"/>
        <w:adjustRightInd w:val="0"/>
        <w:snapToGrid w:val="0"/>
        <w:spacing w:line="336" w:lineRule="auto"/>
        <w:ind w:firstLine="480" w:firstLineChars="200"/>
        <w:textAlignment w:val="auto"/>
        <w:rPr>
          <w:rFonts w:hint="eastAsia" w:ascii="仿宋" w:hAnsi="仿宋" w:eastAsia="仿宋" w:cs="仿宋"/>
          <w:color w:val="auto"/>
          <w:sz w:val="24"/>
          <w:szCs w:val="24"/>
          <w:highlight w:val="none"/>
        </w:rPr>
      </w:pPr>
      <w:bookmarkStart w:id="35" w:name="_Toc28359018"/>
      <w:bookmarkStart w:id="36" w:name="_Toc35393636"/>
      <w:bookmarkStart w:id="37" w:name="_Toc35393805"/>
      <w:bookmarkStart w:id="38" w:name="_Toc28359095"/>
      <w:r>
        <w:rPr>
          <w:rFonts w:hint="eastAsia" w:ascii="仿宋" w:hAnsi="仿宋" w:eastAsia="仿宋" w:cs="仿宋"/>
          <w:color w:val="auto"/>
          <w:sz w:val="24"/>
          <w:szCs w:val="24"/>
          <w:highlight w:val="none"/>
        </w:rPr>
        <w:t>（一）参与本项目的供应商必须按照辽宁省财政厅要求办理CA数字证书，在采购公告规定的获取采购文件时间内，在辽宁政府采购网上完成采购文件下载。具体规定详见《关于启用政府采购数字认证和电子招投标业务有关事宜的通知》（辽财采〔2020〕298号）。</w:t>
      </w:r>
    </w:p>
    <w:p>
      <w:pPr>
        <w:pageBreakBefore w:val="0"/>
        <w:kinsoku/>
        <w:wordWrap/>
        <w:overflowPunct/>
        <w:topLinePunct w:val="0"/>
        <w:bidi w:val="0"/>
        <w:adjustRightInd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本项目根据辽宁政府采购网新版本要求，采取CA锁电子报名及递交响应文件，供应商除在电子评审系统上传响应文件外，应在递交响应文件截止时间前递交可加密备份文件，递交方式详见采购文件，并需提供备份文件与电子评审系统中上传的投标（响应）文件一致性承诺函，备系统突发故障使用，供应商仅提交备份文件，响应无效。详见辽宁政府采购网《关于完善政府采购电子评审业务流程等有关事项的通知》 辽财采函{2021} 363号。</w:t>
      </w:r>
    </w:p>
    <w:p>
      <w:pPr>
        <w:pageBreakBefore w:val="0"/>
        <w:kinsoku/>
        <w:wordWrap/>
        <w:overflowPunct/>
        <w:topLinePunct w:val="0"/>
        <w:bidi w:val="0"/>
        <w:adjustRightInd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因供应商原因未对文件校验造成信息缺失、文件内容或格式不正确以及备份文件不符合要求等问题影响评审的，由供应商自行承担相应责任。如因供应商自身原因导致未在辽宁政府采购网上递交响应文件的按照无效响应处理。</w:t>
      </w:r>
    </w:p>
    <w:p>
      <w:pPr>
        <w:pageBreakBefore w:val="0"/>
        <w:kinsoku/>
        <w:wordWrap/>
        <w:overflowPunct/>
        <w:topLinePunct w:val="0"/>
        <w:bidi w:val="0"/>
        <w:adjustRightInd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（四）供应商在获取采购文件时，应准确填写联系人姓名、联系电话、邮箱，如因填写错误导致采购人或代理机构无法及时联系供应商，责任由供应商自行承担。</w:t>
      </w:r>
    </w:p>
    <w:p>
      <w:pPr>
        <w:pageBreakBefore w:val="0"/>
        <w:kinsoku/>
        <w:wordWrap/>
        <w:overflowPunct/>
        <w:topLinePunct w:val="0"/>
        <w:bidi w:val="0"/>
        <w:adjustRightInd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（五）因供应商原因造成响应文件未解密的或因供应商自用设备原因造成的未在规定时间内解密、上传文件或投标（响应）报价等问题影响电子评审的，视为放弃投标（响应）。</w:t>
      </w:r>
    </w:p>
    <w:p>
      <w:pPr>
        <w:pageBreakBefore w:val="0"/>
        <w:kinsoku/>
        <w:wordWrap/>
        <w:overflowPunct/>
        <w:topLinePunct w:val="0"/>
        <w:bidi w:val="0"/>
        <w:adjustRightInd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十、凡对本次采购提出询问，请按以下方式联系。</w:t>
      </w:r>
      <w:bookmarkEnd w:id="35"/>
      <w:bookmarkEnd w:id="36"/>
      <w:bookmarkEnd w:id="37"/>
      <w:bookmarkEnd w:id="38"/>
    </w:p>
    <w:p>
      <w:pPr>
        <w:pageBreakBefore w:val="0"/>
        <w:kinsoku/>
        <w:wordWrap/>
        <w:overflowPunct/>
        <w:topLinePunct w:val="0"/>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1.采购人信息</w:t>
      </w:r>
    </w:p>
    <w:p>
      <w:pPr>
        <w:pageBreakBefore w:val="0"/>
        <w:kinsoku/>
        <w:wordWrap/>
        <w:overflowPunct/>
        <w:topLinePunct w:val="0"/>
        <w:bidi w:val="0"/>
        <w:snapToGrid w:val="0"/>
        <w:spacing w:line="336"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名称：</w:t>
      </w:r>
      <w:r>
        <w:rPr>
          <w:rFonts w:hint="eastAsia" w:ascii="仿宋" w:hAnsi="仿宋" w:eastAsia="仿宋" w:cs="仿宋"/>
          <w:color w:val="auto"/>
          <w:sz w:val="24"/>
          <w:szCs w:val="24"/>
          <w:highlight w:val="none"/>
          <w:u w:val="single"/>
          <w:lang w:eastAsia="zh-CN"/>
        </w:rPr>
        <w:t>营口市老边区住房和城乡建设局</w:t>
      </w:r>
      <w:r>
        <w:rPr>
          <w:rFonts w:hint="eastAsia" w:ascii="仿宋" w:hAnsi="仿宋" w:eastAsia="仿宋" w:cs="仿宋"/>
          <w:color w:val="auto"/>
          <w:sz w:val="24"/>
          <w:szCs w:val="24"/>
          <w:highlight w:val="none"/>
          <w:u w:val="single"/>
          <w:lang w:eastAsia="zh-CN"/>
        </w:rPr>
        <w:tab/>
      </w:r>
    </w:p>
    <w:p>
      <w:pPr>
        <w:pageBreakBefore w:val="0"/>
        <w:widowControl/>
        <w:kinsoku/>
        <w:wordWrap/>
        <w:overflowPunct/>
        <w:topLinePunct w:val="0"/>
        <w:bidi w:val="0"/>
        <w:adjustRightInd w:val="0"/>
        <w:snapToGrid w:val="0"/>
        <w:spacing w:line="336" w:lineRule="auto"/>
        <w:ind w:firstLine="480" w:firstLineChars="200"/>
        <w:jc w:val="left"/>
        <w:textAlignment w:val="auto"/>
        <w:rPr>
          <w:rFonts w:hint="eastAsia" w:ascii="仿宋" w:hAnsi="仿宋" w:eastAsia="仿宋" w:cs="仿宋"/>
          <w:color w:val="auto"/>
          <w:kern w:val="0"/>
          <w:sz w:val="24"/>
          <w:szCs w:val="24"/>
          <w:highlight w:val="none"/>
          <w:u w:val="single"/>
          <w:lang w:eastAsia="zh-CN"/>
        </w:rPr>
      </w:pPr>
      <w:r>
        <w:rPr>
          <w:rFonts w:hint="eastAsia" w:ascii="仿宋" w:hAnsi="仿宋" w:eastAsia="仿宋" w:cs="仿宋"/>
          <w:color w:val="auto"/>
          <w:kern w:val="0"/>
          <w:sz w:val="24"/>
          <w:szCs w:val="24"/>
          <w:highlight w:val="none"/>
        </w:rPr>
        <w:t>地址：</w:t>
      </w:r>
      <w:r>
        <w:rPr>
          <w:rFonts w:hint="eastAsia" w:ascii="仿宋" w:hAnsi="仿宋" w:eastAsia="仿宋" w:cs="仿宋"/>
          <w:color w:val="auto"/>
          <w:kern w:val="0"/>
          <w:sz w:val="24"/>
          <w:szCs w:val="24"/>
          <w:highlight w:val="none"/>
          <w:u w:val="single"/>
          <w:lang w:eastAsia="zh-CN"/>
        </w:rPr>
        <w:t>营口市老边区营东新城东湖大街35号</w:t>
      </w:r>
    </w:p>
    <w:p>
      <w:pPr>
        <w:pageBreakBefore w:val="0"/>
        <w:widowControl/>
        <w:kinsoku/>
        <w:wordWrap/>
        <w:overflowPunct/>
        <w:topLinePunct w:val="0"/>
        <w:bidi w:val="0"/>
        <w:adjustRightInd w:val="0"/>
        <w:snapToGrid w:val="0"/>
        <w:spacing w:line="336" w:lineRule="auto"/>
        <w:ind w:firstLine="480" w:firstLineChars="200"/>
        <w:jc w:val="left"/>
        <w:textAlignment w:val="auto"/>
        <w:rPr>
          <w:rFonts w:hint="eastAsia" w:ascii="仿宋" w:hAnsi="仿宋" w:eastAsia="仿宋" w:cs="仿宋"/>
          <w:color w:val="auto"/>
          <w:kern w:val="0"/>
          <w:sz w:val="24"/>
          <w:szCs w:val="24"/>
          <w:highlight w:val="none"/>
          <w:u w:val="single"/>
          <w:lang w:val="en-US" w:eastAsia="zh-CN"/>
        </w:rPr>
      </w:pPr>
      <w:r>
        <w:rPr>
          <w:rFonts w:hint="eastAsia" w:ascii="仿宋" w:hAnsi="仿宋" w:eastAsia="仿宋" w:cs="仿宋"/>
          <w:color w:val="auto"/>
          <w:kern w:val="0"/>
          <w:sz w:val="24"/>
          <w:szCs w:val="24"/>
          <w:highlight w:val="none"/>
        </w:rPr>
        <w:t>联系方式：</w:t>
      </w:r>
      <w:r>
        <w:rPr>
          <w:rFonts w:hint="eastAsia" w:ascii="仿宋" w:hAnsi="仿宋" w:eastAsia="仿宋" w:cs="仿宋"/>
          <w:color w:val="auto"/>
          <w:kern w:val="0"/>
          <w:sz w:val="24"/>
          <w:szCs w:val="24"/>
          <w:highlight w:val="none"/>
          <w:u w:val="single"/>
          <w:lang w:val="en-US" w:eastAsia="zh-CN"/>
        </w:rPr>
        <w:t>0417-3872014</w:t>
      </w:r>
    </w:p>
    <w:p>
      <w:pPr>
        <w:pageBreakBefore w:val="0"/>
        <w:kinsoku/>
        <w:wordWrap/>
        <w:overflowPunct/>
        <w:topLinePunct w:val="0"/>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2.采购代理机构信息</w:t>
      </w:r>
    </w:p>
    <w:p>
      <w:pPr>
        <w:pageBreakBefore w:val="0"/>
        <w:kinsoku/>
        <w:wordWrap/>
        <w:overflowPunct/>
        <w:topLinePunct w:val="0"/>
        <w:bidi w:val="0"/>
        <w:snapToGrid w:val="0"/>
        <w:spacing w:line="336"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名称：</w:t>
      </w:r>
      <w:r>
        <w:rPr>
          <w:rFonts w:hint="eastAsia" w:ascii="仿宋" w:hAnsi="仿宋" w:eastAsia="仿宋" w:cs="仿宋"/>
          <w:color w:val="auto"/>
          <w:sz w:val="24"/>
          <w:szCs w:val="24"/>
          <w:highlight w:val="none"/>
          <w:u w:val="single"/>
          <w:lang w:eastAsia="zh-CN"/>
        </w:rPr>
        <w:t xml:space="preserve"> 辽宁省昌蕴建设项目咨询有限公司　</w:t>
      </w:r>
    </w:p>
    <w:p>
      <w:pPr>
        <w:pageBreakBefore w:val="0"/>
        <w:kinsoku/>
        <w:wordWrap/>
        <w:overflowPunct/>
        <w:topLinePunct w:val="0"/>
        <w:bidi w:val="0"/>
        <w:snapToGrid w:val="0"/>
        <w:spacing w:line="336"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地址：</w:t>
      </w:r>
      <w:r>
        <w:rPr>
          <w:rFonts w:hint="eastAsia" w:ascii="仿宋" w:hAnsi="仿宋" w:eastAsia="仿宋" w:cs="仿宋"/>
          <w:color w:val="auto"/>
          <w:sz w:val="24"/>
          <w:szCs w:val="24"/>
          <w:highlight w:val="none"/>
          <w:u w:val="single"/>
          <w:lang w:eastAsia="zh-CN"/>
        </w:rPr>
        <w:t>营口市站前区体育场南街11-111号</w:t>
      </w:r>
    </w:p>
    <w:p>
      <w:pPr>
        <w:pageBreakBefore w:val="0"/>
        <w:kinsoku/>
        <w:wordWrap/>
        <w:overflowPunct/>
        <w:topLinePunct w:val="0"/>
        <w:bidi w:val="0"/>
        <w:snapToGrid w:val="0"/>
        <w:spacing w:line="336"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联系方式：</w:t>
      </w:r>
      <w:r>
        <w:rPr>
          <w:rFonts w:hint="eastAsia" w:ascii="仿宋" w:hAnsi="仿宋" w:eastAsia="仿宋" w:cs="仿宋"/>
          <w:color w:val="auto"/>
          <w:sz w:val="24"/>
          <w:szCs w:val="24"/>
          <w:highlight w:val="none"/>
          <w:u w:val="single"/>
          <w:lang w:eastAsia="zh-CN"/>
        </w:rPr>
        <w:t xml:space="preserve">0417-2825552   </w:t>
      </w:r>
    </w:p>
    <w:p>
      <w:pPr>
        <w:pageBreakBefore w:val="0"/>
        <w:kinsoku/>
        <w:wordWrap/>
        <w:overflowPunct/>
        <w:topLinePunct w:val="0"/>
        <w:bidi w:val="0"/>
        <w:snapToGrid w:val="0"/>
        <w:spacing w:line="336"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邮箱地址：</w:t>
      </w:r>
      <w:r>
        <w:rPr>
          <w:rFonts w:hint="eastAsia" w:ascii="仿宋" w:hAnsi="仿宋" w:eastAsia="仿宋" w:cs="仿宋"/>
          <w:color w:val="auto"/>
          <w:sz w:val="24"/>
          <w:szCs w:val="24"/>
          <w:highlight w:val="none"/>
          <w:u w:val="single"/>
          <w:lang w:eastAsia="zh-CN"/>
        </w:rPr>
        <w:t>ykjiutong@163.com　</w:t>
      </w:r>
    </w:p>
    <w:p>
      <w:pPr>
        <w:pageBreakBefore w:val="0"/>
        <w:kinsoku/>
        <w:wordWrap/>
        <w:overflowPunct/>
        <w:topLinePunct w:val="0"/>
        <w:bidi w:val="0"/>
        <w:snapToGrid w:val="0"/>
        <w:spacing w:line="336"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开户行：</w:t>
      </w:r>
      <w:r>
        <w:rPr>
          <w:rFonts w:hint="eastAsia" w:ascii="仿宋" w:hAnsi="仿宋" w:eastAsia="仿宋" w:cs="仿宋"/>
          <w:color w:val="auto"/>
          <w:sz w:val="24"/>
          <w:szCs w:val="24"/>
          <w:highlight w:val="none"/>
          <w:u w:val="single"/>
          <w:lang w:eastAsia="zh-CN"/>
        </w:rPr>
        <w:t>营口银行新华支行 　</w:t>
      </w:r>
    </w:p>
    <w:p>
      <w:pPr>
        <w:pageBreakBefore w:val="0"/>
        <w:kinsoku/>
        <w:wordWrap/>
        <w:overflowPunct/>
        <w:topLinePunct w:val="0"/>
        <w:bidi w:val="0"/>
        <w:snapToGrid w:val="0"/>
        <w:spacing w:line="336"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账户名称：</w:t>
      </w:r>
      <w:r>
        <w:rPr>
          <w:rFonts w:hint="eastAsia" w:ascii="仿宋" w:hAnsi="仿宋" w:eastAsia="仿宋" w:cs="仿宋"/>
          <w:color w:val="auto"/>
          <w:sz w:val="24"/>
          <w:szCs w:val="24"/>
          <w:highlight w:val="none"/>
          <w:u w:val="single"/>
          <w:lang w:eastAsia="zh-CN"/>
        </w:rPr>
        <w:t xml:space="preserve"> 辽宁省昌蕴建设项目咨询有限公司　</w:t>
      </w:r>
    </w:p>
    <w:p>
      <w:pPr>
        <w:pageBreakBefore w:val="0"/>
        <w:kinsoku/>
        <w:wordWrap/>
        <w:overflowPunct/>
        <w:topLinePunct w:val="0"/>
        <w:bidi w:val="0"/>
        <w:snapToGrid w:val="0"/>
        <w:spacing w:line="336" w:lineRule="auto"/>
        <w:ind w:firstLine="480" w:firstLineChars="200"/>
        <w:textAlignment w:val="auto"/>
        <w:rPr>
          <w:rFonts w:hint="eastAsia" w:ascii="仿宋" w:hAnsi="仿宋" w:eastAsia="仿宋" w:cs="仿宋"/>
          <w:color w:val="auto"/>
          <w:sz w:val="24"/>
          <w:szCs w:val="24"/>
          <w:highlight w:val="none"/>
          <w:u w:val="single"/>
          <w:lang w:eastAsia="zh-CN"/>
        </w:rPr>
      </w:pPr>
      <w:r>
        <w:rPr>
          <w:rFonts w:hint="eastAsia" w:ascii="仿宋" w:hAnsi="仿宋" w:eastAsia="仿宋" w:cs="仿宋"/>
          <w:color w:val="auto"/>
          <w:sz w:val="24"/>
          <w:szCs w:val="24"/>
          <w:highlight w:val="none"/>
        </w:rPr>
        <w:t>账号：</w:t>
      </w:r>
      <w:r>
        <w:rPr>
          <w:rFonts w:hint="eastAsia" w:ascii="仿宋" w:hAnsi="仿宋" w:eastAsia="仿宋" w:cs="仿宋"/>
          <w:color w:val="auto"/>
          <w:sz w:val="24"/>
          <w:szCs w:val="24"/>
          <w:highlight w:val="none"/>
          <w:u w:val="single"/>
          <w:lang w:eastAsia="zh-CN"/>
        </w:rPr>
        <w:t>　5688-0133-3355-552　</w:t>
      </w:r>
    </w:p>
    <w:p>
      <w:pPr>
        <w:pageBreakBefore w:val="0"/>
        <w:kinsoku/>
        <w:wordWrap/>
        <w:overflowPunct/>
        <w:topLinePunct w:val="0"/>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3.项目联系方式</w:t>
      </w:r>
    </w:p>
    <w:p>
      <w:pPr>
        <w:pageBreakBefore w:val="0"/>
        <w:kinsoku/>
        <w:wordWrap/>
        <w:overflowPunct/>
        <w:topLinePunct w:val="0"/>
        <w:bidi w:val="0"/>
        <w:snapToGrid w:val="0"/>
        <w:spacing w:line="336"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项目联系人：</w:t>
      </w:r>
      <w:r>
        <w:rPr>
          <w:rFonts w:hint="eastAsia" w:ascii="仿宋" w:hAnsi="仿宋" w:eastAsia="仿宋" w:cs="仿宋"/>
          <w:color w:val="auto"/>
          <w:sz w:val="24"/>
          <w:szCs w:val="24"/>
          <w:highlight w:val="none"/>
          <w:u w:val="single"/>
          <w:lang w:eastAsia="zh-CN"/>
        </w:rPr>
        <w:t xml:space="preserve">李姗珊  </w:t>
      </w:r>
    </w:p>
    <w:p>
      <w:pPr>
        <w:pStyle w:val="2"/>
        <w:pageBreakBefore w:val="0"/>
        <w:kinsoku/>
        <w:wordWrap/>
        <w:overflowPunct/>
        <w:topLinePunct w:val="0"/>
        <w:bidi w:val="0"/>
        <w:adjustRightInd w:val="0"/>
        <w:snapToGrid w:val="0"/>
        <w:spacing w:before="0" w:after="0" w:line="336" w:lineRule="auto"/>
        <w:ind w:firstLine="480" w:firstLineChars="200"/>
        <w:textAlignment w:val="auto"/>
        <w:rPr>
          <w:rFonts w:hint="eastAsia" w:ascii="仿宋" w:hAnsi="仿宋" w:eastAsia="仿宋" w:cs="仿宋"/>
          <w:b w:val="0"/>
          <w:bCs/>
          <w:color w:val="auto"/>
          <w:sz w:val="28"/>
          <w:szCs w:val="28"/>
          <w:highlight w:val="none"/>
          <w:u w:val="single"/>
          <w:lang w:eastAsia="zh-CN"/>
        </w:rPr>
      </w:pPr>
      <w:bookmarkStart w:id="39" w:name="_Toc26547"/>
      <w:bookmarkStart w:id="40" w:name="_Toc13441"/>
      <w:bookmarkStart w:id="41" w:name="_Toc7675"/>
      <w:r>
        <w:rPr>
          <w:rFonts w:hint="eastAsia" w:ascii="仿宋" w:hAnsi="仿宋" w:eastAsia="仿宋" w:cs="仿宋"/>
          <w:b w:val="0"/>
          <w:bCs/>
          <w:color w:val="auto"/>
          <w:sz w:val="24"/>
          <w:szCs w:val="24"/>
          <w:highlight w:val="none"/>
        </w:rPr>
        <w:t>电　话：</w:t>
      </w:r>
      <w:bookmarkEnd w:id="39"/>
      <w:bookmarkEnd w:id="40"/>
      <w:bookmarkEnd w:id="41"/>
      <w:r>
        <w:rPr>
          <w:rFonts w:hint="eastAsia" w:ascii="仿宋" w:hAnsi="仿宋" w:eastAsia="仿宋" w:cs="仿宋"/>
          <w:b w:val="0"/>
          <w:bCs/>
          <w:color w:val="auto"/>
          <w:sz w:val="24"/>
          <w:szCs w:val="24"/>
          <w:highlight w:val="none"/>
          <w:u w:val="single"/>
          <w:lang w:eastAsia="zh-CN"/>
        </w:rPr>
        <w:t xml:space="preserve">0417-2825552   </w:t>
      </w:r>
    </w:p>
    <w:p>
      <w:pPr>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2"/>
        <w:pageBreakBefore w:val="0"/>
        <w:widowControl w:val="0"/>
        <w:kinsoku/>
        <w:wordWrap/>
        <w:overflowPunct/>
        <w:topLinePunct w:val="0"/>
        <w:autoSpaceDE/>
        <w:autoSpaceDN/>
        <w:bidi w:val="0"/>
        <w:adjustRightInd w:val="0"/>
        <w:snapToGrid w:val="0"/>
        <w:spacing w:before="0" w:after="0" w:line="360" w:lineRule="auto"/>
        <w:jc w:val="center"/>
        <w:textAlignment w:val="auto"/>
        <w:rPr>
          <w:rFonts w:hint="eastAsia" w:ascii="仿宋" w:hAnsi="仿宋" w:eastAsia="仿宋" w:cs="仿宋"/>
          <w:color w:val="auto"/>
          <w:highlight w:val="none"/>
        </w:rPr>
      </w:pPr>
      <w:bookmarkStart w:id="42" w:name="_Toc31622"/>
      <w:r>
        <w:rPr>
          <w:rFonts w:hint="eastAsia" w:ascii="仿宋" w:hAnsi="仿宋" w:eastAsia="仿宋" w:cs="仿宋"/>
          <w:color w:val="auto"/>
          <w:highlight w:val="none"/>
        </w:rPr>
        <w:t>第一章 供应商须知</w:t>
      </w:r>
      <w:bookmarkEnd w:id="8"/>
      <w:bookmarkEnd w:id="42"/>
    </w:p>
    <w:p>
      <w:pPr>
        <w:pStyle w:val="3"/>
        <w:adjustRightInd w:val="0"/>
        <w:snapToGrid w:val="0"/>
        <w:spacing w:before="0" w:after="0" w:line="360" w:lineRule="auto"/>
        <w:jc w:val="center"/>
        <w:rPr>
          <w:rFonts w:hint="eastAsia" w:ascii="仿宋" w:hAnsi="仿宋" w:eastAsia="仿宋" w:cs="仿宋"/>
          <w:color w:val="auto"/>
          <w:highlight w:val="none"/>
        </w:rPr>
      </w:pPr>
      <w:bookmarkStart w:id="43" w:name="_Toc533340139"/>
      <w:bookmarkStart w:id="44" w:name="_Toc4485618"/>
      <w:r>
        <w:rPr>
          <w:rFonts w:hint="eastAsia" w:ascii="仿宋" w:hAnsi="仿宋" w:eastAsia="仿宋" w:cs="仿宋"/>
          <w:color w:val="auto"/>
          <w:highlight w:val="none"/>
        </w:rPr>
        <w:t>一 供应商须知表</w:t>
      </w:r>
      <w:bookmarkEnd w:id="43"/>
      <w:bookmarkEnd w:id="44"/>
    </w:p>
    <w:tbl>
      <w:tblPr>
        <w:tblStyle w:val="28"/>
        <w:tblW w:w="84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32" w:type="dxa"/>
          <w:left w:w="64" w:type="dxa"/>
          <w:bottom w:w="32" w:type="dxa"/>
          <w:right w:w="64" w:type="dxa"/>
        </w:tblCellMar>
      </w:tblPr>
      <w:tblGrid>
        <w:gridCol w:w="878"/>
        <w:gridCol w:w="1029"/>
        <w:gridCol w:w="6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878" w:type="dxa"/>
            <w:tcBorders>
              <w:tl2br w:val="nil"/>
              <w:tr2bl w:val="nil"/>
            </w:tcBorders>
            <w:noWrap w:val="0"/>
            <w:vAlign w:val="center"/>
          </w:tcPr>
          <w:p>
            <w:pPr>
              <w:widowControl/>
              <w:snapToGrid w:val="0"/>
              <w:jc w:val="center"/>
              <w:rPr>
                <w:rFonts w:hint="eastAsia" w:ascii="仿宋" w:hAnsi="仿宋" w:eastAsia="仿宋" w:cs="仿宋"/>
                <w:b/>
                <w:color w:val="auto"/>
                <w:kern w:val="0"/>
                <w:sz w:val="21"/>
                <w:szCs w:val="21"/>
                <w:highlight w:val="none"/>
                <w:lang w:eastAsia="zh-CN"/>
              </w:rPr>
            </w:pPr>
            <w:bookmarkStart w:id="45" w:name="sys_招标项目基本内容及要求其他：Block"/>
            <w:bookmarkEnd w:id="45"/>
            <w:bookmarkStart w:id="46" w:name="招标项目基本内容及要求其他：Block"/>
            <w:bookmarkEnd w:id="46"/>
            <w:bookmarkStart w:id="47" w:name="招标项目基本内容及要求：Block"/>
            <w:bookmarkEnd w:id="47"/>
            <w:bookmarkStart w:id="48" w:name="sys_招标项目基本内容及要求：Block"/>
            <w:bookmarkEnd w:id="48"/>
            <w:r>
              <w:rPr>
                <w:rFonts w:hint="eastAsia" w:ascii="仿宋" w:hAnsi="仿宋" w:eastAsia="仿宋" w:cs="仿宋"/>
                <w:b/>
                <w:color w:val="auto"/>
                <w:kern w:val="0"/>
                <w:sz w:val="21"/>
                <w:szCs w:val="21"/>
                <w:highlight w:val="none"/>
                <w:lang w:eastAsia="zh-CN"/>
              </w:rPr>
              <w:t>条款号</w:t>
            </w:r>
          </w:p>
        </w:tc>
        <w:tc>
          <w:tcPr>
            <w:tcW w:w="1029" w:type="dxa"/>
            <w:tcBorders>
              <w:tl2br w:val="nil"/>
              <w:tr2bl w:val="nil"/>
            </w:tcBorders>
            <w:noWrap w:val="0"/>
            <w:vAlign w:val="center"/>
          </w:tcPr>
          <w:p>
            <w:pPr>
              <w:snapToGrid w:val="0"/>
              <w:jc w:val="center"/>
              <w:rPr>
                <w:rFonts w:hint="eastAsia" w:ascii="仿宋" w:hAnsi="仿宋" w:eastAsia="仿宋" w:cs="仿宋"/>
                <w:b/>
                <w:color w:val="auto"/>
                <w:kern w:val="0"/>
                <w:sz w:val="21"/>
                <w:szCs w:val="21"/>
                <w:highlight w:val="none"/>
                <w:lang w:eastAsia="zh-CN"/>
              </w:rPr>
            </w:pPr>
            <w:r>
              <w:rPr>
                <w:rFonts w:hint="eastAsia" w:ascii="仿宋" w:hAnsi="仿宋" w:eastAsia="仿宋" w:cs="仿宋"/>
                <w:b/>
                <w:color w:val="auto"/>
                <w:kern w:val="0"/>
                <w:sz w:val="21"/>
                <w:szCs w:val="21"/>
                <w:highlight w:val="none"/>
                <w:lang w:eastAsia="zh-CN"/>
              </w:rPr>
              <w:t>项目</w:t>
            </w:r>
          </w:p>
        </w:tc>
        <w:tc>
          <w:tcPr>
            <w:tcW w:w="6544" w:type="dxa"/>
            <w:tcBorders>
              <w:tl2br w:val="nil"/>
              <w:tr2bl w:val="nil"/>
            </w:tcBorders>
            <w:noWrap w:val="0"/>
            <w:vAlign w:val="center"/>
          </w:tcPr>
          <w:p>
            <w:pPr>
              <w:widowControl/>
              <w:snapToGrid w:val="0"/>
              <w:jc w:val="center"/>
              <w:rPr>
                <w:rFonts w:hint="eastAsia" w:ascii="仿宋" w:hAnsi="仿宋" w:eastAsia="仿宋" w:cs="仿宋"/>
                <w:b/>
                <w:color w:val="auto"/>
                <w:kern w:val="0"/>
                <w:sz w:val="21"/>
                <w:szCs w:val="21"/>
                <w:highlight w:val="none"/>
                <w:lang w:eastAsia="zh-CN"/>
              </w:rPr>
            </w:pPr>
            <w:r>
              <w:rPr>
                <w:rFonts w:hint="eastAsia" w:ascii="仿宋" w:hAnsi="仿宋" w:eastAsia="仿宋" w:cs="仿宋"/>
                <w:b/>
                <w:color w:val="auto"/>
                <w:kern w:val="0"/>
                <w:sz w:val="21"/>
                <w:szCs w:val="21"/>
                <w:highlight w:val="none"/>
                <w:lang w:eastAsia="zh-CN"/>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878" w:type="dxa"/>
            <w:tcBorders>
              <w:tl2br w:val="nil"/>
              <w:tr2bl w:val="nil"/>
            </w:tcBorders>
            <w:noWrap w:val="0"/>
            <w:vAlign w:val="center"/>
          </w:tcPr>
          <w:p>
            <w:pPr>
              <w:widowControl/>
              <w:snapToGrid w:val="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1.1</w:t>
            </w:r>
          </w:p>
        </w:tc>
        <w:tc>
          <w:tcPr>
            <w:tcW w:w="1029" w:type="dxa"/>
            <w:tcBorders>
              <w:tl2br w:val="nil"/>
              <w:tr2bl w:val="nil"/>
            </w:tcBorders>
            <w:noWrap w:val="0"/>
            <w:vAlign w:val="center"/>
          </w:tcPr>
          <w:p>
            <w:pPr>
              <w:snapToGrid w:val="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采购人</w:t>
            </w:r>
          </w:p>
        </w:tc>
        <w:tc>
          <w:tcPr>
            <w:tcW w:w="6544" w:type="dxa"/>
            <w:tcBorders>
              <w:tl2br w:val="nil"/>
              <w:tr2bl w:val="nil"/>
            </w:tcBorders>
            <w:noWrap w:val="0"/>
            <w:vAlign w:val="center"/>
          </w:tcPr>
          <w:p>
            <w:pPr>
              <w:widowControl/>
              <w:adjustRightInd w:val="0"/>
              <w:snapToGrid w:val="0"/>
              <w:spacing w:line="300" w:lineRule="auto"/>
              <w:jc w:val="left"/>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kern w:val="0"/>
                <w:sz w:val="21"/>
                <w:szCs w:val="21"/>
                <w:highlight w:val="none"/>
                <w:lang w:val="en-US" w:eastAsia="zh-CN"/>
              </w:rPr>
              <w:t>名称：</w:t>
            </w:r>
            <w:r>
              <w:rPr>
                <w:rFonts w:hint="eastAsia" w:ascii="仿宋" w:hAnsi="仿宋" w:eastAsia="仿宋" w:cs="仿宋"/>
                <w:color w:val="auto"/>
                <w:sz w:val="21"/>
                <w:szCs w:val="21"/>
                <w:highlight w:val="none"/>
                <w:u w:val="single"/>
                <w:lang w:val="en-US" w:eastAsia="zh-CN"/>
              </w:rPr>
              <w:t xml:space="preserve"> 营口市老边区住房和城乡建设局</w:t>
            </w:r>
          </w:p>
          <w:p>
            <w:pPr>
              <w:widowControl/>
              <w:adjustRightInd w:val="0"/>
              <w:snapToGrid w:val="0"/>
              <w:spacing w:line="300" w:lineRule="auto"/>
              <w:jc w:val="left"/>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地址：</w:t>
            </w:r>
            <w:r>
              <w:rPr>
                <w:rFonts w:hint="eastAsia" w:ascii="仿宋" w:hAnsi="仿宋" w:eastAsia="仿宋" w:cs="仿宋"/>
                <w:color w:val="auto"/>
                <w:kern w:val="0"/>
                <w:sz w:val="21"/>
                <w:szCs w:val="21"/>
                <w:highlight w:val="none"/>
                <w:u w:val="single"/>
                <w:lang w:val="en-US" w:eastAsia="zh-CN"/>
              </w:rPr>
              <w:t>营口市老边区营东新城东湖大街35号</w:t>
            </w:r>
          </w:p>
          <w:p>
            <w:pPr>
              <w:widowControl/>
              <w:adjustRightInd w:val="0"/>
              <w:snapToGrid w:val="0"/>
              <w:spacing w:line="300" w:lineRule="auto"/>
              <w:jc w:val="left"/>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联系人：</w:t>
            </w:r>
            <w:r>
              <w:rPr>
                <w:rFonts w:hint="eastAsia" w:ascii="仿宋" w:hAnsi="仿宋" w:eastAsia="仿宋" w:cs="仿宋"/>
                <w:color w:val="auto"/>
                <w:kern w:val="0"/>
                <w:sz w:val="21"/>
                <w:szCs w:val="21"/>
                <w:highlight w:val="none"/>
                <w:u w:val="single"/>
                <w:lang w:val="en-US" w:eastAsia="zh-CN"/>
              </w:rPr>
              <w:t>贾工</w:t>
            </w:r>
          </w:p>
          <w:p>
            <w:pPr>
              <w:widowControl/>
              <w:adjustRightInd w:val="0"/>
              <w:snapToGrid w:val="0"/>
              <w:spacing w:line="300" w:lineRule="auto"/>
              <w:jc w:val="left"/>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电话：</w:t>
            </w:r>
            <w:r>
              <w:rPr>
                <w:rFonts w:hint="eastAsia" w:ascii="仿宋" w:hAnsi="仿宋" w:eastAsia="仿宋" w:cs="仿宋"/>
                <w:color w:val="auto"/>
                <w:kern w:val="0"/>
                <w:sz w:val="21"/>
                <w:szCs w:val="21"/>
                <w:highlight w:val="none"/>
                <w:u w:val="single"/>
                <w:lang w:val="en-US" w:eastAsia="zh-CN"/>
              </w:rPr>
              <w:t>0417-3872014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878" w:type="dxa"/>
            <w:tcBorders>
              <w:tl2br w:val="nil"/>
              <w:tr2bl w:val="nil"/>
            </w:tcBorders>
            <w:noWrap w:val="0"/>
            <w:vAlign w:val="center"/>
          </w:tcPr>
          <w:p>
            <w:pPr>
              <w:widowControl/>
              <w:snapToGrid w:val="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1.2</w:t>
            </w:r>
          </w:p>
        </w:tc>
        <w:tc>
          <w:tcPr>
            <w:tcW w:w="1029" w:type="dxa"/>
            <w:tcBorders>
              <w:tl2br w:val="nil"/>
              <w:tr2bl w:val="nil"/>
            </w:tcBorders>
            <w:noWrap w:val="0"/>
            <w:vAlign w:val="center"/>
          </w:tcPr>
          <w:p>
            <w:pPr>
              <w:snapToGrid w:val="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采购代理机构</w:t>
            </w:r>
          </w:p>
        </w:tc>
        <w:tc>
          <w:tcPr>
            <w:tcW w:w="6544" w:type="dxa"/>
            <w:tcBorders>
              <w:tl2br w:val="nil"/>
              <w:tr2bl w:val="nil"/>
            </w:tcBorders>
            <w:noWrap w:val="0"/>
            <w:vAlign w:val="center"/>
          </w:tcPr>
          <w:p>
            <w:pPr>
              <w:adjustRightInd w:val="0"/>
              <w:snapToGrid w:val="0"/>
              <w:spacing w:line="300" w:lineRule="auto"/>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名称：</w:t>
            </w:r>
            <w:r>
              <w:rPr>
                <w:rFonts w:hint="eastAsia" w:ascii="仿宋" w:hAnsi="仿宋" w:eastAsia="仿宋" w:cs="仿宋"/>
                <w:color w:val="auto"/>
                <w:sz w:val="21"/>
                <w:szCs w:val="21"/>
                <w:highlight w:val="none"/>
                <w:u w:val="single"/>
                <w:lang w:eastAsia="zh-CN"/>
              </w:rPr>
              <w:t xml:space="preserve"> 辽宁省昌蕴建设项目咨询有限公司　</w:t>
            </w:r>
          </w:p>
          <w:p>
            <w:pPr>
              <w:adjustRightInd w:val="0"/>
              <w:snapToGrid w:val="0"/>
              <w:spacing w:line="300" w:lineRule="auto"/>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地址：</w:t>
            </w:r>
            <w:r>
              <w:rPr>
                <w:rFonts w:hint="eastAsia" w:ascii="仿宋" w:hAnsi="仿宋" w:eastAsia="仿宋" w:cs="仿宋"/>
                <w:color w:val="auto"/>
                <w:sz w:val="21"/>
                <w:szCs w:val="21"/>
                <w:highlight w:val="none"/>
                <w:u w:val="single"/>
                <w:lang w:eastAsia="zh-CN"/>
              </w:rPr>
              <w:t>营口市站前区体育场南街11-111号</w:t>
            </w:r>
          </w:p>
          <w:p>
            <w:pPr>
              <w:adjustRightInd w:val="0"/>
              <w:snapToGrid w:val="0"/>
              <w:spacing w:line="300" w:lineRule="auto"/>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联系人：</w:t>
            </w:r>
            <w:r>
              <w:rPr>
                <w:rFonts w:hint="eastAsia" w:ascii="仿宋" w:hAnsi="仿宋" w:eastAsia="仿宋" w:cs="仿宋"/>
                <w:color w:val="auto"/>
                <w:sz w:val="21"/>
                <w:szCs w:val="21"/>
                <w:highlight w:val="none"/>
                <w:u w:val="single"/>
                <w:lang w:eastAsia="zh-CN"/>
              </w:rPr>
              <w:t xml:space="preserve">李姗珊  </w:t>
            </w:r>
          </w:p>
          <w:p>
            <w:pPr>
              <w:adjustRightInd w:val="0"/>
              <w:snapToGrid w:val="0"/>
              <w:spacing w:line="300" w:lineRule="auto"/>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电话：</w:t>
            </w:r>
            <w:r>
              <w:rPr>
                <w:rFonts w:hint="eastAsia" w:ascii="仿宋" w:hAnsi="仿宋" w:eastAsia="仿宋" w:cs="仿宋"/>
                <w:color w:val="auto"/>
                <w:sz w:val="21"/>
                <w:szCs w:val="21"/>
                <w:highlight w:val="none"/>
                <w:u w:val="single"/>
                <w:lang w:eastAsia="zh-CN"/>
              </w:rPr>
              <w:t xml:space="preserve">0417-2825552   </w:t>
            </w:r>
          </w:p>
          <w:p>
            <w:pPr>
              <w:widowControl/>
              <w:adjustRightInd w:val="0"/>
              <w:snapToGrid w:val="0"/>
              <w:spacing w:line="300" w:lineRule="auto"/>
              <w:jc w:val="left"/>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sz w:val="21"/>
                <w:szCs w:val="21"/>
                <w:highlight w:val="none"/>
              </w:rPr>
              <w:t>电子邮件：</w:t>
            </w:r>
            <w:r>
              <w:rPr>
                <w:rFonts w:hint="eastAsia" w:ascii="仿宋" w:hAnsi="仿宋" w:eastAsia="仿宋" w:cs="仿宋"/>
                <w:color w:val="auto"/>
                <w:sz w:val="21"/>
                <w:szCs w:val="21"/>
                <w:highlight w:val="none"/>
                <w:u w:val="single"/>
                <w:lang w:eastAsia="zh-CN"/>
              </w:rPr>
              <w:t>ykjiutong@163.com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878" w:type="dxa"/>
            <w:tcBorders>
              <w:tl2br w:val="nil"/>
              <w:tr2bl w:val="nil"/>
            </w:tcBorders>
            <w:noWrap w:val="0"/>
            <w:vAlign w:val="center"/>
          </w:tcPr>
          <w:p>
            <w:pPr>
              <w:widowControl/>
              <w:snapToGrid w:val="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1.3.4</w:t>
            </w:r>
          </w:p>
        </w:tc>
        <w:tc>
          <w:tcPr>
            <w:tcW w:w="1029" w:type="dxa"/>
            <w:tcBorders>
              <w:tl2br w:val="nil"/>
              <w:tr2bl w:val="nil"/>
            </w:tcBorders>
            <w:noWrap w:val="0"/>
            <w:vAlign w:val="center"/>
          </w:tcPr>
          <w:p>
            <w:pPr>
              <w:snapToGrid w:val="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合格供应商还要满足的其它资格条件</w:t>
            </w:r>
          </w:p>
        </w:tc>
        <w:tc>
          <w:tcPr>
            <w:tcW w:w="6544" w:type="dxa"/>
            <w:tcBorders>
              <w:tl2br w:val="nil"/>
              <w:tr2bl w:val="nil"/>
            </w:tcBorders>
            <w:noWrap w:val="0"/>
            <w:vAlign w:val="center"/>
          </w:tcPr>
          <w:p>
            <w:pPr>
              <w:widowControl/>
              <w:numPr>
                <w:ilvl w:val="0"/>
                <w:numId w:val="0"/>
              </w:numPr>
              <w:adjustRightInd w:val="0"/>
              <w:snapToGrid w:val="0"/>
              <w:spacing w:line="300" w:lineRule="auto"/>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kern w:val="2"/>
                <w:sz w:val="21"/>
                <w:szCs w:val="21"/>
                <w:highlight w:val="none"/>
                <w:lang w:val="en-US" w:eastAsia="zh-CN" w:bidi="ar-SA"/>
              </w:rPr>
              <w:t>(1)</w:t>
            </w:r>
            <w:r>
              <w:rPr>
                <w:rFonts w:hint="eastAsia" w:ascii="仿宋" w:hAnsi="仿宋" w:eastAsia="仿宋" w:cs="仿宋"/>
                <w:color w:val="auto"/>
                <w:sz w:val="21"/>
                <w:szCs w:val="21"/>
                <w:highlight w:val="none"/>
                <w:lang w:eastAsia="zh-CN"/>
              </w:rPr>
              <w:t xml:space="preserve">具有国家建设行政主管部门核发的市政公用工程施工总承包三级（含）以上资质； </w:t>
            </w:r>
          </w:p>
          <w:p>
            <w:pPr>
              <w:widowControl/>
              <w:numPr>
                <w:ilvl w:val="0"/>
                <w:numId w:val="0"/>
              </w:numPr>
              <w:adjustRightInd w:val="0"/>
              <w:snapToGrid w:val="0"/>
              <w:spacing w:line="300" w:lineRule="auto"/>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kern w:val="2"/>
                <w:sz w:val="21"/>
                <w:szCs w:val="21"/>
                <w:highlight w:val="none"/>
                <w:lang w:val="en-US" w:eastAsia="zh-CN" w:bidi="ar-SA"/>
              </w:rPr>
              <w:t>(2)</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eastAsia="zh-CN"/>
              </w:rPr>
              <w:t>拟投入本项目的项目经理须具有市政公用工程专业二级（含二级）以上注册证书，并具备有效的安全生产考核合格证(B证)</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eastAsia="zh-CN"/>
              </w:rPr>
              <w:t>；</w:t>
            </w:r>
          </w:p>
          <w:p>
            <w:pPr>
              <w:widowControl/>
              <w:adjustRightInd w:val="0"/>
              <w:snapToGrid w:val="0"/>
              <w:spacing w:line="300" w:lineRule="auto"/>
              <w:jc w:val="left"/>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sz w:val="21"/>
                <w:szCs w:val="21"/>
                <w:highlight w:val="none"/>
              </w:rPr>
              <w:t>(3)具有建设行政主管部门核发的有效期内的安全生产许可证</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878" w:type="dxa"/>
            <w:tcBorders>
              <w:tl2br w:val="nil"/>
              <w:tr2bl w:val="nil"/>
            </w:tcBorders>
            <w:noWrap w:val="0"/>
            <w:vAlign w:val="center"/>
          </w:tcPr>
          <w:p>
            <w:pPr>
              <w:widowControl/>
              <w:snapToGrid w:val="0"/>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1.3.5</w:t>
            </w:r>
          </w:p>
        </w:tc>
        <w:tc>
          <w:tcPr>
            <w:tcW w:w="1029" w:type="dxa"/>
            <w:tcBorders>
              <w:tl2br w:val="nil"/>
              <w:tr2bl w:val="nil"/>
            </w:tcBorders>
            <w:noWrap w:val="0"/>
            <w:vAlign w:val="center"/>
          </w:tcPr>
          <w:p>
            <w:pPr>
              <w:tabs>
                <w:tab w:val="left" w:pos="1425"/>
              </w:tabs>
              <w:snapToGrid w:val="0"/>
              <w:jc w:val="center"/>
              <w:rPr>
                <w:rFonts w:hint="eastAsia" w:ascii="仿宋" w:hAnsi="仿宋" w:eastAsia="仿宋" w:cs="仿宋"/>
                <w:bCs/>
                <w:color w:val="auto"/>
                <w:kern w:val="0"/>
                <w:sz w:val="21"/>
                <w:szCs w:val="21"/>
                <w:highlight w:val="none"/>
              </w:rPr>
            </w:pPr>
            <w:r>
              <w:rPr>
                <w:rFonts w:hint="eastAsia" w:ascii="仿宋" w:hAnsi="仿宋" w:eastAsia="仿宋" w:cs="仿宋"/>
                <w:bCs/>
                <w:color w:val="auto"/>
                <w:kern w:val="0"/>
                <w:sz w:val="21"/>
                <w:szCs w:val="21"/>
                <w:highlight w:val="none"/>
              </w:rPr>
              <w:t>是否为专门面向中小企业采购</w:t>
            </w:r>
          </w:p>
        </w:tc>
        <w:tc>
          <w:tcPr>
            <w:tcW w:w="6544" w:type="dxa"/>
            <w:tcBorders>
              <w:tl2br w:val="nil"/>
              <w:tr2bl w:val="nil"/>
            </w:tcBorders>
            <w:noWrap w:val="0"/>
            <w:vAlign w:val="center"/>
          </w:tcPr>
          <w:p>
            <w:pPr>
              <w:adjustRightInd w:val="0"/>
              <w:snapToGrid w:val="0"/>
              <w:spacing w:line="300" w:lineRule="auto"/>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sym w:font="Wingdings 2" w:char="0052"/>
            </w:r>
            <w:r>
              <w:rPr>
                <w:rFonts w:hint="eastAsia" w:ascii="仿宋" w:hAnsi="仿宋" w:eastAsia="仿宋" w:cs="仿宋"/>
                <w:color w:val="auto"/>
                <w:kern w:val="0"/>
                <w:sz w:val="21"/>
                <w:szCs w:val="21"/>
                <w:highlight w:val="none"/>
              </w:rPr>
              <w:t>是</w:t>
            </w:r>
          </w:p>
          <w:p>
            <w:pPr>
              <w:adjustRightInd w:val="0"/>
              <w:snapToGrid w:val="0"/>
              <w:spacing w:line="300" w:lineRule="auto"/>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sym w:font="Wingdings 2" w:char="00A3"/>
            </w:r>
            <w:r>
              <w:rPr>
                <w:rFonts w:hint="eastAsia" w:ascii="仿宋" w:hAnsi="仿宋" w:eastAsia="仿宋" w:cs="仿宋"/>
                <w:color w:val="auto"/>
                <w:kern w:val="0"/>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878" w:type="dxa"/>
            <w:tcBorders>
              <w:tl2br w:val="nil"/>
              <w:tr2bl w:val="nil"/>
            </w:tcBorders>
            <w:noWrap w:val="0"/>
            <w:vAlign w:val="center"/>
          </w:tcPr>
          <w:p>
            <w:pPr>
              <w:widowControl/>
              <w:snapToGrid w:val="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1.4</w:t>
            </w:r>
          </w:p>
        </w:tc>
        <w:tc>
          <w:tcPr>
            <w:tcW w:w="1029" w:type="dxa"/>
            <w:tcBorders>
              <w:tl2br w:val="nil"/>
              <w:tr2bl w:val="nil"/>
            </w:tcBorders>
            <w:noWrap w:val="0"/>
            <w:vAlign w:val="center"/>
          </w:tcPr>
          <w:p>
            <w:pPr>
              <w:tabs>
                <w:tab w:val="left" w:pos="1425"/>
              </w:tabs>
              <w:snapToGrid w:val="0"/>
              <w:jc w:val="center"/>
              <w:rPr>
                <w:rFonts w:hint="eastAsia" w:ascii="仿宋" w:hAnsi="仿宋" w:eastAsia="仿宋" w:cs="仿宋"/>
                <w:color w:val="auto"/>
                <w:sz w:val="21"/>
                <w:szCs w:val="21"/>
                <w:highlight w:val="none"/>
              </w:rPr>
            </w:pPr>
            <w:r>
              <w:rPr>
                <w:rFonts w:hint="eastAsia" w:ascii="仿宋" w:hAnsi="仿宋" w:eastAsia="仿宋" w:cs="仿宋"/>
                <w:bCs/>
                <w:color w:val="auto"/>
                <w:kern w:val="0"/>
                <w:sz w:val="21"/>
                <w:szCs w:val="21"/>
                <w:highlight w:val="none"/>
              </w:rPr>
              <w:t>是否允许联合体参加政府采购活动</w:t>
            </w:r>
          </w:p>
        </w:tc>
        <w:tc>
          <w:tcPr>
            <w:tcW w:w="6544" w:type="dxa"/>
            <w:tcBorders>
              <w:tl2br w:val="nil"/>
              <w:tr2bl w:val="nil"/>
            </w:tcBorders>
            <w:noWrap w:val="0"/>
            <w:vAlign w:val="center"/>
          </w:tcPr>
          <w:p>
            <w:pPr>
              <w:adjustRightInd w:val="0"/>
              <w:snapToGrid w:val="0"/>
              <w:spacing w:line="300" w:lineRule="auto"/>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sym w:font="Wingdings 2" w:char="00A3"/>
            </w:r>
            <w:r>
              <w:rPr>
                <w:rFonts w:hint="eastAsia" w:ascii="仿宋" w:hAnsi="仿宋" w:eastAsia="仿宋" w:cs="仿宋"/>
                <w:color w:val="auto"/>
                <w:kern w:val="0"/>
                <w:sz w:val="21"/>
                <w:szCs w:val="21"/>
                <w:highlight w:val="none"/>
              </w:rPr>
              <w:t>是</w:t>
            </w:r>
          </w:p>
          <w:p>
            <w:pPr>
              <w:adjustRightInd w:val="0"/>
              <w:snapToGrid w:val="0"/>
              <w:spacing w:line="300" w:lineRule="auto"/>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sym w:font="Wingdings 2" w:char="0052"/>
            </w:r>
            <w:r>
              <w:rPr>
                <w:rFonts w:hint="eastAsia" w:ascii="仿宋" w:hAnsi="仿宋" w:eastAsia="仿宋" w:cs="仿宋"/>
                <w:color w:val="auto"/>
                <w:kern w:val="0"/>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878" w:type="dxa"/>
            <w:tcBorders>
              <w:tl2br w:val="nil"/>
              <w:tr2bl w:val="nil"/>
            </w:tcBorders>
            <w:noWrap w:val="0"/>
            <w:vAlign w:val="center"/>
          </w:tcPr>
          <w:p>
            <w:pPr>
              <w:widowControl/>
              <w:snapToGrid w:val="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1.4.8</w:t>
            </w:r>
          </w:p>
        </w:tc>
        <w:tc>
          <w:tcPr>
            <w:tcW w:w="1029" w:type="dxa"/>
            <w:tcBorders>
              <w:tl2br w:val="nil"/>
              <w:tr2bl w:val="nil"/>
            </w:tcBorders>
            <w:noWrap w:val="0"/>
            <w:vAlign w:val="center"/>
          </w:tcPr>
          <w:p>
            <w:pPr>
              <w:tabs>
                <w:tab w:val="left" w:pos="1425"/>
              </w:tabs>
              <w:snapToGrid w:val="0"/>
              <w:jc w:val="center"/>
              <w:rPr>
                <w:rFonts w:hint="eastAsia" w:ascii="仿宋" w:hAnsi="仿宋" w:eastAsia="仿宋" w:cs="仿宋"/>
                <w:color w:val="auto"/>
                <w:sz w:val="21"/>
                <w:szCs w:val="21"/>
                <w:highlight w:val="none"/>
              </w:rPr>
            </w:pPr>
            <w:r>
              <w:rPr>
                <w:rFonts w:hint="eastAsia" w:ascii="仿宋" w:hAnsi="仿宋" w:eastAsia="仿宋" w:cs="仿宋"/>
                <w:bCs/>
                <w:color w:val="auto"/>
                <w:kern w:val="0"/>
                <w:sz w:val="21"/>
                <w:szCs w:val="21"/>
                <w:highlight w:val="none"/>
              </w:rPr>
              <w:t>联合体的其他资格要求</w:t>
            </w:r>
          </w:p>
        </w:tc>
        <w:tc>
          <w:tcPr>
            <w:tcW w:w="6544" w:type="dxa"/>
            <w:tcBorders>
              <w:tl2br w:val="nil"/>
              <w:tr2bl w:val="nil"/>
            </w:tcBorders>
            <w:noWrap w:val="0"/>
            <w:vAlign w:val="center"/>
          </w:tcPr>
          <w:p>
            <w:pPr>
              <w:adjustRightInd w:val="0"/>
              <w:snapToGrid w:val="0"/>
              <w:spacing w:line="300" w:lineRule="auto"/>
              <w:jc w:val="left"/>
              <w:rPr>
                <w:rFonts w:hint="eastAsia" w:ascii="仿宋" w:hAnsi="仿宋" w:eastAsia="仿宋" w:cs="仿宋"/>
                <w:bCs/>
                <w:color w:val="auto"/>
                <w:kern w:val="0"/>
                <w:sz w:val="21"/>
                <w:szCs w:val="21"/>
                <w:highlight w:val="none"/>
              </w:rPr>
            </w:pPr>
            <w:r>
              <w:rPr>
                <w:rFonts w:hint="eastAsia" w:ascii="仿宋" w:hAnsi="仿宋" w:eastAsia="仿宋" w:cs="仿宋"/>
                <w:bCs/>
                <w:color w:val="auto"/>
                <w:kern w:val="0"/>
                <w:sz w:val="21"/>
                <w:szCs w:val="21"/>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878" w:type="dxa"/>
            <w:tcBorders>
              <w:tl2br w:val="nil"/>
              <w:tr2bl w:val="nil"/>
            </w:tcBorders>
            <w:noWrap w:val="0"/>
            <w:vAlign w:val="center"/>
          </w:tcPr>
          <w:p>
            <w:pPr>
              <w:snapToGrid w:val="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2.2</w:t>
            </w:r>
          </w:p>
        </w:tc>
        <w:tc>
          <w:tcPr>
            <w:tcW w:w="1029" w:type="dxa"/>
            <w:tcBorders>
              <w:tl2br w:val="nil"/>
              <w:tr2bl w:val="nil"/>
            </w:tcBorders>
            <w:noWrap w:val="0"/>
            <w:vAlign w:val="center"/>
          </w:tcPr>
          <w:p>
            <w:pPr>
              <w:tabs>
                <w:tab w:val="left" w:pos="1425"/>
              </w:tabs>
              <w:snapToGrid w:val="0"/>
              <w:jc w:val="center"/>
              <w:rPr>
                <w:rFonts w:hint="eastAsia" w:ascii="仿宋" w:hAnsi="仿宋" w:eastAsia="仿宋" w:cs="仿宋"/>
                <w:bCs/>
                <w:color w:val="auto"/>
                <w:kern w:val="0"/>
                <w:sz w:val="21"/>
                <w:szCs w:val="21"/>
                <w:highlight w:val="none"/>
              </w:rPr>
            </w:pPr>
            <w:r>
              <w:rPr>
                <w:rFonts w:hint="eastAsia" w:ascii="仿宋" w:hAnsi="仿宋" w:eastAsia="仿宋" w:cs="仿宋"/>
                <w:bCs/>
                <w:color w:val="auto"/>
                <w:kern w:val="0"/>
                <w:sz w:val="21"/>
                <w:szCs w:val="21"/>
                <w:highlight w:val="none"/>
              </w:rPr>
              <w:t>项目预算金额、最高限价</w:t>
            </w:r>
          </w:p>
        </w:tc>
        <w:tc>
          <w:tcPr>
            <w:tcW w:w="6544" w:type="dxa"/>
            <w:tcBorders>
              <w:tl2br w:val="nil"/>
              <w:tr2bl w:val="nil"/>
            </w:tcBorders>
            <w:noWrap w:val="0"/>
            <w:vAlign w:val="center"/>
          </w:tcPr>
          <w:p>
            <w:pPr>
              <w:adjustRightInd w:val="0"/>
              <w:snapToGrid w:val="0"/>
              <w:spacing w:line="300" w:lineRule="auto"/>
              <w:jc w:val="left"/>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项目预算：人民币</w:t>
            </w:r>
            <w:r>
              <w:rPr>
                <w:rFonts w:hint="eastAsia" w:ascii="仿宋" w:hAnsi="仿宋" w:eastAsia="仿宋" w:cs="仿宋"/>
                <w:color w:val="auto"/>
                <w:kern w:val="0"/>
                <w:sz w:val="21"/>
                <w:szCs w:val="21"/>
                <w:highlight w:val="none"/>
                <w:u w:val="single"/>
                <w:lang w:val="en-US" w:eastAsia="zh-CN"/>
              </w:rPr>
              <w:t>1,931,183.34</w:t>
            </w:r>
            <w:r>
              <w:rPr>
                <w:rFonts w:hint="eastAsia" w:ascii="仿宋" w:hAnsi="仿宋" w:eastAsia="仿宋" w:cs="仿宋"/>
                <w:color w:val="auto"/>
                <w:kern w:val="0"/>
                <w:sz w:val="21"/>
                <w:szCs w:val="21"/>
                <w:highlight w:val="none"/>
              </w:rPr>
              <w:t>元</w:t>
            </w:r>
          </w:p>
          <w:p>
            <w:pPr>
              <w:adjustRightInd w:val="0"/>
              <w:snapToGrid w:val="0"/>
              <w:spacing w:line="300" w:lineRule="auto"/>
              <w:jc w:val="left"/>
              <w:rPr>
                <w:rFonts w:hint="eastAsia" w:ascii="仿宋" w:hAnsi="仿宋" w:eastAsia="仿宋" w:cs="仿宋"/>
                <w:bCs/>
                <w:color w:val="auto"/>
                <w:kern w:val="0"/>
                <w:sz w:val="21"/>
                <w:szCs w:val="21"/>
                <w:highlight w:val="none"/>
                <w:lang w:eastAsia="zh-CN"/>
              </w:rPr>
            </w:pPr>
            <w:r>
              <w:rPr>
                <w:rFonts w:hint="eastAsia" w:ascii="仿宋" w:hAnsi="仿宋" w:eastAsia="仿宋" w:cs="仿宋"/>
                <w:color w:val="auto"/>
                <w:kern w:val="0"/>
                <w:sz w:val="21"/>
                <w:szCs w:val="21"/>
                <w:highlight w:val="none"/>
              </w:rPr>
              <w:t>最高限价：人民币</w:t>
            </w:r>
            <w:r>
              <w:rPr>
                <w:rFonts w:hint="eastAsia" w:ascii="仿宋" w:hAnsi="仿宋" w:eastAsia="仿宋" w:cs="仿宋"/>
                <w:color w:val="auto"/>
                <w:kern w:val="0"/>
                <w:sz w:val="21"/>
                <w:szCs w:val="21"/>
                <w:highlight w:val="none"/>
                <w:u w:val="single"/>
                <w:lang w:val="en-US" w:eastAsia="zh-CN"/>
              </w:rPr>
              <w:t>1,931,183.34</w:t>
            </w:r>
            <w:r>
              <w:rPr>
                <w:rFonts w:hint="eastAsia" w:ascii="仿宋" w:hAnsi="仿宋" w:eastAsia="仿宋" w:cs="仿宋"/>
                <w:color w:val="auto"/>
                <w:kern w:val="0"/>
                <w:sz w:val="21"/>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878" w:type="dxa"/>
            <w:tcBorders>
              <w:tl2br w:val="nil"/>
              <w:tr2bl w:val="nil"/>
            </w:tcBorders>
            <w:noWrap w:val="0"/>
            <w:vAlign w:val="center"/>
          </w:tcPr>
          <w:p>
            <w:pPr>
              <w:widowControl/>
              <w:snapToGrid w:val="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w:t>
            </w:r>
          </w:p>
        </w:tc>
        <w:tc>
          <w:tcPr>
            <w:tcW w:w="1029" w:type="dxa"/>
            <w:tcBorders>
              <w:tl2br w:val="nil"/>
              <w:tr2bl w:val="nil"/>
            </w:tcBorders>
            <w:noWrap w:val="0"/>
            <w:vAlign w:val="center"/>
          </w:tcPr>
          <w:p>
            <w:pPr>
              <w:tabs>
                <w:tab w:val="left" w:pos="1425"/>
              </w:tabs>
              <w:snapToGrid w:val="0"/>
              <w:jc w:val="center"/>
              <w:rPr>
                <w:rFonts w:hint="eastAsia" w:ascii="仿宋" w:hAnsi="仿宋" w:eastAsia="仿宋" w:cs="仿宋"/>
                <w:bCs/>
                <w:color w:val="auto"/>
                <w:kern w:val="0"/>
                <w:sz w:val="21"/>
                <w:szCs w:val="21"/>
                <w:highlight w:val="none"/>
              </w:rPr>
            </w:pPr>
            <w:r>
              <w:rPr>
                <w:rFonts w:hint="eastAsia" w:ascii="仿宋" w:hAnsi="仿宋" w:eastAsia="仿宋" w:cs="仿宋"/>
                <w:bCs/>
                <w:color w:val="auto"/>
                <w:kern w:val="0"/>
                <w:sz w:val="21"/>
                <w:szCs w:val="21"/>
                <w:highlight w:val="none"/>
              </w:rPr>
              <w:t>计量单位</w:t>
            </w:r>
          </w:p>
        </w:tc>
        <w:tc>
          <w:tcPr>
            <w:tcW w:w="6544" w:type="dxa"/>
            <w:tcBorders>
              <w:tl2br w:val="nil"/>
              <w:tr2bl w:val="nil"/>
            </w:tcBorders>
            <w:noWrap w:val="0"/>
            <w:vAlign w:val="center"/>
          </w:tcPr>
          <w:p>
            <w:pPr>
              <w:adjustRightInd w:val="0"/>
              <w:snapToGrid w:val="0"/>
              <w:spacing w:line="300" w:lineRule="auto"/>
              <w:jc w:val="left"/>
              <w:rPr>
                <w:rFonts w:hint="eastAsia" w:ascii="仿宋" w:hAnsi="仿宋" w:eastAsia="仿宋" w:cs="仿宋"/>
                <w:bCs/>
                <w:color w:val="auto"/>
                <w:kern w:val="0"/>
                <w:sz w:val="21"/>
                <w:szCs w:val="21"/>
                <w:highlight w:val="none"/>
              </w:rPr>
            </w:pPr>
            <w:r>
              <w:rPr>
                <w:rFonts w:hint="eastAsia" w:ascii="仿宋" w:hAnsi="仿宋" w:eastAsia="仿宋" w:cs="仿宋"/>
                <w:bCs/>
                <w:color w:val="auto"/>
                <w:kern w:val="0"/>
                <w:sz w:val="21"/>
                <w:szCs w:val="21"/>
                <w:highlight w:val="none"/>
              </w:rPr>
              <w:sym w:font="Wingdings 2" w:char="0052"/>
            </w:r>
            <w:r>
              <w:rPr>
                <w:rFonts w:hint="eastAsia" w:ascii="仿宋" w:hAnsi="仿宋" w:eastAsia="仿宋" w:cs="仿宋"/>
                <w:bCs/>
                <w:color w:val="auto"/>
                <w:kern w:val="0"/>
                <w:sz w:val="21"/>
                <w:szCs w:val="21"/>
                <w:highlight w:val="none"/>
              </w:rPr>
              <w:t>中华人民共和国法定计量单位</w:t>
            </w:r>
          </w:p>
          <w:p>
            <w:pPr>
              <w:adjustRightInd w:val="0"/>
              <w:snapToGrid w:val="0"/>
              <w:spacing w:line="300" w:lineRule="auto"/>
              <w:jc w:val="left"/>
              <w:rPr>
                <w:rFonts w:hint="eastAsia" w:ascii="仿宋" w:hAnsi="仿宋" w:eastAsia="仿宋" w:cs="仿宋"/>
                <w:bCs/>
                <w:color w:val="auto"/>
                <w:kern w:val="0"/>
                <w:sz w:val="21"/>
                <w:szCs w:val="21"/>
                <w:highlight w:val="none"/>
              </w:rPr>
            </w:pPr>
            <w:r>
              <w:rPr>
                <w:rFonts w:hint="eastAsia" w:ascii="仿宋" w:hAnsi="仿宋" w:eastAsia="仿宋" w:cs="仿宋"/>
                <w:bCs/>
                <w:color w:val="auto"/>
                <w:kern w:val="0"/>
                <w:sz w:val="21"/>
                <w:szCs w:val="21"/>
                <w:highlight w:val="none"/>
              </w:rPr>
              <w:sym w:font="Wingdings 2" w:char="00A3"/>
            </w:r>
            <w:r>
              <w:rPr>
                <w:rFonts w:hint="eastAsia" w:ascii="仿宋" w:hAnsi="仿宋" w:eastAsia="仿宋" w:cs="仿宋"/>
                <w:bCs/>
                <w:color w:val="auto"/>
                <w:kern w:val="0"/>
                <w:sz w:val="21"/>
                <w:szCs w:val="21"/>
                <w:highlight w:val="none"/>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878" w:type="dxa"/>
            <w:tcBorders>
              <w:tl2br w:val="nil"/>
              <w:tr2bl w:val="nil"/>
            </w:tcBorders>
            <w:noWrap w:val="0"/>
            <w:vAlign w:val="center"/>
          </w:tcPr>
          <w:p>
            <w:pPr>
              <w:widowControl/>
              <w:snapToGrid w:val="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6.1</w:t>
            </w:r>
          </w:p>
        </w:tc>
        <w:tc>
          <w:tcPr>
            <w:tcW w:w="1029" w:type="dxa"/>
            <w:tcBorders>
              <w:tl2br w:val="nil"/>
              <w:tr2bl w:val="nil"/>
            </w:tcBorders>
            <w:noWrap w:val="0"/>
            <w:vAlign w:val="center"/>
          </w:tcPr>
          <w:p>
            <w:pPr>
              <w:tabs>
                <w:tab w:val="left" w:pos="1425"/>
              </w:tabs>
              <w:snapToGrid w:val="0"/>
              <w:jc w:val="center"/>
              <w:rPr>
                <w:rFonts w:hint="eastAsia" w:ascii="仿宋" w:hAnsi="仿宋" w:eastAsia="仿宋" w:cs="仿宋"/>
                <w:bCs/>
                <w:color w:val="auto"/>
                <w:kern w:val="0"/>
                <w:sz w:val="21"/>
                <w:szCs w:val="21"/>
                <w:highlight w:val="none"/>
              </w:rPr>
            </w:pPr>
            <w:r>
              <w:rPr>
                <w:rFonts w:hint="eastAsia" w:ascii="仿宋" w:hAnsi="仿宋" w:eastAsia="仿宋" w:cs="仿宋"/>
                <w:bCs/>
                <w:color w:val="auto"/>
                <w:kern w:val="0"/>
                <w:sz w:val="21"/>
                <w:szCs w:val="21"/>
                <w:highlight w:val="none"/>
              </w:rPr>
              <w:t>现场考察、磋商前答疑会</w:t>
            </w:r>
          </w:p>
        </w:tc>
        <w:tc>
          <w:tcPr>
            <w:tcW w:w="6544" w:type="dxa"/>
            <w:tcBorders>
              <w:tl2br w:val="nil"/>
              <w:tr2bl w:val="nil"/>
            </w:tcBorders>
            <w:noWrap w:val="0"/>
            <w:vAlign w:val="center"/>
          </w:tcPr>
          <w:p>
            <w:pPr>
              <w:adjustRightInd w:val="0"/>
              <w:snapToGrid w:val="0"/>
              <w:spacing w:line="300" w:lineRule="auto"/>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sym w:font="Wingdings 2" w:char="0052"/>
            </w:r>
            <w:r>
              <w:rPr>
                <w:rFonts w:hint="eastAsia" w:ascii="仿宋" w:hAnsi="仿宋" w:eastAsia="仿宋" w:cs="仿宋"/>
                <w:color w:val="auto"/>
                <w:kern w:val="0"/>
                <w:sz w:val="21"/>
                <w:szCs w:val="21"/>
                <w:highlight w:val="none"/>
              </w:rPr>
              <w:t>不组织</w:t>
            </w:r>
          </w:p>
          <w:p>
            <w:pPr>
              <w:adjustRightInd w:val="0"/>
              <w:snapToGrid w:val="0"/>
              <w:spacing w:line="300" w:lineRule="auto"/>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sym w:font="Wingdings 2" w:char="00A3"/>
            </w:r>
            <w:r>
              <w:rPr>
                <w:rFonts w:hint="eastAsia" w:ascii="仿宋" w:hAnsi="仿宋" w:eastAsia="仿宋" w:cs="仿宋"/>
                <w:color w:val="auto"/>
                <w:kern w:val="0"/>
                <w:sz w:val="21"/>
                <w:szCs w:val="21"/>
                <w:highlight w:val="none"/>
              </w:rPr>
              <w:t>组织，时  间：</w:t>
            </w:r>
            <w:r>
              <w:rPr>
                <w:rFonts w:hint="eastAsia" w:ascii="仿宋" w:hAnsi="仿宋" w:eastAsia="仿宋" w:cs="仿宋"/>
                <w:bCs/>
                <w:color w:val="auto"/>
                <w:kern w:val="0"/>
                <w:sz w:val="21"/>
                <w:szCs w:val="21"/>
                <w:highlight w:val="none"/>
                <w:u w:val="single"/>
              </w:rPr>
              <w:t xml:space="preserve">         </w:t>
            </w:r>
          </w:p>
          <w:p>
            <w:pPr>
              <w:widowControl/>
              <w:adjustRightInd w:val="0"/>
              <w:snapToGrid w:val="0"/>
              <w:spacing w:line="300" w:lineRule="auto"/>
              <w:ind w:left="-105" w:leftChars="-50" w:firstLine="949" w:firstLineChars="452"/>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地  点：</w:t>
            </w:r>
            <w:r>
              <w:rPr>
                <w:rFonts w:hint="eastAsia" w:ascii="仿宋" w:hAnsi="仿宋" w:eastAsia="仿宋" w:cs="仿宋"/>
                <w:bCs/>
                <w:color w:val="auto"/>
                <w:kern w:val="0"/>
                <w:sz w:val="21"/>
                <w:szCs w:val="21"/>
                <w:highlight w:val="none"/>
                <w:u w:val="single"/>
              </w:rPr>
              <w:t xml:space="preserve">         </w:t>
            </w:r>
          </w:p>
          <w:p>
            <w:pPr>
              <w:adjustRightInd w:val="0"/>
              <w:snapToGrid w:val="0"/>
              <w:spacing w:line="300" w:lineRule="auto"/>
              <w:ind w:left="-105" w:leftChars="-50" w:firstLine="949" w:firstLineChars="452"/>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联系人：</w:t>
            </w:r>
            <w:r>
              <w:rPr>
                <w:rFonts w:hint="eastAsia" w:ascii="仿宋" w:hAnsi="仿宋" w:eastAsia="仿宋" w:cs="仿宋"/>
                <w:bCs/>
                <w:color w:val="auto"/>
                <w:kern w:val="0"/>
                <w:sz w:val="21"/>
                <w:szCs w:val="21"/>
                <w:highlight w:val="none"/>
                <w:u w:val="single"/>
              </w:rPr>
              <w:t xml:space="preserve">         </w:t>
            </w:r>
          </w:p>
          <w:p>
            <w:pPr>
              <w:adjustRightInd w:val="0"/>
              <w:snapToGrid w:val="0"/>
              <w:spacing w:line="300" w:lineRule="auto"/>
              <w:ind w:left="-105" w:leftChars="-50" w:firstLine="949" w:firstLineChars="452"/>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电  话：</w:t>
            </w:r>
            <w:r>
              <w:rPr>
                <w:rFonts w:hint="eastAsia" w:ascii="仿宋" w:hAnsi="仿宋" w:eastAsia="仿宋" w:cs="仿宋"/>
                <w:bCs/>
                <w:color w:val="auto"/>
                <w:kern w:val="0"/>
                <w:sz w:val="21"/>
                <w:szCs w:val="21"/>
                <w:highlight w:val="none"/>
                <w:u w:val="single"/>
              </w:rPr>
              <w:t xml:space="preserve">         </w:t>
            </w:r>
          </w:p>
          <w:p>
            <w:pPr>
              <w:adjustRightInd w:val="0"/>
              <w:snapToGrid w:val="0"/>
              <w:spacing w:line="300" w:lineRule="auto"/>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sym w:font="Wingdings 2" w:char="00A3"/>
            </w:r>
            <w:r>
              <w:rPr>
                <w:rFonts w:hint="eastAsia" w:ascii="仿宋" w:hAnsi="仿宋" w:eastAsia="仿宋" w:cs="仿宋"/>
                <w:color w:val="auto"/>
                <w:kern w:val="0"/>
                <w:sz w:val="21"/>
                <w:szCs w:val="21"/>
                <w:highlight w:val="none"/>
              </w:rPr>
              <w:t>组织，采购文件提供期限截止后以书面形式通知。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878" w:type="dxa"/>
            <w:tcBorders>
              <w:tl2br w:val="nil"/>
              <w:tr2bl w:val="nil"/>
            </w:tcBorders>
            <w:noWrap w:val="0"/>
            <w:vAlign w:val="center"/>
          </w:tcPr>
          <w:p>
            <w:pPr>
              <w:widowControl/>
              <w:snapToGrid w:val="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11.3</w:t>
            </w:r>
          </w:p>
        </w:tc>
        <w:tc>
          <w:tcPr>
            <w:tcW w:w="1029" w:type="dxa"/>
            <w:tcBorders>
              <w:tl2br w:val="nil"/>
              <w:tr2bl w:val="nil"/>
            </w:tcBorders>
            <w:noWrap w:val="0"/>
            <w:vAlign w:val="center"/>
          </w:tcPr>
          <w:p>
            <w:pPr>
              <w:tabs>
                <w:tab w:val="left" w:pos="1425"/>
              </w:tabs>
              <w:snapToGrid w:val="0"/>
              <w:jc w:val="center"/>
              <w:rPr>
                <w:rFonts w:hint="eastAsia" w:ascii="仿宋" w:hAnsi="仿宋" w:eastAsia="仿宋" w:cs="仿宋"/>
                <w:bCs/>
                <w:color w:val="auto"/>
                <w:kern w:val="0"/>
                <w:sz w:val="21"/>
                <w:szCs w:val="21"/>
                <w:highlight w:val="none"/>
              </w:rPr>
            </w:pPr>
            <w:r>
              <w:rPr>
                <w:rFonts w:hint="eastAsia" w:ascii="仿宋" w:hAnsi="仿宋" w:eastAsia="仿宋" w:cs="仿宋"/>
                <w:bCs/>
                <w:color w:val="auto"/>
                <w:kern w:val="0"/>
                <w:sz w:val="21"/>
                <w:szCs w:val="21"/>
                <w:highlight w:val="none"/>
              </w:rPr>
              <w:t>样品或演示</w:t>
            </w:r>
          </w:p>
        </w:tc>
        <w:tc>
          <w:tcPr>
            <w:tcW w:w="6544" w:type="dxa"/>
            <w:tcBorders>
              <w:tl2br w:val="nil"/>
              <w:tr2bl w:val="nil"/>
            </w:tcBorders>
            <w:noWrap w:val="0"/>
            <w:vAlign w:val="center"/>
          </w:tcPr>
          <w:p>
            <w:pPr>
              <w:adjustRightInd w:val="0"/>
              <w:snapToGrid w:val="0"/>
              <w:spacing w:line="300" w:lineRule="auto"/>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sym w:font="Wingdings 2" w:char="0052"/>
            </w:r>
            <w:r>
              <w:rPr>
                <w:rFonts w:hint="eastAsia" w:ascii="仿宋" w:hAnsi="仿宋" w:eastAsia="仿宋" w:cs="仿宋"/>
                <w:color w:val="auto"/>
                <w:kern w:val="0"/>
                <w:sz w:val="21"/>
                <w:szCs w:val="21"/>
                <w:highlight w:val="none"/>
              </w:rPr>
              <w:t>不</w:t>
            </w:r>
            <w:r>
              <w:rPr>
                <w:rFonts w:hint="eastAsia" w:ascii="仿宋" w:hAnsi="仿宋" w:eastAsia="仿宋" w:cs="仿宋"/>
                <w:bCs/>
                <w:color w:val="auto"/>
                <w:kern w:val="0"/>
                <w:sz w:val="21"/>
                <w:szCs w:val="21"/>
                <w:highlight w:val="none"/>
              </w:rPr>
              <w:t>需要提供样品</w:t>
            </w:r>
          </w:p>
          <w:p>
            <w:pPr>
              <w:adjustRightInd w:val="0"/>
              <w:snapToGrid w:val="0"/>
              <w:spacing w:line="300" w:lineRule="auto"/>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sym w:font="Wingdings 2" w:char="0052"/>
            </w:r>
            <w:r>
              <w:rPr>
                <w:rFonts w:hint="eastAsia" w:ascii="仿宋" w:hAnsi="仿宋" w:eastAsia="仿宋" w:cs="仿宋"/>
                <w:color w:val="auto"/>
                <w:kern w:val="0"/>
                <w:sz w:val="21"/>
                <w:szCs w:val="21"/>
                <w:highlight w:val="none"/>
              </w:rPr>
              <w:t>不</w:t>
            </w:r>
            <w:r>
              <w:rPr>
                <w:rFonts w:hint="eastAsia" w:ascii="仿宋" w:hAnsi="仿宋" w:eastAsia="仿宋" w:cs="仿宋"/>
                <w:bCs/>
                <w:color w:val="auto"/>
                <w:kern w:val="0"/>
                <w:sz w:val="21"/>
                <w:szCs w:val="21"/>
                <w:highlight w:val="none"/>
              </w:rPr>
              <w:t>需要提供演示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878" w:type="dxa"/>
            <w:tcBorders>
              <w:tl2br w:val="nil"/>
              <w:tr2bl w:val="nil"/>
            </w:tcBorders>
            <w:noWrap w:val="0"/>
            <w:vAlign w:val="center"/>
          </w:tcPr>
          <w:p>
            <w:pPr>
              <w:widowControl/>
              <w:snapToGrid w:val="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12.1</w:t>
            </w:r>
          </w:p>
        </w:tc>
        <w:tc>
          <w:tcPr>
            <w:tcW w:w="1029" w:type="dxa"/>
            <w:tcBorders>
              <w:tl2br w:val="nil"/>
              <w:tr2bl w:val="nil"/>
            </w:tcBorders>
            <w:noWrap w:val="0"/>
            <w:vAlign w:val="center"/>
          </w:tcPr>
          <w:p>
            <w:pPr>
              <w:tabs>
                <w:tab w:val="left" w:pos="1425"/>
              </w:tabs>
              <w:snapToGrid w:val="0"/>
              <w:jc w:val="center"/>
              <w:rPr>
                <w:rFonts w:hint="eastAsia" w:ascii="仿宋" w:hAnsi="仿宋" w:eastAsia="仿宋" w:cs="仿宋"/>
                <w:bCs/>
                <w:color w:val="auto"/>
                <w:kern w:val="0"/>
                <w:sz w:val="21"/>
                <w:szCs w:val="21"/>
                <w:highlight w:val="none"/>
              </w:rPr>
            </w:pPr>
            <w:r>
              <w:rPr>
                <w:rFonts w:hint="eastAsia" w:ascii="仿宋" w:hAnsi="仿宋" w:eastAsia="仿宋" w:cs="仿宋"/>
                <w:bCs/>
                <w:color w:val="auto"/>
                <w:kern w:val="0"/>
                <w:sz w:val="21"/>
                <w:szCs w:val="21"/>
                <w:highlight w:val="none"/>
              </w:rPr>
              <w:t>响应报价货币要求</w:t>
            </w:r>
          </w:p>
        </w:tc>
        <w:tc>
          <w:tcPr>
            <w:tcW w:w="6544" w:type="dxa"/>
            <w:tcBorders>
              <w:tl2br w:val="nil"/>
              <w:tr2bl w:val="nil"/>
            </w:tcBorders>
            <w:noWrap w:val="0"/>
            <w:vAlign w:val="center"/>
          </w:tcPr>
          <w:p>
            <w:pPr>
              <w:adjustRightInd w:val="0"/>
              <w:snapToGrid w:val="0"/>
              <w:spacing w:line="300" w:lineRule="auto"/>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sym w:font="Wingdings 2" w:char="0052"/>
            </w:r>
            <w:r>
              <w:rPr>
                <w:rFonts w:hint="eastAsia" w:ascii="仿宋" w:hAnsi="仿宋" w:eastAsia="仿宋" w:cs="仿宋"/>
                <w:color w:val="auto"/>
                <w:kern w:val="0"/>
                <w:sz w:val="21"/>
                <w:szCs w:val="21"/>
                <w:highlight w:val="none"/>
              </w:rPr>
              <w:t xml:space="preserve">所有响应文件中均按 </w:t>
            </w:r>
            <w:r>
              <w:rPr>
                <w:rFonts w:hint="eastAsia" w:ascii="仿宋" w:hAnsi="仿宋" w:eastAsia="仿宋" w:cs="仿宋"/>
                <w:color w:val="auto"/>
                <w:kern w:val="0"/>
                <w:sz w:val="21"/>
                <w:szCs w:val="21"/>
                <w:highlight w:val="none"/>
                <w:u w:val="single"/>
              </w:rPr>
              <w:t xml:space="preserve">  人民币  </w:t>
            </w:r>
            <w:r>
              <w:rPr>
                <w:rFonts w:hint="eastAsia" w:ascii="仿宋" w:hAnsi="仿宋" w:eastAsia="仿宋" w:cs="仿宋"/>
                <w:color w:val="auto"/>
                <w:kern w:val="0"/>
                <w:sz w:val="21"/>
                <w:szCs w:val="21"/>
                <w:highlight w:val="none"/>
              </w:rPr>
              <w:t xml:space="preserve"> 货币进行报价。</w:t>
            </w:r>
          </w:p>
          <w:p>
            <w:pPr>
              <w:adjustRightInd w:val="0"/>
              <w:snapToGrid w:val="0"/>
              <w:spacing w:line="300" w:lineRule="auto"/>
              <w:jc w:val="left"/>
              <w:rPr>
                <w:rFonts w:hint="eastAsia" w:ascii="仿宋" w:hAnsi="仿宋" w:eastAsia="仿宋" w:cs="仿宋"/>
                <w:color w:val="auto"/>
                <w:kern w:val="0"/>
                <w:sz w:val="21"/>
                <w:szCs w:val="21"/>
                <w:highlight w:val="none"/>
                <w:u w:val="single"/>
              </w:rPr>
            </w:pPr>
            <w:r>
              <w:rPr>
                <w:rFonts w:hint="eastAsia" w:ascii="仿宋" w:hAnsi="仿宋" w:eastAsia="仿宋" w:cs="仿宋"/>
                <w:color w:val="auto"/>
                <w:kern w:val="0"/>
                <w:sz w:val="21"/>
                <w:szCs w:val="21"/>
                <w:highlight w:val="none"/>
              </w:rPr>
              <w:sym w:font="Wingdings 2" w:char="00A3"/>
            </w:r>
            <w:r>
              <w:rPr>
                <w:rFonts w:hint="eastAsia" w:ascii="仿宋" w:hAnsi="仿宋" w:eastAsia="仿宋" w:cs="仿宋"/>
                <w:color w:val="auto"/>
                <w:kern w:val="0"/>
                <w:sz w:val="21"/>
                <w:szCs w:val="21"/>
                <w:highlight w:val="none"/>
              </w:rPr>
              <w:t>其它：</w:t>
            </w:r>
            <w:r>
              <w:rPr>
                <w:rFonts w:hint="eastAsia" w:ascii="仿宋" w:hAnsi="仿宋" w:eastAsia="仿宋" w:cs="仿宋"/>
                <w:color w:val="auto"/>
                <w:kern w:val="0"/>
                <w:sz w:val="21"/>
                <w:szCs w:val="21"/>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878" w:type="dxa"/>
            <w:tcBorders>
              <w:tl2br w:val="nil"/>
              <w:tr2bl w:val="nil"/>
            </w:tcBorders>
            <w:noWrap w:val="0"/>
            <w:vAlign w:val="center"/>
          </w:tcPr>
          <w:p>
            <w:pPr>
              <w:widowControl/>
              <w:snapToGrid w:val="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13.1</w:t>
            </w:r>
          </w:p>
        </w:tc>
        <w:tc>
          <w:tcPr>
            <w:tcW w:w="1029" w:type="dxa"/>
            <w:tcBorders>
              <w:tl2br w:val="nil"/>
              <w:tr2bl w:val="nil"/>
            </w:tcBorders>
            <w:noWrap w:val="0"/>
            <w:vAlign w:val="center"/>
          </w:tcPr>
          <w:p>
            <w:pPr>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磋商保证金</w:t>
            </w:r>
          </w:p>
        </w:tc>
        <w:tc>
          <w:tcPr>
            <w:tcW w:w="6544" w:type="dxa"/>
            <w:tcBorders>
              <w:tl2br w:val="nil"/>
              <w:tr2bl w:val="nil"/>
            </w:tcBorders>
            <w:noWrap w:val="0"/>
            <w:vAlign w:val="center"/>
          </w:tcPr>
          <w:p>
            <w:pPr>
              <w:pStyle w:val="62"/>
              <w:snapToGrid w:val="0"/>
              <w:jc w:val="left"/>
              <w:rPr>
                <w:rFonts w:hint="eastAsia" w:ascii="仿宋" w:hAnsi="仿宋" w:eastAsia="仿宋" w:cs="仿宋"/>
                <w:color w:val="auto"/>
                <w:sz w:val="21"/>
                <w:highlight w:val="none"/>
              </w:rPr>
            </w:pPr>
            <w:r>
              <w:rPr>
                <w:rFonts w:hint="eastAsia" w:ascii="仿宋" w:hAnsi="仿宋" w:eastAsia="仿宋" w:cs="仿宋"/>
                <w:color w:val="auto"/>
                <w:sz w:val="21"/>
                <w:szCs w:val="21"/>
                <w:highlight w:val="none"/>
              </w:rPr>
              <w:sym w:font="Wingdings 2" w:char="0052"/>
            </w:r>
            <w:r>
              <w:rPr>
                <w:rFonts w:hint="eastAsia" w:ascii="仿宋" w:hAnsi="仿宋" w:eastAsia="仿宋" w:cs="仿宋"/>
                <w:color w:val="auto"/>
                <w:sz w:val="21"/>
                <w:szCs w:val="21"/>
                <w:highlight w:val="none"/>
              </w:rPr>
              <w:t>本项目不收取</w:t>
            </w:r>
            <w:r>
              <w:rPr>
                <w:rFonts w:hint="eastAsia" w:ascii="仿宋" w:hAnsi="仿宋" w:eastAsia="仿宋" w:cs="仿宋"/>
                <w:color w:val="auto"/>
                <w:sz w:val="21"/>
                <w:szCs w:val="21"/>
                <w:highlight w:val="none"/>
                <w:lang w:val="en-US" w:eastAsia="zh-CN"/>
              </w:rPr>
              <w:t>磋商</w:t>
            </w:r>
            <w:r>
              <w:rPr>
                <w:rFonts w:hint="eastAsia" w:ascii="仿宋" w:hAnsi="仿宋" w:eastAsia="仿宋" w:cs="仿宋"/>
                <w:color w:val="auto"/>
                <w:sz w:val="21"/>
                <w:szCs w:val="21"/>
                <w:highlight w:val="none"/>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90" w:hRule="atLeast"/>
          <w:jc w:val="center"/>
        </w:trPr>
        <w:tc>
          <w:tcPr>
            <w:tcW w:w="878" w:type="dxa"/>
            <w:tcBorders>
              <w:tl2br w:val="nil"/>
              <w:tr2bl w:val="nil"/>
            </w:tcBorders>
            <w:noWrap w:val="0"/>
            <w:vAlign w:val="center"/>
          </w:tcPr>
          <w:p>
            <w:pPr>
              <w:widowControl/>
              <w:snapToGrid w:val="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15.1</w:t>
            </w:r>
          </w:p>
        </w:tc>
        <w:tc>
          <w:tcPr>
            <w:tcW w:w="1029" w:type="dxa"/>
            <w:tcBorders>
              <w:tl2br w:val="nil"/>
              <w:tr2bl w:val="nil"/>
            </w:tcBorders>
            <w:noWrap w:val="0"/>
            <w:vAlign w:val="center"/>
          </w:tcPr>
          <w:p>
            <w:pPr>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响应有效期</w:t>
            </w:r>
          </w:p>
        </w:tc>
        <w:tc>
          <w:tcPr>
            <w:tcW w:w="6544" w:type="dxa"/>
            <w:tcBorders>
              <w:tl2br w:val="nil"/>
              <w:tr2bl w:val="nil"/>
            </w:tcBorders>
            <w:noWrap w:val="0"/>
            <w:vAlign w:val="center"/>
          </w:tcPr>
          <w:p>
            <w:pPr>
              <w:pStyle w:val="10"/>
              <w:snapToGrid w:val="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u w:val="single"/>
              </w:rPr>
              <w:t xml:space="preserve">  90  </w:t>
            </w:r>
            <w:r>
              <w:rPr>
                <w:rFonts w:hint="eastAsia" w:ascii="仿宋" w:hAnsi="仿宋" w:eastAsia="仿宋" w:cs="仿宋"/>
                <w:color w:val="auto"/>
                <w:kern w:val="0"/>
                <w:sz w:val="21"/>
                <w:szCs w:val="21"/>
                <w:highlight w:val="none"/>
              </w:rPr>
              <w:t>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878" w:type="dxa"/>
            <w:tcBorders>
              <w:tl2br w:val="nil"/>
              <w:tr2bl w:val="nil"/>
            </w:tcBorders>
            <w:noWrap w:val="0"/>
            <w:vAlign w:val="center"/>
          </w:tcPr>
          <w:p>
            <w:pPr>
              <w:widowControl/>
              <w:snapToGrid w:val="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16.1</w:t>
            </w:r>
          </w:p>
        </w:tc>
        <w:tc>
          <w:tcPr>
            <w:tcW w:w="1029" w:type="dxa"/>
            <w:tcBorders>
              <w:tl2br w:val="nil"/>
              <w:tr2bl w:val="nil"/>
            </w:tcBorders>
            <w:noWrap w:val="0"/>
            <w:vAlign w:val="center"/>
          </w:tcPr>
          <w:p>
            <w:pPr>
              <w:widowControl/>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响应文件份数</w:t>
            </w:r>
          </w:p>
        </w:tc>
        <w:tc>
          <w:tcPr>
            <w:tcW w:w="6544" w:type="dxa"/>
            <w:tcBorders>
              <w:tl2br w:val="nil"/>
              <w:tr2bl w:val="nil"/>
            </w:tcBorders>
            <w:noWrap w:val="0"/>
            <w:vAlign w:val="center"/>
          </w:tcPr>
          <w:p>
            <w:pPr>
              <w:rPr>
                <w:rFonts w:hint="eastAsia" w:ascii="仿宋" w:hAnsi="仿宋" w:eastAsia="仿宋" w:cs="仿宋"/>
                <w:bCs/>
                <w:color w:val="auto"/>
                <w:kern w:val="0"/>
                <w:szCs w:val="21"/>
              </w:rPr>
            </w:pPr>
            <w:r>
              <w:rPr>
                <w:rFonts w:hint="eastAsia" w:ascii="宋体" w:hAnsi="宋体" w:cs="宋体"/>
                <w:color w:val="auto"/>
                <w:kern w:val="0"/>
                <w:szCs w:val="21"/>
              </w:rPr>
              <w:t>1</w:t>
            </w:r>
            <w:r>
              <w:rPr>
                <w:rFonts w:hint="eastAsia" w:ascii="仿宋" w:hAnsi="仿宋" w:eastAsia="仿宋" w:cs="仿宋"/>
                <w:bCs/>
                <w:color w:val="auto"/>
                <w:kern w:val="0"/>
                <w:szCs w:val="21"/>
              </w:rPr>
              <w:t>、供应商除在电子评审系统上传响应文件（响应文件制作详见辽宁省政府采购制作电子标书操作手册）外，应在递交响应文件截止时间前递交单独的可加密备份文件。并需提供备份文件与电子评审系统中上传的响应文件一致性承诺函。如启用备份文件，备份文件与采购档案一并存档，如未启用备份文件，备份文件自动失效，并于评审结束后由代理公司自行处理，不再退回。具体事项要求详见辽财采函[2021]363号。如供应商不按要求提供备份文件及备份文件与电子评审系统中上传的响应文件一致性承诺函，一旦启用，视为供应商响应无效。</w:t>
            </w:r>
          </w:p>
          <w:p>
            <w:pPr>
              <w:rPr>
                <w:rFonts w:hint="eastAsia" w:ascii="仿宋" w:hAnsi="仿宋" w:eastAsia="仿宋" w:cs="仿宋"/>
                <w:bCs/>
                <w:color w:val="auto"/>
                <w:kern w:val="0"/>
                <w:szCs w:val="21"/>
              </w:rPr>
            </w:pPr>
            <w:r>
              <w:rPr>
                <w:rFonts w:hint="eastAsia" w:ascii="仿宋" w:hAnsi="仿宋" w:eastAsia="仿宋" w:cs="仿宋"/>
                <w:bCs/>
                <w:color w:val="auto"/>
                <w:kern w:val="0"/>
                <w:szCs w:val="21"/>
              </w:rPr>
              <w:t>2、备份文件递交方式及时间：应于响应文件递交截止时间前将加密的备份文件上传到指定邮箱：ykjiutong@163.com，联系电话：0417-2825552，联系人：</w:t>
            </w:r>
            <w:r>
              <w:rPr>
                <w:rFonts w:hint="eastAsia" w:ascii="仿宋" w:hAnsi="仿宋" w:eastAsia="仿宋" w:cs="仿宋"/>
                <w:bCs/>
                <w:color w:val="auto"/>
                <w:kern w:val="0"/>
                <w:szCs w:val="21"/>
                <w:lang w:eastAsia="zh-CN"/>
              </w:rPr>
              <w:t>李姗珊</w:t>
            </w:r>
            <w:r>
              <w:rPr>
                <w:rFonts w:hint="eastAsia" w:ascii="仿宋" w:hAnsi="仿宋" w:eastAsia="仿宋" w:cs="仿宋"/>
                <w:bCs/>
                <w:color w:val="auto"/>
                <w:kern w:val="0"/>
                <w:szCs w:val="21"/>
              </w:rPr>
              <w:t>。地址为： 辽宁省昌蕴建设项目咨询有限公司（</w:t>
            </w:r>
            <w:r>
              <w:rPr>
                <w:rFonts w:hint="eastAsia" w:ascii="仿宋" w:hAnsi="仿宋" w:eastAsia="仿宋" w:cs="仿宋"/>
                <w:bCs/>
                <w:color w:val="auto"/>
                <w:kern w:val="0"/>
                <w:szCs w:val="21"/>
                <w:lang w:eastAsia="zh-CN"/>
              </w:rPr>
              <w:t>营口市站前区体育场南街11-111号</w:t>
            </w:r>
            <w:r>
              <w:rPr>
                <w:rFonts w:hint="eastAsia" w:ascii="仿宋" w:hAnsi="仿宋" w:eastAsia="仿宋" w:cs="仿宋"/>
                <w:bCs/>
                <w:color w:val="auto"/>
                <w:kern w:val="0"/>
                <w:szCs w:val="21"/>
              </w:rPr>
              <w:t>）。递交的备份文件应注明供应商名称及联系方式。对备份文件破损、未按要求时间送达或无法联系解密或响应文件中未提供“备份文件与电子评审系统中上传的响应文件一致性承诺函”等带来的一切不利后果，均由供应商自负。</w:t>
            </w:r>
          </w:p>
          <w:p>
            <w:pPr>
              <w:rPr>
                <w:rFonts w:hint="eastAsia" w:ascii="仿宋" w:hAnsi="仿宋" w:eastAsia="仿宋" w:cs="仿宋"/>
                <w:bCs/>
                <w:color w:val="auto"/>
                <w:kern w:val="0"/>
                <w:szCs w:val="21"/>
              </w:rPr>
            </w:pPr>
            <w:r>
              <w:rPr>
                <w:rFonts w:hint="eastAsia" w:ascii="仿宋" w:hAnsi="仿宋" w:eastAsia="仿宋" w:cs="仿宋"/>
                <w:bCs/>
                <w:color w:val="auto"/>
                <w:kern w:val="0"/>
                <w:szCs w:val="21"/>
              </w:rPr>
              <w:t>3、响应文件的解密时间：</w:t>
            </w:r>
            <w:r>
              <w:rPr>
                <w:rFonts w:hint="eastAsia" w:ascii="仿宋" w:hAnsi="仿宋" w:eastAsia="仿宋" w:cs="仿宋"/>
                <w:bCs/>
                <w:color w:val="auto"/>
                <w:kern w:val="0"/>
                <w:szCs w:val="21"/>
                <w:lang w:val="en-US" w:eastAsia="zh-CN"/>
              </w:rPr>
              <w:t>30</w:t>
            </w:r>
            <w:r>
              <w:rPr>
                <w:rFonts w:hint="eastAsia" w:ascii="仿宋" w:hAnsi="仿宋" w:eastAsia="仿宋" w:cs="仿宋"/>
                <w:bCs/>
                <w:color w:val="auto"/>
                <w:kern w:val="0"/>
                <w:szCs w:val="21"/>
              </w:rPr>
              <w:t>分钟，如因系统原因，可酌情延长解密时长。供应商需在响应文件递交截止时间后自行解密。</w:t>
            </w:r>
          </w:p>
          <w:p>
            <w:pPr>
              <w:adjustRightInd w:val="0"/>
              <w:snapToGrid w:val="0"/>
              <w:spacing w:line="300" w:lineRule="auto"/>
              <w:jc w:val="left"/>
              <w:rPr>
                <w:rFonts w:hint="eastAsia" w:ascii="仿宋" w:hAnsi="仿宋" w:eastAsia="仿宋" w:cs="仿宋"/>
                <w:color w:val="auto"/>
                <w:sz w:val="21"/>
                <w:szCs w:val="21"/>
                <w:highlight w:val="none"/>
              </w:rPr>
            </w:pPr>
            <w:r>
              <w:rPr>
                <w:rFonts w:hint="eastAsia" w:ascii="仿宋" w:hAnsi="仿宋" w:eastAsia="仿宋" w:cs="仿宋"/>
                <w:bCs/>
                <w:color w:val="auto"/>
                <w:kern w:val="0"/>
                <w:szCs w:val="21"/>
              </w:rPr>
              <w:t>4、供应商成交后须提供一正</w:t>
            </w:r>
            <w:r>
              <w:rPr>
                <w:rFonts w:hint="eastAsia" w:ascii="仿宋" w:hAnsi="仿宋" w:eastAsia="仿宋" w:cs="仿宋"/>
                <w:bCs/>
                <w:color w:val="auto"/>
                <w:kern w:val="0"/>
                <w:szCs w:val="21"/>
                <w:lang w:eastAsia="zh-CN"/>
              </w:rPr>
              <w:t>三</w:t>
            </w:r>
            <w:r>
              <w:rPr>
                <w:rFonts w:hint="eastAsia" w:ascii="仿宋" w:hAnsi="仿宋" w:eastAsia="仿宋" w:cs="仿宋"/>
                <w:bCs/>
                <w:color w:val="auto"/>
                <w:kern w:val="0"/>
                <w:szCs w:val="21"/>
              </w:rPr>
              <w:t>副的纸质响应文件，领取成交通知书前递交至招标代理公司。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878" w:type="dxa"/>
            <w:tcBorders>
              <w:tl2br w:val="nil"/>
              <w:tr2bl w:val="nil"/>
            </w:tcBorders>
            <w:noWrap w:val="0"/>
            <w:vAlign w:val="center"/>
          </w:tcPr>
          <w:p>
            <w:pPr>
              <w:widowControl/>
              <w:snapToGrid w:val="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18.1</w:t>
            </w:r>
          </w:p>
        </w:tc>
        <w:tc>
          <w:tcPr>
            <w:tcW w:w="1029" w:type="dxa"/>
            <w:tcBorders>
              <w:tl2br w:val="nil"/>
              <w:tr2bl w:val="nil"/>
            </w:tcBorders>
            <w:noWrap w:val="0"/>
            <w:vAlign w:val="center"/>
          </w:tcPr>
          <w:p>
            <w:pPr>
              <w:widowControl/>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递交响应文件截止时间、地点：</w:t>
            </w:r>
          </w:p>
        </w:tc>
        <w:tc>
          <w:tcPr>
            <w:tcW w:w="6544" w:type="dxa"/>
            <w:tcBorders>
              <w:tl2br w:val="nil"/>
              <w:tr2bl w:val="nil"/>
            </w:tcBorders>
            <w:noWrap w:val="0"/>
            <w:vAlign w:val="center"/>
          </w:tcPr>
          <w:p>
            <w:pPr>
              <w:widowControl/>
              <w:snapToGrid w:val="0"/>
              <w:jc w:val="left"/>
              <w:rPr>
                <w:rFonts w:hint="eastAsia" w:ascii="仿宋" w:hAnsi="仿宋" w:eastAsia="仿宋" w:cs="仿宋"/>
                <w:color w:val="auto"/>
                <w:kern w:val="0"/>
                <w:sz w:val="21"/>
                <w:szCs w:val="21"/>
                <w:highlight w:val="none"/>
                <w:u w:val="single"/>
              </w:rPr>
            </w:pPr>
            <w:r>
              <w:rPr>
                <w:rFonts w:hint="eastAsia" w:ascii="仿宋" w:hAnsi="仿宋" w:eastAsia="仿宋" w:cs="仿宋"/>
                <w:color w:val="auto"/>
                <w:kern w:val="0"/>
                <w:sz w:val="21"/>
                <w:szCs w:val="21"/>
                <w:highlight w:val="none"/>
              </w:rPr>
              <w:t>详见采购公告，以采购公告规定时间、地点为准。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878" w:type="dxa"/>
            <w:tcBorders>
              <w:tl2br w:val="nil"/>
              <w:tr2bl w:val="nil"/>
            </w:tcBorders>
            <w:noWrap w:val="0"/>
            <w:vAlign w:val="center"/>
          </w:tcPr>
          <w:p>
            <w:pPr>
              <w:widowControl/>
              <w:snapToGrid w:val="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20.1</w:t>
            </w:r>
          </w:p>
        </w:tc>
        <w:tc>
          <w:tcPr>
            <w:tcW w:w="1029" w:type="dxa"/>
            <w:tcBorders>
              <w:tl2br w:val="nil"/>
              <w:tr2bl w:val="nil"/>
            </w:tcBorders>
            <w:noWrap w:val="0"/>
            <w:vAlign w:val="center"/>
          </w:tcPr>
          <w:p>
            <w:pPr>
              <w:widowControl/>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磋商会议时间、地点：</w:t>
            </w:r>
          </w:p>
        </w:tc>
        <w:tc>
          <w:tcPr>
            <w:tcW w:w="6544" w:type="dxa"/>
            <w:tcBorders>
              <w:tl2br w:val="nil"/>
              <w:tr2bl w:val="nil"/>
            </w:tcBorders>
            <w:noWrap w:val="0"/>
            <w:vAlign w:val="center"/>
          </w:tcPr>
          <w:p>
            <w:pPr>
              <w:widowControl/>
              <w:snapToGrid w:val="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详见采购公告，以采购公告规定时间、地点为准。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878" w:type="dxa"/>
            <w:tcBorders>
              <w:tl2br w:val="nil"/>
              <w:tr2bl w:val="nil"/>
            </w:tcBorders>
            <w:noWrap w:val="0"/>
            <w:vAlign w:val="center"/>
          </w:tcPr>
          <w:p>
            <w:pPr>
              <w:widowControl/>
              <w:snapToGrid w:val="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21.2</w:t>
            </w:r>
          </w:p>
        </w:tc>
        <w:tc>
          <w:tcPr>
            <w:tcW w:w="1029" w:type="dxa"/>
            <w:tcBorders>
              <w:tl2br w:val="nil"/>
              <w:tr2bl w:val="nil"/>
            </w:tcBorders>
            <w:noWrap w:val="0"/>
            <w:vAlign w:val="center"/>
          </w:tcPr>
          <w:p>
            <w:pPr>
              <w:widowControl/>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磋商小组组成</w:t>
            </w:r>
          </w:p>
        </w:tc>
        <w:tc>
          <w:tcPr>
            <w:tcW w:w="6544" w:type="dxa"/>
            <w:tcBorders>
              <w:tl2br w:val="nil"/>
              <w:tr2bl w:val="nil"/>
            </w:tcBorders>
            <w:noWrap w:val="0"/>
            <w:vAlign w:val="center"/>
          </w:tcPr>
          <w:p>
            <w:pPr>
              <w:widowControl/>
              <w:snapToGrid w:val="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磋商小组由采购人代表</w:t>
            </w:r>
            <w:r>
              <w:rPr>
                <w:rFonts w:hint="eastAsia" w:ascii="仿宋" w:hAnsi="仿宋" w:eastAsia="仿宋" w:cs="仿宋"/>
                <w:color w:val="auto"/>
                <w:kern w:val="0"/>
                <w:sz w:val="21"/>
                <w:szCs w:val="21"/>
                <w:highlight w:val="none"/>
                <w:u w:val="single"/>
              </w:rPr>
              <w:t xml:space="preserve">  </w:t>
            </w:r>
            <w:r>
              <w:rPr>
                <w:rFonts w:hint="eastAsia" w:ascii="仿宋" w:hAnsi="仿宋" w:eastAsia="仿宋" w:cs="仿宋"/>
                <w:color w:val="auto"/>
                <w:kern w:val="0"/>
                <w:sz w:val="21"/>
                <w:szCs w:val="21"/>
                <w:highlight w:val="none"/>
                <w:u w:val="single"/>
                <w:lang w:val="en-US" w:eastAsia="zh-CN"/>
              </w:rPr>
              <w:t>1</w:t>
            </w:r>
            <w:r>
              <w:rPr>
                <w:rFonts w:hint="eastAsia" w:ascii="仿宋" w:hAnsi="仿宋" w:eastAsia="仿宋" w:cs="仿宋"/>
                <w:color w:val="auto"/>
                <w:kern w:val="0"/>
                <w:sz w:val="21"/>
                <w:szCs w:val="21"/>
                <w:highlight w:val="none"/>
                <w:u w:val="single"/>
              </w:rPr>
              <w:t xml:space="preserve"> </w:t>
            </w:r>
            <w:r>
              <w:rPr>
                <w:rFonts w:hint="eastAsia" w:ascii="仿宋" w:hAnsi="仿宋" w:eastAsia="仿宋" w:cs="仿宋"/>
                <w:color w:val="auto"/>
                <w:kern w:val="0"/>
                <w:sz w:val="21"/>
                <w:szCs w:val="21"/>
                <w:highlight w:val="none"/>
              </w:rPr>
              <w:t>人，评审专家</w:t>
            </w:r>
            <w:r>
              <w:rPr>
                <w:rFonts w:hint="eastAsia" w:ascii="仿宋" w:hAnsi="仿宋" w:eastAsia="仿宋" w:cs="仿宋"/>
                <w:color w:val="auto"/>
                <w:kern w:val="0"/>
                <w:sz w:val="21"/>
                <w:szCs w:val="21"/>
                <w:highlight w:val="none"/>
                <w:u w:val="single"/>
              </w:rPr>
              <w:t xml:space="preserve"> </w:t>
            </w:r>
            <w:r>
              <w:rPr>
                <w:rFonts w:hint="eastAsia" w:ascii="仿宋" w:hAnsi="仿宋" w:eastAsia="仿宋" w:cs="仿宋"/>
                <w:color w:val="auto"/>
                <w:kern w:val="0"/>
                <w:sz w:val="21"/>
                <w:szCs w:val="21"/>
                <w:highlight w:val="none"/>
                <w:u w:val="single"/>
                <w:lang w:val="en-US" w:eastAsia="zh-CN"/>
              </w:rPr>
              <w:t>2</w:t>
            </w:r>
            <w:r>
              <w:rPr>
                <w:rFonts w:hint="eastAsia" w:ascii="仿宋" w:hAnsi="仿宋" w:eastAsia="仿宋" w:cs="仿宋"/>
                <w:color w:val="auto"/>
                <w:kern w:val="0"/>
                <w:sz w:val="21"/>
                <w:szCs w:val="21"/>
                <w:highlight w:val="none"/>
                <w:u w:val="single"/>
              </w:rPr>
              <w:t xml:space="preserve"> </w:t>
            </w:r>
            <w:r>
              <w:rPr>
                <w:rFonts w:hint="eastAsia" w:ascii="仿宋" w:hAnsi="仿宋" w:eastAsia="仿宋" w:cs="仿宋"/>
                <w:color w:val="auto"/>
                <w:kern w:val="0"/>
                <w:sz w:val="21"/>
                <w:szCs w:val="21"/>
                <w:highlight w:val="none"/>
              </w:rPr>
              <w:t>人组成，共</w:t>
            </w:r>
            <w:r>
              <w:rPr>
                <w:rFonts w:hint="eastAsia" w:ascii="仿宋" w:hAnsi="仿宋" w:eastAsia="仿宋" w:cs="仿宋"/>
                <w:color w:val="auto"/>
                <w:kern w:val="0"/>
                <w:sz w:val="21"/>
                <w:szCs w:val="21"/>
                <w:highlight w:val="none"/>
                <w:u w:val="single"/>
              </w:rPr>
              <w:t xml:space="preserve">  3 </w:t>
            </w:r>
            <w:r>
              <w:rPr>
                <w:rFonts w:hint="eastAsia" w:ascii="仿宋" w:hAnsi="仿宋" w:eastAsia="仿宋" w:cs="仿宋"/>
                <w:color w:val="auto"/>
                <w:kern w:val="0"/>
                <w:sz w:val="21"/>
                <w:szCs w:val="21"/>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878" w:type="dxa"/>
            <w:tcBorders>
              <w:tl2br w:val="nil"/>
              <w:tr2bl w:val="nil"/>
            </w:tcBorders>
            <w:noWrap w:val="0"/>
            <w:vAlign w:val="center"/>
          </w:tcPr>
          <w:p>
            <w:pPr>
              <w:widowControl/>
              <w:snapToGrid w:val="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29.2</w:t>
            </w:r>
          </w:p>
        </w:tc>
        <w:tc>
          <w:tcPr>
            <w:tcW w:w="1029" w:type="dxa"/>
            <w:tcBorders>
              <w:tl2br w:val="nil"/>
              <w:tr2bl w:val="nil"/>
            </w:tcBorders>
            <w:noWrap w:val="0"/>
            <w:vAlign w:val="center"/>
          </w:tcPr>
          <w:p>
            <w:pPr>
              <w:widowControl/>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评审办法</w:t>
            </w:r>
          </w:p>
        </w:tc>
        <w:tc>
          <w:tcPr>
            <w:tcW w:w="6544" w:type="dxa"/>
            <w:tcBorders>
              <w:tl2br w:val="nil"/>
              <w:tr2bl w:val="nil"/>
            </w:tcBorders>
            <w:noWrap w:val="0"/>
            <w:vAlign w:val="center"/>
          </w:tcPr>
          <w:p>
            <w:pPr>
              <w:widowControl/>
              <w:snapToGrid w:val="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878" w:type="dxa"/>
            <w:tcBorders>
              <w:tl2br w:val="nil"/>
              <w:tr2bl w:val="nil"/>
            </w:tcBorders>
            <w:noWrap w:val="0"/>
            <w:vAlign w:val="center"/>
          </w:tcPr>
          <w:p>
            <w:pPr>
              <w:widowControl/>
              <w:snapToGrid w:val="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31.2</w:t>
            </w:r>
          </w:p>
        </w:tc>
        <w:tc>
          <w:tcPr>
            <w:tcW w:w="1029" w:type="dxa"/>
            <w:tcBorders>
              <w:tl2br w:val="nil"/>
              <w:tr2bl w:val="nil"/>
            </w:tcBorders>
            <w:noWrap w:val="0"/>
            <w:vAlign w:val="center"/>
          </w:tcPr>
          <w:p>
            <w:pPr>
              <w:widowControl/>
              <w:snapToGrid w:val="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推荐成交候选供应商的数量</w:t>
            </w:r>
          </w:p>
        </w:tc>
        <w:tc>
          <w:tcPr>
            <w:tcW w:w="6544" w:type="dxa"/>
            <w:tcBorders>
              <w:tl2br w:val="nil"/>
              <w:tr2bl w:val="nil"/>
            </w:tcBorders>
            <w:noWrap w:val="0"/>
            <w:vAlign w:val="center"/>
          </w:tcPr>
          <w:p>
            <w:pPr>
              <w:widowControl/>
              <w:snapToGrid w:val="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按评标结果排序，推荐3家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878" w:type="dxa"/>
            <w:tcBorders>
              <w:tl2br w:val="nil"/>
              <w:tr2bl w:val="nil"/>
            </w:tcBorders>
            <w:noWrap w:val="0"/>
            <w:vAlign w:val="center"/>
          </w:tcPr>
          <w:p>
            <w:pPr>
              <w:widowControl/>
              <w:snapToGrid w:val="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33</w:t>
            </w:r>
          </w:p>
        </w:tc>
        <w:tc>
          <w:tcPr>
            <w:tcW w:w="1029" w:type="dxa"/>
            <w:tcBorders>
              <w:tl2br w:val="nil"/>
              <w:tr2bl w:val="nil"/>
            </w:tcBorders>
            <w:noWrap w:val="0"/>
            <w:vAlign w:val="center"/>
          </w:tcPr>
          <w:p>
            <w:pPr>
              <w:widowControl/>
              <w:snapToGrid w:val="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确定成交供应商的方式</w:t>
            </w:r>
          </w:p>
        </w:tc>
        <w:tc>
          <w:tcPr>
            <w:tcW w:w="6544" w:type="dxa"/>
            <w:tcBorders>
              <w:tl2br w:val="nil"/>
              <w:tr2bl w:val="nil"/>
            </w:tcBorders>
            <w:noWrap w:val="0"/>
            <w:vAlign w:val="center"/>
          </w:tcPr>
          <w:p>
            <w:pPr>
              <w:widowControl/>
              <w:snapToGrid w:val="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成交供应商数量：</w:t>
            </w:r>
            <w:r>
              <w:rPr>
                <w:rFonts w:hint="eastAsia" w:ascii="仿宋" w:hAnsi="仿宋" w:eastAsia="仿宋" w:cs="仿宋"/>
                <w:color w:val="auto"/>
                <w:kern w:val="0"/>
                <w:sz w:val="21"/>
                <w:szCs w:val="21"/>
                <w:highlight w:val="none"/>
                <w:u w:val="single"/>
              </w:rPr>
              <w:t xml:space="preserve">1家 </w:t>
            </w:r>
          </w:p>
          <w:p>
            <w:pPr>
              <w:widowControl/>
              <w:snapToGrid w:val="0"/>
              <w:jc w:val="left"/>
              <w:rPr>
                <w:rFonts w:hint="eastAsia" w:ascii="仿宋" w:hAnsi="仿宋" w:eastAsia="仿宋" w:cs="仿宋"/>
                <w:color w:val="auto"/>
                <w:kern w:val="0"/>
                <w:sz w:val="21"/>
                <w:szCs w:val="21"/>
                <w:highlight w:val="none"/>
                <w:u w:val="single"/>
              </w:rPr>
            </w:pPr>
            <w:r>
              <w:rPr>
                <w:rFonts w:hint="eastAsia" w:ascii="仿宋" w:hAnsi="仿宋" w:eastAsia="仿宋" w:cs="仿宋"/>
                <w:color w:val="auto"/>
                <w:kern w:val="0"/>
                <w:sz w:val="21"/>
                <w:szCs w:val="21"/>
                <w:highlight w:val="none"/>
              </w:rPr>
              <w:sym w:font="Wingdings 2" w:char="0052"/>
            </w:r>
            <w:r>
              <w:rPr>
                <w:rFonts w:hint="eastAsia" w:ascii="仿宋" w:hAnsi="仿宋" w:eastAsia="仿宋" w:cs="仿宋"/>
                <w:color w:val="auto"/>
                <w:kern w:val="0"/>
                <w:sz w:val="21"/>
                <w:szCs w:val="21"/>
                <w:highlight w:val="none"/>
              </w:rPr>
              <w:t>采购人</w:t>
            </w:r>
            <w:r>
              <w:rPr>
                <w:rFonts w:hint="eastAsia" w:ascii="仿宋" w:hAnsi="仿宋" w:eastAsia="仿宋" w:cs="仿宋"/>
                <w:color w:val="auto"/>
                <w:kern w:val="0"/>
                <w:sz w:val="21"/>
                <w:szCs w:val="21"/>
                <w:highlight w:val="none"/>
                <w:lang w:eastAsia="zh-CN"/>
              </w:rPr>
              <w:t>委托磋商小组直接</w:t>
            </w:r>
            <w:r>
              <w:rPr>
                <w:rFonts w:hint="eastAsia" w:ascii="仿宋" w:hAnsi="仿宋" w:eastAsia="仿宋" w:cs="仿宋"/>
                <w:color w:val="auto"/>
                <w:kern w:val="0"/>
                <w:sz w:val="21"/>
                <w:szCs w:val="21"/>
                <w:highlight w:val="none"/>
              </w:rPr>
              <w:t>确定成交供应商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878" w:type="dxa"/>
            <w:tcBorders>
              <w:tl2br w:val="nil"/>
              <w:tr2bl w:val="nil"/>
            </w:tcBorders>
            <w:noWrap w:val="0"/>
            <w:vAlign w:val="center"/>
          </w:tcPr>
          <w:p>
            <w:pPr>
              <w:widowControl/>
              <w:snapToGrid w:val="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37.1</w:t>
            </w:r>
          </w:p>
        </w:tc>
        <w:tc>
          <w:tcPr>
            <w:tcW w:w="1029" w:type="dxa"/>
            <w:tcBorders>
              <w:tl2br w:val="nil"/>
              <w:tr2bl w:val="nil"/>
            </w:tcBorders>
            <w:noWrap w:val="0"/>
            <w:vAlign w:val="center"/>
          </w:tcPr>
          <w:p>
            <w:pPr>
              <w:shd w:val="clear" w:color="auto" w:fill="FFFFFF"/>
              <w:snapToGrid w:val="0"/>
              <w:jc w:val="center"/>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履约保证金</w:t>
            </w:r>
          </w:p>
        </w:tc>
        <w:tc>
          <w:tcPr>
            <w:tcW w:w="6544" w:type="dxa"/>
            <w:tcBorders>
              <w:tl2br w:val="nil"/>
              <w:tr2bl w:val="nil"/>
            </w:tcBorders>
            <w:noWrap w:val="0"/>
            <w:vAlign w:val="center"/>
          </w:tcPr>
          <w:p>
            <w:pPr>
              <w:shd w:val="clear" w:color="auto" w:fill="FFFFFF"/>
              <w:snapToGrid w:val="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sym w:font="Wingdings 2" w:char="0052"/>
            </w:r>
            <w:r>
              <w:rPr>
                <w:rFonts w:hint="eastAsia" w:ascii="仿宋" w:hAnsi="仿宋" w:eastAsia="仿宋" w:cs="仿宋"/>
                <w:color w:val="auto"/>
                <w:sz w:val="21"/>
                <w:szCs w:val="21"/>
                <w:highlight w:val="none"/>
              </w:rPr>
              <w:t>本项目不收取履约保证金</w:t>
            </w:r>
          </w:p>
          <w:p>
            <w:pPr>
              <w:shd w:val="clear" w:color="auto" w:fill="FFFFFF"/>
              <w:snapToGrid w:val="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sym w:font="Wingdings 2" w:char="00A3"/>
            </w:r>
            <w:r>
              <w:rPr>
                <w:rFonts w:hint="eastAsia" w:ascii="仿宋" w:hAnsi="仿宋" w:eastAsia="仿宋" w:cs="仿宋"/>
                <w:color w:val="auto"/>
                <w:sz w:val="21"/>
                <w:szCs w:val="21"/>
                <w:highlight w:val="none"/>
              </w:rPr>
              <w:t>本项目收取履约保证金</w:t>
            </w:r>
          </w:p>
          <w:p>
            <w:pPr>
              <w:shd w:val="clear" w:color="auto" w:fill="FFFFFF"/>
              <w:snapToGrid w:val="0"/>
              <w:ind w:firstLine="210" w:firstLineChars="1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履约保证金金额：</w:t>
            </w:r>
            <w:r>
              <w:rPr>
                <w:rFonts w:hint="eastAsia" w:ascii="仿宋" w:hAnsi="仿宋" w:eastAsia="仿宋" w:cs="仿宋"/>
                <w:color w:val="auto"/>
                <w:kern w:val="0"/>
                <w:sz w:val="21"/>
                <w:szCs w:val="21"/>
                <w:highlight w:val="none"/>
                <w:u w:val="single"/>
              </w:rPr>
              <w:t xml:space="preserve">                 </w:t>
            </w:r>
          </w:p>
          <w:p>
            <w:pPr>
              <w:shd w:val="clear" w:color="auto" w:fill="FFFFFF"/>
              <w:snapToGrid w:val="0"/>
              <w:ind w:firstLine="210" w:firstLineChars="1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履约保证金递交时：</w:t>
            </w:r>
            <w:r>
              <w:rPr>
                <w:rFonts w:hint="eastAsia" w:ascii="仿宋" w:hAnsi="仿宋" w:eastAsia="仿宋" w:cs="仿宋"/>
                <w:color w:val="auto"/>
                <w:kern w:val="0"/>
                <w:sz w:val="21"/>
                <w:szCs w:val="21"/>
                <w:highlight w:val="none"/>
                <w:u w:val="single"/>
              </w:rPr>
              <w:t xml:space="preserve">               </w:t>
            </w:r>
            <w:r>
              <w:rPr>
                <w:rFonts w:hint="eastAsia" w:ascii="仿宋" w:hAnsi="仿宋" w:eastAsia="仿宋" w:cs="仿宋"/>
                <w:color w:val="auto"/>
                <w:sz w:val="21"/>
                <w:szCs w:val="21"/>
                <w:highlight w:val="none"/>
              </w:rPr>
              <w:t xml:space="preserve"> </w:t>
            </w:r>
          </w:p>
          <w:p>
            <w:pPr>
              <w:shd w:val="clear" w:color="auto" w:fill="FFFFFF"/>
              <w:snapToGrid w:val="0"/>
              <w:ind w:firstLine="210" w:firstLineChars="1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履约保证金递交方式：□保函   □支票  □电汇</w:t>
            </w:r>
          </w:p>
          <w:p>
            <w:pPr>
              <w:shd w:val="clear" w:color="auto" w:fill="FFFFFF"/>
              <w:snapToGrid w:val="0"/>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账户信息：</w:t>
            </w:r>
          </w:p>
          <w:p>
            <w:pPr>
              <w:snapToGrid w:val="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开 户 名：</w:t>
            </w:r>
            <w:r>
              <w:rPr>
                <w:rFonts w:hint="eastAsia" w:ascii="仿宋" w:hAnsi="仿宋" w:eastAsia="仿宋" w:cs="仿宋"/>
                <w:color w:val="auto"/>
                <w:kern w:val="0"/>
                <w:sz w:val="21"/>
                <w:szCs w:val="21"/>
                <w:highlight w:val="none"/>
                <w:u w:val="single"/>
              </w:rPr>
              <w:t xml:space="preserve">                 </w:t>
            </w:r>
            <w:r>
              <w:rPr>
                <w:rFonts w:hint="eastAsia" w:ascii="仿宋" w:hAnsi="仿宋" w:eastAsia="仿宋" w:cs="仿宋"/>
                <w:color w:val="auto"/>
                <w:sz w:val="21"/>
                <w:szCs w:val="21"/>
                <w:highlight w:val="none"/>
              </w:rPr>
              <w:t xml:space="preserve"> </w:t>
            </w:r>
          </w:p>
          <w:p>
            <w:pPr>
              <w:snapToGrid w:val="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开 户 行：</w:t>
            </w:r>
            <w:r>
              <w:rPr>
                <w:rFonts w:hint="eastAsia" w:ascii="仿宋" w:hAnsi="仿宋" w:eastAsia="仿宋" w:cs="仿宋"/>
                <w:color w:val="auto"/>
                <w:kern w:val="0"/>
                <w:sz w:val="21"/>
                <w:szCs w:val="21"/>
                <w:highlight w:val="none"/>
                <w:u w:val="single"/>
              </w:rPr>
              <w:t xml:space="preserve">                 </w:t>
            </w:r>
            <w:r>
              <w:rPr>
                <w:rFonts w:hint="eastAsia" w:ascii="仿宋" w:hAnsi="仿宋" w:eastAsia="仿宋" w:cs="仿宋"/>
                <w:color w:val="auto"/>
                <w:sz w:val="21"/>
                <w:szCs w:val="21"/>
                <w:highlight w:val="none"/>
              </w:rPr>
              <w:t xml:space="preserve"> </w:t>
            </w:r>
          </w:p>
          <w:p>
            <w:pPr>
              <w:snapToGrid w:val="0"/>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账    号：</w:t>
            </w:r>
            <w:r>
              <w:rPr>
                <w:rFonts w:hint="eastAsia" w:ascii="仿宋" w:hAnsi="仿宋" w:eastAsia="仿宋" w:cs="仿宋"/>
                <w:color w:val="auto"/>
                <w:kern w:val="0"/>
                <w:sz w:val="21"/>
                <w:szCs w:val="21"/>
                <w:highlight w:val="none"/>
                <w:u w:val="single"/>
              </w:rPr>
              <w:t xml:space="preserve">                 </w:t>
            </w:r>
            <w:r>
              <w:rPr>
                <w:rFonts w:hint="eastAsia" w:ascii="仿宋" w:hAnsi="仿宋" w:eastAsia="仿宋" w:cs="仿宋"/>
                <w:color w:val="auto"/>
                <w:sz w:val="21"/>
                <w:szCs w:val="21"/>
                <w:highlight w:val="none"/>
              </w:rPr>
              <w:t xml:space="preserve"> </w:t>
            </w:r>
          </w:p>
          <w:p>
            <w:pPr>
              <w:shd w:val="clear" w:color="auto" w:fill="FFFFFF"/>
              <w:snapToGrid w:val="0"/>
              <w:ind w:firstLine="210" w:firstLineChars="100"/>
              <w:jc w:val="left"/>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履约保证金退还时间及规定：</w:t>
            </w:r>
            <w:r>
              <w:rPr>
                <w:rFonts w:hint="eastAsia" w:ascii="仿宋" w:hAnsi="仿宋" w:eastAsia="仿宋" w:cs="仿宋"/>
                <w:color w:val="auto"/>
                <w:kern w:val="0"/>
                <w:sz w:val="21"/>
                <w:szCs w:val="21"/>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2084" w:hRule="atLeast"/>
          <w:jc w:val="center"/>
        </w:trPr>
        <w:tc>
          <w:tcPr>
            <w:tcW w:w="878" w:type="dxa"/>
            <w:tcBorders>
              <w:tl2br w:val="nil"/>
              <w:tr2bl w:val="nil"/>
            </w:tcBorders>
            <w:noWrap w:val="0"/>
            <w:vAlign w:val="center"/>
          </w:tcPr>
          <w:p>
            <w:pPr>
              <w:widowControl/>
              <w:snapToGrid w:val="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38</w:t>
            </w:r>
          </w:p>
        </w:tc>
        <w:tc>
          <w:tcPr>
            <w:tcW w:w="1029" w:type="dxa"/>
            <w:tcBorders>
              <w:tl2br w:val="nil"/>
              <w:tr2bl w:val="nil"/>
            </w:tcBorders>
            <w:noWrap w:val="0"/>
            <w:vAlign w:val="center"/>
          </w:tcPr>
          <w:p>
            <w:pPr>
              <w:widowControl/>
              <w:snapToGrid w:val="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采购代理服务费</w:t>
            </w:r>
          </w:p>
        </w:tc>
        <w:tc>
          <w:tcPr>
            <w:tcW w:w="6544" w:type="dxa"/>
            <w:tcBorders>
              <w:tl2br w:val="nil"/>
              <w:tr2bl w:val="nil"/>
            </w:tcBorders>
            <w:noWrap w:val="0"/>
            <w:vAlign w:val="center"/>
          </w:tcPr>
          <w:p>
            <w:pPr>
              <w:keepNext w:val="0"/>
              <w:keepLines w:val="0"/>
              <w:pageBreakBefore w:val="0"/>
              <w:shd w:val="clear" w:color="auto" w:fill="FFFFFF"/>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_GB2312"/>
                <w:color w:val="auto"/>
                <w:szCs w:val="21"/>
                <w:highlight w:val="none"/>
              </w:rPr>
            </w:pPr>
            <w:r>
              <w:rPr>
                <w:rFonts w:hint="eastAsia" w:ascii="仿宋" w:hAnsi="仿宋" w:eastAsia="仿宋" w:cs="仿宋_GB2312"/>
                <w:color w:val="auto"/>
                <w:szCs w:val="21"/>
                <w:highlight w:val="none"/>
              </w:rPr>
              <w:sym w:font="Wingdings 2" w:char="00A3"/>
            </w:r>
            <w:r>
              <w:rPr>
                <w:rFonts w:hint="eastAsia" w:ascii="仿宋" w:hAnsi="仿宋" w:eastAsia="仿宋" w:cs="仿宋_GB2312"/>
                <w:color w:val="auto"/>
                <w:szCs w:val="21"/>
                <w:highlight w:val="none"/>
              </w:rPr>
              <w:t>本项目不收取</w:t>
            </w:r>
            <w:r>
              <w:rPr>
                <w:rFonts w:hint="eastAsia" w:ascii="仿宋" w:hAnsi="仿宋" w:eastAsia="仿宋" w:cs="仿宋_GB2312"/>
                <w:color w:val="auto"/>
                <w:kern w:val="0"/>
                <w:szCs w:val="21"/>
                <w:highlight w:val="none"/>
              </w:rPr>
              <w:t>采购代理服务费</w:t>
            </w:r>
          </w:p>
          <w:p>
            <w:pPr>
              <w:keepNext w:val="0"/>
              <w:keepLines w:val="0"/>
              <w:pageBreakBefore w:val="0"/>
              <w:shd w:val="clear" w:color="auto" w:fill="FFFFFF"/>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_GB2312"/>
                <w:color w:val="auto"/>
                <w:szCs w:val="21"/>
                <w:highlight w:val="none"/>
              </w:rPr>
            </w:pPr>
            <w:r>
              <w:rPr>
                <w:rFonts w:hint="eastAsia" w:ascii="仿宋" w:hAnsi="仿宋" w:eastAsia="仿宋" w:cs="仿宋_GB2312"/>
                <w:color w:val="auto"/>
                <w:highlight w:val="none"/>
              </w:rPr>
              <w:sym w:font="Wingdings 2" w:char="0052"/>
            </w:r>
            <w:r>
              <w:rPr>
                <w:rFonts w:hint="eastAsia" w:ascii="仿宋" w:hAnsi="仿宋" w:eastAsia="仿宋" w:cs="仿宋_GB2312"/>
                <w:color w:val="auto"/>
                <w:szCs w:val="21"/>
                <w:highlight w:val="none"/>
              </w:rPr>
              <w:t>本项目收取</w:t>
            </w:r>
            <w:r>
              <w:rPr>
                <w:rFonts w:hint="eastAsia" w:ascii="仿宋" w:hAnsi="仿宋" w:eastAsia="仿宋" w:cs="仿宋_GB2312"/>
                <w:color w:val="auto"/>
                <w:kern w:val="0"/>
                <w:szCs w:val="21"/>
                <w:highlight w:val="none"/>
              </w:rPr>
              <w:t>采购代理服务费</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仿宋" w:hAnsi="仿宋" w:eastAsia="仿宋" w:cs="仿宋_GB2312"/>
                <w:color w:val="auto"/>
                <w:kern w:val="0"/>
                <w:szCs w:val="21"/>
                <w:highlight w:val="none"/>
              </w:rPr>
            </w:pPr>
            <w:r>
              <w:rPr>
                <w:rFonts w:hint="eastAsia" w:ascii="仿宋" w:hAnsi="仿宋" w:eastAsia="仿宋" w:cs="仿宋_GB2312"/>
                <w:color w:val="auto"/>
                <w:kern w:val="0"/>
                <w:szCs w:val="21"/>
                <w:highlight w:val="none"/>
              </w:rPr>
              <w:t>本项目采购代理服务费由</w:t>
            </w:r>
            <w:r>
              <w:rPr>
                <w:rFonts w:hint="eastAsia" w:ascii="仿宋" w:hAnsi="仿宋" w:eastAsia="仿宋" w:cs="仿宋_GB2312"/>
                <w:color w:val="auto"/>
                <w:kern w:val="0"/>
                <w:szCs w:val="21"/>
                <w:highlight w:val="none"/>
                <w:u w:val="single"/>
              </w:rPr>
              <w:t>成交供应商</w:t>
            </w:r>
            <w:r>
              <w:rPr>
                <w:rFonts w:hint="eastAsia" w:ascii="仿宋" w:hAnsi="仿宋" w:eastAsia="仿宋" w:cs="仿宋_GB2312"/>
                <w:color w:val="auto"/>
                <w:kern w:val="0"/>
                <w:szCs w:val="21"/>
                <w:highlight w:val="none"/>
              </w:rPr>
              <w:t>向采购代理机构予以支付。</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仿宋" w:hAnsi="仿宋" w:eastAsia="仿宋" w:cs="仿宋_GB2312"/>
                <w:color w:val="auto"/>
                <w:kern w:val="0"/>
                <w:szCs w:val="21"/>
                <w:highlight w:val="none"/>
              </w:rPr>
            </w:pPr>
            <w:r>
              <w:rPr>
                <w:rFonts w:hint="eastAsia" w:ascii="仿宋" w:hAnsi="仿宋" w:eastAsia="仿宋" w:cs="仿宋_GB2312"/>
                <w:color w:val="auto"/>
                <w:kern w:val="0"/>
                <w:szCs w:val="21"/>
                <w:highlight w:val="none"/>
              </w:rPr>
              <w:t>支付标准：</w:t>
            </w:r>
            <w:r>
              <w:rPr>
                <w:rFonts w:hint="eastAsia" w:ascii="仿宋" w:hAnsi="仿宋" w:eastAsia="仿宋" w:cs="仿宋_GB2312"/>
                <w:color w:val="auto"/>
                <w:kern w:val="0"/>
                <w:szCs w:val="21"/>
                <w:highlight w:val="none"/>
                <w:u w:val="single"/>
              </w:rPr>
              <w:t>按《招标代理服务收费管理暂行办法》（计价格[2002]1980号）收取（此费用含在投标报价中，不得单独列项）</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仿宋" w:hAnsi="仿宋" w:eastAsia="仿宋" w:cs="仿宋_GB2312"/>
                <w:color w:val="auto"/>
                <w:kern w:val="0"/>
                <w:szCs w:val="21"/>
                <w:highlight w:val="none"/>
                <w:u w:val="single"/>
              </w:rPr>
            </w:pPr>
            <w:r>
              <w:rPr>
                <w:rFonts w:hint="eastAsia" w:ascii="仿宋" w:hAnsi="仿宋" w:eastAsia="仿宋" w:cs="仿宋_GB2312"/>
                <w:color w:val="auto"/>
                <w:kern w:val="0"/>
                <w:szCs w:val="21"/>
                <w:highlight w:val="none"/>
              </w:rPr>
              <w:t>支付形式：</w:t>
            </w:r>
            <w:r>
              <w:rPr>
                <w:rFonts w:hint="eastAsia" w:ascii="仿宋" w:hAnsi="仿宋" w:eastAsia="仿宋" w:cs="仿宋_GB2312"/>
                <w:color w:val="auto"/>
                <w:kern w:val="0"/>
                <w:szCs w:val="21"/>
                <w:highlight w:val="none"/>
                <w:u w:val="single"/>
              </w:rPr>
              <w:t xml:space="preserve">电汇、转账、现金  </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jc w:val="left"/>
              <w:textAlignment w:val="auto"/>
              <w:rPr>
                <w:rFonts w:hint="eastAsia" w:ascii="仿宋" w:hAnsi="仿宋" w:eastAsia="仿宋" w:cs="仿宋"/>
                <w:color w:val="auto"/>
                <w:kern w:val="0"/>
                <w:sz w:val="21"/>
                <w:szCs w:val="21"/>
                <w:highlight w:val="none"/>
              </w:rPr>
            </w:pPr>
            <w:r>
              <w:rPr>
                <w:rFonts w:hint="eastAsia" w:ascii="仿宋" w:hAnsi="仿宋" w:eastAsia="仿宋" w:cs="仿宋_GB2312"/>
                <w:color w:val="auto"/>
                <w:kern w:val="0"/>
                <w:szCs w:val="21"/>
                <w:highlight w:val="none"/>
              </w:rPr>
              <w:t>支付时间：</w:t>
            </w:r>
            <w:r>
              <w:rPr>
                <w:rFonts w:hint="eastAsia" w:ascii="仿宋" w:hAnsi="仿宋" w:eastAsia="仿宋" w:cs="仿宋_GB2312"/>
                <w:color w:val="auto"/>
                <w:kern w:val="0"/>
                <w:szCs w:val="21"/>
                <w:highlight w:val="none"/>
                <w:u w:val="single"/>
              </w:rPr>
              <w:t xml:space="preserve">领取成交通知书之前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878" w:type="dxa"/>
            <w:tcBorders>
              <w:tl2br w:val="nil"/>
              <w:tr2bl w:val="nil"/>
            </w:tcBorders>
            <w:noWrap w:val="0"/>
            <w:vAlign w:val="center"/>
          </w:tcPr>
          <w:p>
            <w:pPr>
              <w:widowControl/>
              <w:snapToGrid w:val="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41.3</w:t>
            </w:r>
          </w:p>
        </w:tc>
        <w:tc>
          <w:tcPr>
            <w:tcW w:w="1029" w:type="dxa"/>
            <w:tcBorders>
              <w:tl2br w:val="nil"/>
              <w:tr2bl w:val="nil"/>
            </w:tcBorders>
            <w:noWrap w:val="0"/>
            <w:vAlign w:val="center"/>
          </w:tcPr>
          <w:p>
            <w:pPr>
              <w:widowControl/>
              <w:snapToGrid w:val="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质疑</w:t>
            </w:r>
          </w:p>
        </w:tc>
        <w:tc>
          <w:tcPr>
            <w:tcW w:w="65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left"/>
              <w:textAlignment w:val="auto"/>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供应商认为自己的权益受到损害的，可以在知道或者应知其权益受到损害之日起七个工作日内，向采购代理机构提出质疑。</w:t>
            </w:r>
          </w:p>
          <w:p>
            <w:pPr>
              <w:keepNext w:val="0"/>
              <w:keepLines w:val="0"/>
              <w:pageBreakBefore w:val="0"/>
              <w:widowControl/>
              <w:kinsoku/>
              <w:wordWrap/>
              <w:overflowPunct/>
              <w:topLinePunct w:val="0"/>
              <w:autoSpaceDE/>
              <w:autoSpaceDN/>
              <w:bidi w:val="0"/>
              <w:adjustRightInd w:val="0"/>
              <w:snapToGrid w:val="0"/>
              <w:spacing w:line="400" w:lineRule="exact"/>
              <w:jc w:val="left"/>
              <w:textAlignment w:val="auto"/>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1、接收质疑函的方式：接收加盖单位公章的书面纸质疑函</w:t>
            </w:r>
          </w:p>
          <w:p>
            <w:pPr>
              <w:keepNext w:val="0"/>
              <w:keepLines w:val="0"/>
              <w:pageBreakBefore w:val="0"/>
              <w:widowControl/>
              <w:kinsoku/>
              <w:wordWrap/>
              <w:overflowPunct/>
              <w:topLinePunct w:val="0"/>
              <w:autoSpaceDE/>
              <w:autoSpaceDN/>
              <w:bidi w:val="0"/>
              <w:adjustRightInd w:val="0"/>
              <w:snapToGrid w:val="0"/>
              <w:spacing w:line="400" w:lineRule="exact"/>
              <w:ind w:firstLine="420" w:firstLineChars="200"/>
              <w:jc w:val="left"/>
              <w:textAlignment w:val="auto"/>
              <w:rPr>
                <w:rFonts w:hint="eastAsia" w:ascii="仿宋" w:hAnsi="仿宋" w:eastAsia="仿宋" w:cs="仿宋"/>
                <w:bCs/>
                <w:color w:val="auto"/>
                <w:kern w:val="0"/>
                <w:sz w:val="21"/>
                <w:szCs w:val="21"/>
                <w:highlight w:val="none"/>
                <w:u w:val="single"/>
                <w:lang w:eastAsia="zh-CN"/>
              </w:rPr>
            </w:pPr>
            <w:r>
              <w:rPr>
                <w:rFonts w:hint="eastAsia" w:ascii="仿宋" w:hAnsi="仿宋" w:eastAsia="仿宋" w:cs="仿宋"/>
                <w:bCs/>
                <w:color w:val="auto"/>
                <w:sz w:val="21"/>
                <w:szCs w:val="21"/>
                <w:highlight w:val="none"/>
              </w:rPr>
              <w:t>联系单位：</w:t>
            </w:r>
            <w:r>
              <w:rPr>
                <w:rFonts w:hint="eastAsia" w:ascii="仿宋" w:hAnsi="仿宋" w:eastAsia="仿宋" w:cs="仿宋"/>
                <w:bCs/>
                <w:color w:val="auto"/>
                <w:kern w:val="0"/>
                <w:sz w:val="21"/>
                <w:szCs w:val="21"/>
                <w:highlight w:val="none"/>
                <w:u w:val="single"/>
                <w:lang w:eastAsia="zh-CN"/>
              </w:rPr>
              <w:t xml:space="preserve"> 辽宁省昌蕴建设项目咨询有限公司　</w:t>
            </w:r>
          </w:p>
          <w:p>
            <w:pPr>
              <w:keepNext w:val="0"/>
              <w:keepLines w:val="0"/>
              <w:pageBreakBefore w:val="0"/>
              <w:widowControl/>
              <w:kinsoku/>
              <w:wordWrap/>
              <w:overflowPunct/>
              <w:topLinePunct w:val="0"/>
              <w:autoSpaceDE/>
              <w:autoSpaceDN/>
              <w:bidi w:val="0"/>
              <w:adjustRightInd w:val="0"/>
              <w:snapToGrid w:val="0"/>
              <w:spacing w:line="400" w:lineRule="exact"/>
              <w:ind w:firstLine="420" w:firstLineChars="200"/>
              <w:jc w:val="left"/>
              <w:textAlignment w:val="auto"/>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rPr>
              <w:t>联 系 人：</w:t>
            </w:r>
            <w:r>
              <w:rPr>
                <w:rFonts w:hint="eastAsia" w:ascii="仿宋" w:hAnsi="仿宋" w:eastAsia="仿宋" w:cs="仿宋"/>
                <w:bCs/>
                <w:color w:val="auto"/>
                <w:sz w:val="21"/>
                <w:szCs w:val="21"/>
                <w:highlight w:val="none"/>
                <w:u w:val="single"/>
                <w:lang w:eastAsia="zh-CN"/>
              </w:rPr>
              <w:t xml:space="preserve">李姗珊  </w:t>
            </w:r>
          </w:p>
          <w:p>
            <w:pPr>
              <w:keepNext w:val="0"/>
              <w:keepLines w:val="0"/>
              <w:pageBreakBefore w:val="0"/>
              <w:widowControl/>
              <w:kinsoku/>
              <w:wordWrap/>
              <w:overflowPunct/>
              <w:topLinePunct w:val="0"/>
              <w:autoSpaceDE/>
              <w:autoSpaceDN/>
              <w:bidi w:val="0"/>
              <w:adjustRightInd w:val="0"/>
              <w:snapToGrid w:val="0"/>
              <w:spacing w:line="400" w:lineRule="exact"/>
              <w:ind w:firstLine="420" w:firstLineChars="200"/>
              <w:jc w:val="left"/>
              <w:textAlignment w:val="auto"/>
              <w:rPr>
                <w:rFonts w:hint="eastAsia" w:ascii="仿宋" w:hAnsi="仿宋" w:eastAsia="仿宋" w:cs="仿宋"/>
                <w:bCs/>
                <w:color w:val="auto"/>
                <w:sz w:val="21"/>
                <w:szCs w:val="21"/>
                <w:highlight w:val="none"/>
                <w:u w:val="single"/>
                <w:lang w:eastAsia="zh-CN"/>
              </w:rPr>
            </w:pPr>
            <w:r>
              <w:rPr>
                <w:rFonts w:hint="eastAsia" w:ascii="仿宋" w:hAnsi="仿宋" w:eastAsia="仿宋" w:cs="仿宋"/>
                <w:bCs/>
                <w:color w:val="auto"/>
                <w:sz w:val="21"/>
                <w:szCs w:val="21"/>
                <w:highlight w:val="none"/>
              </w:rPr>
              <w:t>联系电话：</w:t>
            </w:r>
            <w:r>
              <w:rPr>
                <w:rFonts w:hint="eastAsia" w:ascii="仿宋" w:hAnsi="仿宋" w:eastAsia="仿宋" w:cs="仿宋"/>
                <w:bCs/>
                <w:color w:val="auto"/>
                <w:sz w:val="21"/>
                <w:szCs w:val="21"/>
                <w:highlight w:val="none"/>
                <w:u w:val="single"/>
                <w:lang w:eastAsia="zh-CN"/>
              </w:rPr>
              <w:t xml:space="preserve">0417-2825552   </w:t>
            </w:r>
          </w:p>
          <w:p>
            <w:pPr>
              <w:keepNext w:val="0"/>
              <w:keepLines w:val="0"/>
              <w:pageBreakBefore w:val="0"/>
              <w:widowControl/>
              <w:kinsoku/>
              <w:wordWrap/>
              <w:overflowPunct/>
              <w:topLinePunct w:val="0"/>
              <w:autoSpaceDE/>
              <w:autoSpaceDN/>
              <w:bidi w:val="0"/>
              <w:adjustRightInd w:val="0"/>
              <w:snapToGrid w:val="0"/>
              <w:spacing w:line="400" w:lineRule="exact"/>
              <w:ind w:firstLine="420" w:firstLineChars="200"/>
              <w:jc w:val="left"/>
              <w:textAlignment w:val="auto"/>
              <w:rPr>
                <w:rFonts w:hint="eastAsia" w:ascii="仿宋" w:hAnsi="仿宋" w:eastAsia="仿宋" w:cs="仿宋"/>
                <w:bCs/>
                <w:color w:val="auto"/>
                <w:sz w:val="21"/>
                <w:szCs w:val="21"/>
                <w:highlight w:val="none"/>
                <w:u w:val="single"/>
                <w:lang w:eastAsia="zh-CN"/>
              </w:rPr>
            </w:pPr>
            <w:r>
              <w:rPr>
                <w:rFonts w:hint="eastAsia" w:ascii="仿宋" w:hAnsi="仿宋" w:eastAsia="仿宋" w:cs="仿宋"/>
                <w:bCs/>
                <w:color w:val="auto"/>
                <w:sz w:val="21"/>
                <w:szCs w:val="21"/>
                <w:highlight w:val="none"/>
              </w:rPr>
              <w:t>通讯地址：</w:t>
            </w:r>
            <w:r>
              <w:rPr>
                <w:rFonts w:hint="eastAsia" w:ascii="仿宋" w:hAnsi="仿宋" w:eastAsia="仿宋" w:cs="仿宋"/>
                <w:bCs/>
                <w:color w:val="auto"/>
                <w:sz w:val="21"/>
                <w:szCs w:val="21"/>
                <w:highlight w:val="none"/>
                <w:u w:val="single"/>
                <w:lang w:eastAsia="zh-CN"/>
              </w:rPr>
              <w:t>营口市站前区体育场南街11-111号</w:t>
            </w:r>
          </w:p>
          <w:p>
            <w:pPr>
              <w:keepNext w:val="0"/>
              <w:keepLines w:val="0"/>
              <w:pageBreakBefore w:val="0"/>
              <w:widowControl/>
              <w:kinsoku/>
              <w:wordWrap/>
              <w:overflowPunct/>
              <w:topLinePunct w:val="0"/>
              <w:autoSpaceDE/>
              <w:autoSpaceDN/>
              <w:bidi w:val="0"/>
              <w:adjustRightInd w:val="0"/>
              <w:snapToGrid w:val="0"/>
              <w:spacing w:line="400" w:lineRule="exact"/>
              <w:jc w:val="left"/>
              <w:textAlignment w:val="auto"/>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2、质疑函的内容、格式：应符合《政府采购质疑和投诉办法》相关规定和财政部门制定的《政府采购质疑函范本》格式。</w:t>
            </w:r>
          </w:p>
          <w:p>
            <w:pPr>
              <w:pStyle w:val="10"/>
              <w:keepNext w:val="0"/>
              <w:keepLines w:val="0"/>
              <w:pageBreakBefore w:val="0"/>
              <w:kinsoku/>
              <w:wordWrap/>
              <w:overflowPunct/>
              <w:topLinePunct w:val="0"/>
              <w:autoSpaceDE/>
              <w:autoSpaceDN/>
              <w:bidi w:val="0"/>
              <w:snapToGrid w:val="0"/>
              <w:spacing w:line="400" w:lineRule="exact"/>
              <w:jc w:val="left"/>
              <w:textAlignment w:val="auto"/>
              <w:rPr>
                <w:rFonts w:hint="eastAsia" w:ascii="仿宋" w:hAnsi="仿宋" w:eastAsia="仿宋" w:cs="仿宋"/>
                <w:color w:val="auto"/>
                <w:kern w:val="0"/>
                <w:sz w:val="21"/>
                <w:szCs w:val="21"/>
                <w:highlight w:val="none"/>
              </w:rPr>
            </w:pPr>
            <w:r>
              <w:rPr>
                <w:rFonts w:hint="eastAsia" w:ascii="仿宋" w:hAnsi="仿宋" w:eastAsia="仿宋" w:cs="仿宋"/>
                <w:bCs/>
                <w:color w:val="auto"/>
                <w:sz w:val="21"/>
                <w:szCs w:val="21"/>
                <w:highlight w:val="none"/>
              </w:rPr>
              <w:t>3、供应商应在法定质疑期内一次性针对同一采购程序环节提出</w:t>
            </w:r>
            <w:r>
              <w:rPr>
                <w:rFonts w:hint="eastAsia" w:ascii="仿宋" w:hAnsi="仿宋" w:eastAsia="仿宋" w:cs="仿宋"/>
                <w:color w:val="auto"/>
                <w:sz w:val="21"/>
                <w:szCs w:val="21"/>
                <w:highlight w:val="none"/>
              </w:rPr>
              <w:t>质疑，否则针对再次提出质疑将不予接收。（采购程序环节分为：采购公告、采购文件、采购过程、成交结果）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878" w:type="dxa"/>
            <w:tcBorders>
              <w:tl2br w:val="nil"/>
              <w:tr2bl w:val="nil"/>
            </w:tcBorders>
            <w:noWrap w:val="0"/>
            <w:vAlign w:val="center"/>
          </w:tcPr>
          <w:p>
            <w:pPr>
              <w:widowControl/>
              <w:snapToGrid w:val="0"/>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lang w:val="en-US" w:eastAsia="zh-CN"/>
              </w:rPr>
              <w:t>42</w:t>
            </w:r>
          </w:p>
        </w:tc>
        <w:tc>
          <w:tcPr>
            <w:tcW w:w="1029" w:type="dxa"/>
            <w:tcBorders>
              <w:tl2br w:val="nil"/>
              <w:tr2bl w:val="nil"/>
            </w:tcBorders>
            <w:noWrap w:val="0"/>
            <w:vAlign w:val="center"/>
          </w:tcPr>
          <w:p>
            <w:pPr>
              <w:widowControl/>
              <w:snapToGrid w:val="0"/>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lang w:eastAsia="zh-CN"/>
              </w:rPr>
              <w:t>备注</w:t>
            </w:r>
          </w:p>
        </w:tc>
        <w:tc>
          <w:tcPr>
            <w:tcW w:w="6544" w:type="dxa"/>
            <w:tcBorders>
              <w:tl2br w:val="nil"/>
              <w:tr2bl w:val="nil"/>
            </w:tcBorders>
            <w:noWrap w:val="0"/>
            <w:vAlign w:val="center"/>
          </w:tcPr>
          <w:p>
            <w:pPr>
              <w:pStyle w:val="10"/>
              <w:rPr>
                <w:rFonts w:hint="eastAsia" w:ascii="仿宋" w:hAnsi="仿宋" w:eastAsia="仿宋" w:cs="仿宋"/>
                <w:color w:val="auto"/>
                <w:szCs w:val="21"/>
              </w:rPr>
            </w:pPr>
            <w:r>
              <w:rPr>
                <w:rFonts w:hint="eastAsia" w:ascii="仿宋" w:hAnsi="仿宋" w:eastAsia="仿宋" w:cs="仿宋"/>
                <w:color w:val="auto"/>
                <w:szCs w:val="21"/>
              </w:rPr>
              <w:t>1、采购供应商不现场参会。</w:t>
            </w:r>
          </w:p>
          <w:p>
            <w:pPr>
              <w:pStyle w:val="10"/>
              <w:rPr>
                <w:rFonts w:hint="eastAsia" w:ascii="仿宋" w:hAnsi="仿宋" w:eastAsia="仿宋" w:cs="仿宋"/>
                <w:color w:val="auto"/>
                <w:szCs w:val="21"/>
              </w:rPr>
            </w:pPr>
            <w:r>
              <w:rPr>
                <w:rFonts w:hint="eastAsia" w:ascii="仿宋" w:hAnsi="仿宋" w:eastAsia="仿宋" w:cs="仿宋"/>
                <w:color w:val="auto"/>
                <w:szCs w:val="21"/>
              </w:rPr>
              <w:t>2、供应商应自行准备解密所需设备登录辽宁政府采购网，在递交响应文件截止时间后按要求在规定时间内自行解密。供应商在获取采购文件时，应准确填写联系人姓名、联系电话，如因填写错误导致采购人或代理机构无法及时联系供应商，责任由供应商自行承担。</w:t>
            </w:r>
          </w:p>
          <w:p>
            <w:pPr>
              <w:pStyle w:val="10"/>
              <w:rPr>
                <w:rFonts w:hint="eastAsia" w:ascii="仿宋" w:hAnsi="仿宋" w:eastAsia="仿宋" w:cs="仿宋"/>
                <w:color w:val="auto"/>
                <w:szCs w:val="21"/>
              </w:rPr>
            </w:pPr>
            <w:r>
              <w:rPr>
                <w:rFonts w:hint="eastAsia" w:ascii="仿宋" w:hAnsi="仿宋" w:eastAsia="仿宋" w:cs="仿宋"/>
                <w:color w:val="auto"/>
                <w:szCs w:val="21"/>
              </w:rPr>
              <w:t>3、供应商不参会，备份文件可按采购文件要求递交。</w:t>
            </w:r>
          </w:p>
          <w:p>
            <w:pPr>
              <w:pStyle w:val="10"/>
              <w:rPr>
                <w:rFonts w:hint="eastAsia" w:ascii="仿宋" w:hAnsi="仿宋" w:eastAsia="仿宋" w:cs="仿宋"/>
                <w:color w:val="auto"/>
                <w:szCs w:val="21"/>
              </w:rPr>
            </w:pPr>
            <w:r>
              <w:rPr>
                <w:rFonts w:hint="eastAsia" w:ascii="仿宋" w:hAnsi="仿宋" w:eastAsia="仿宋" w:cs="仿宋"/>
                <w:color w:val="auto"/>
                <w:szCs w:val="21"/>
              </w:rPr>
              <w:t>4、磋商过程中，磋商小组将集中根据采购文件规定的程序、评定成交的标准等事项与实质性响应采购文件要求的供应商分别进行磋商，磋商小组在评审系统中提出磋商问题，供应商应在评审系统中进行答复，答复时间为接到代理公司电话通知20分钟内，逾期或所留联系电话无法接通，视为对磋商问题完全响应。</w:t>
            </w:r>
          </w:p>
          <w:p>
            <w:pPr>
              <w:widowControl/>
              <w:rPr>
                <w:rFonts w:hint="eastAsia" w:ascii="仿宋" w:hAnsi="仿宋" w:eastAsia="仿宋" w:cs="仿宋"/>
                <w:color w:val="auto"/>
                <w:szCs w:val="21"/>
              </w:rPr>
            </w:pPr>
            <w:r>
              <w:rPr>
                <w:rFonts w:hint="eastAsia" w:ascii="仿宋" w:hAnsi="仿宋" w:eastAsia="仿宋" w:cs="仿宋"/>
                <w:color w:val="auto"/>
                <w:szCs w:val="21"/>
              </w:rPr>
              <w:t>5、磋商结束后，磋商小组将要求所有实质性响应的供应商在规定时间内提交最后报价，最后报价时间30分钟。响应文件递交截止时间后，供应商应自行关注系统内相关信息，按规定时间完成最后报价，若供应商未进行最后报价，或未能在规定的时间内提交最后报价，将自动认定该供应商为退出报价，同时，该供应商也将失去继续参与后续流程的资格。</w:t>
            </w:r>
          </w:p>
          <w:p>
            <w:pPr>
              <w:snapToGrid w:val="0"/>
              <w:jc w:val="left"/>
              <w:rPr>
                <w:rFonts w:hint="eastAsia" w:ascii="仿宋" w:hAnsi="仿宋" w:eastAsia="仿宋" w:cs="仿宋"/>
                <w:bCs/>
                <w:color w:val="auto"/>
                <w:sz w:val="21"/>
                <w:szCs w:val="21"/>
                <w:highlight w:val="none"/>
              </w:rPr>
            </w:pPr>
          </w:p>
        </w:tc>
      </w:tr>
    </w:tbl>
    <w:p>
      <w:pPr>
        <w:rPr>
          <w:rFonts w:hint="eastAsia" w:ascii="仿宋" w:hAnsi="仿宋" w:eastAsia="仿宋" w:cs="仿宋"/>
          <w:color w:val="auto"/>
          <w:highlight w:val="none"/>
        </w:rPr>
      </w:pPr>
      <w:r>
        <w:rPr>
          <w:rFonts w:hint="eastAsia" w:ascii="仿宋" w:hAnsi="仿宋" w:eastAsia="仿宋" w:cs="仿宋"/>
          <w:color w:val="auto"/>
          <w:highlight w:val="none"/>
        </w:rPr>
        <w:t>注：表格中“</w:t>
      </w:r>
      <w:r>
        <w:rPr>
          <w:rFonts w:hint="eastAsia" w:ascii="仿宋" w:hAnsi="仿宋" w:eastAsia="仿宋" w:cs="仿宋"/>
          <w:color w:val="auto"/>
          <w:highlight w:val="none"/>
        </w:rPr>
        <w:sym w:font="Wingdings 2" w:char="0052"/>
      </w:r>
      <w:r>
        <w:rPr>
          <w:rFonts w:hint="eastAsia" w:ascii="仿宋" w:hAnsi="仿宋" w:eastAsia="仿宋" w:cs="仿宋"/>
          <w:color w:val="auto"/>
          <w:highlight w:val="none"/>
        </w:rPr>
        <w:t>”项为被选中项。</w:t>
      </w:r>
    </w:p>
    <w:p>
      <w:pPr>
        <w:pStyle w:val="3"/>
        <w:adjustRightInd w:val="0"/>
        <w:snapToGrid w:val="0"/>
        <w:spacing w:before="0" w:after="0" w:line="360" w:lineRule="auto"/>
        <w:jc w:val="center"/>
        <w:rPr>
          <w:rFonts w:hint="eastAsia" w:ascii="仿宋_GB2312" w:hAnsi="仿宋_GB2312" w:eastAsia="仿宋_GB2312" w:cs="仿宋_GB2312"/>
          <w:color w:val="auto"/>
        </w:rPr>
      </w:pPr>
      <w:r>
        <w:rPr>
          <w:rFonts w:hint="eastAsia" w:ascii="仿宋" w:hAnsi="仿宋" w:eastAsia="仿宋" w:cs="仿宋"/>
          <w:color w:val="auto"/>
          <w:sz w:val="21"/>
          <w:szCs w:val="21"/>
          <w:highlight w:val="none"/>
        </w:rPr>
        <w:br w:type="page"/>
      </w:r>
      <w:bookmarkStart w:id="49" w:name="_Toc4485619"/>
      <w:bookmarkStart w:id="50" w:name="_Toc533340140"/>
      <w:r>
        <w:rPr>
          <w:rFonts w:hint="eastAsia" w:ascii="仿宋_GB2312" w:hAnsi="仿宋_GB2312" w:eastAsia="仿宋_GB2312" w:cs="仿宋_GB2312"/>
          <w:color w:val="auto"/>
          <w:szCs w:val="32"/>
        </w:rPr>
        <w:t>二</w:t>
      </w:r>
      <w:r>
        <w:rPr>
          <w:rFonts w:hint="eastAsia" w:ascii="仿宋_GB2312" w:hAnsi="仿宋_GB2312" w:eastAsia="仿宋_GB2312" w:cs="仿宋_GB2312"/>
          <w:color w:val="auto"/>
        </w:rPr>
        <w:t xml:space="preserve"> 总则</w:t>
      </w:r>
      <w:bookmarkEnd w:id="49"/>
      <w:bookmarkEnd w:id="50"/>
    </w:p>
    <w:p>
      <w:pPr>
        <w:adjustRightInd w:val="0"/>
        <w:snapToGrid w:val="0"/>
        <w:spacing w:line="360" w:lineRule="auto"/>
        <w:rPr>
          <w:rFonts w:hint="eastAsia"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1.采购人、采购代理机构及供应商</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1.1采购人：是指依法进行政府采购的国家机关、事业单位、团体组织。本项目采购人见供应商须知表1.1条。</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1.2采购代理机构：是指集中采购机构或从事采购代理业务的社会中介机构，本项目的采购代理机构见供应商须知表1.2条。</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★1.3供应商：是指向采购人提供货物、工程或者服务的法人、非法人组织或者自然人。本项目的供应商及其响应服务须满足以下条件：</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1.3.1在中华人民共和国境内注册，能够独立承担民事责任，有生产或供应能力的本国供应商。</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1.3.2符合《中华人民共和国政府采购法》第二十二条关于供应商条件的规定，遵守本项目采购人本级和上级财政部门关于政府采购的有关规定。</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1.3.3以采购代理机构认可的方式获得了本项目的采购文件。</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1.3.4符合供应商须知表1.3.4条中规定的其他要求。</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1.3.5若供应商须知表1.3.5条中写明专门面向中小企业采购的，如供应商为非中小企业且所响应产品为非中小企业产品，其响应文件将被认定为</w:t>
      </w:r>
      <w:r>
        <w:rPr>
          <w:rFonts w:hint="eastAsia" w:ascii="仿宋_GB2312" w:hAnsi="仿宋_GB2312" w:eastAsia="仿宋_GB2312" w:cs="仿宋_GB2312"/>
          <w:b/>
          <w:bCs/>
          <w:color w:val="auto"/>
          <w:szCs w:val="21"/>
        </w:rPr>
        <w:t>无效响应</w:t>
      </w:r>
      <w:r>
        <w:rPr>
          <w:rFonts w:hint="eastAsia" w:ascii="仿宋_GB2312" w:hAnsi="仿宋_GB2312" w:eastAsia="仿宋_GB2312" w:cs="仿宋_GB2312"/>
          <w:color w:val="auto"/>
          <w:szCs w:val="21"/>
        </w:rPr>
        <w:t>。</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1.3.6若供应商须知表1.3.6款中写明采购服务所伴随的货物为财政部、发展改革委、生态环境部等部门发布的品目清单中属于实施政府强制采购品目清单范围的节能产品，如供应商所响应伴随的货物不具备依据国家确定的认证机构出具的、处于有效期之内的节能产品认证证书，其响应文件将被认定为</w:t>
      </w:r>
      <w:r>
        <w:rPr>
          <w:rFonts w:hint="eastAsia" w:ascii="仿宋_GB2312" w:hAnsi="仿宋_GB2312" w:eastAsia="仿宋_GB2312" w:cs="仿宋_GB2312"/>
          <w:b/>
          <w:bCs/>
          <w:color w:val="auto"/>
          <w:szCs w:val="21"/>
        </w:rPr>
        <w:t>无效响应</w:t>
      </w:r>
      <w:r>
        <w:rPr>
          <w:rFonts w:hint="eastAsia" w:ascii="仿宋_GB2312" w:hAnsi="仿宋_GB2312" w:eastAsia="仿宋_GB2312" w:cs="仿宋_GB2312"/>
          <w:color w:val="auto"/>
          <w:szCs w:val="21"/>
        </w:rPr>
        <w:t>。</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★1.4如供应商须知表1.4条中允许联合体参加采购活动的，对联合体规定如下：</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1.4.1两个以上供应商可以组成一个联合体，以一个供应商的身份参加采购活动。</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1.4.2联合体各方均应符合《中华人民共和国政府采购法》第二十二条规定的条件。</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1.4.3采购人根据采购项目对供应商的特殊要求，联合体中至少应当有一方符合相关规定。</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1.4.4联合体各方应签订共同参加采购活动协议，明确约定联合体各方承担的工作和相应的责任。</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1.4.5大中型企业、其他自然人、法人或者非法人组织与小型、微型企业组成联合体共同参加采购活动，共同参加采购活动协议中应写明小型、微型企业的协议合同金额占到共同参加采购活动协议响应总金额的比例。</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1.4.6联合体中有同类资质的供应商按照联合体分工承担相同工作的，按照较低的资质等级确定联合体的资质等级。</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1.4.7以联合体形式参加政府采购活动的，联合体各方不得再单独参加或者与其他供应商另外组成联合体参加本项目采购活动，否则相关响应文件将被认定为</w:t>
      </w:r>
      <w:r>
        <w:rPr>
          <w:rFonts w:hint="eastAsia" w:ascii="仿宋_GB2312" w:hAnsi="仿宋_GB2312" w:eastAsia="仿宋_GB2312" w:cs="仿宋_GB2312"/>
          <w:b/>
          <w:color w:val="auto"/>
          <w:szCs w:val="21"/>
        </w:rPr>
        <w:t>无效响应。</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（1）两个以上的自然人、法人或者其他组织可以组成一个联合体，以一个供应商的身份共同参加政府采购活动。</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（2）联合体成交的，联合体各方应共同与采购人签订采购合同，就采购合同约定的事项对采购人承担连带责任。</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1.4.8对联合体参加采购活动的其他资格要求见供应商须知表1.4.8条。</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★1.5单位负责人为同一人或者存在直接控股、管理关系的不同供应商，其相关响应将被认定为</w:t>
      </w:r>
      <w:r>
        <w:rPr>
          <w:rFonts w:hint="eastAsia" w:ascii="仿宋_GB2312" w:hAnsi="仿宋_GB2312" w:eastAsia="仿宋_GB2312" w:cs="仿宋_GB2312"/>
          <w:b/>
          <w:color w:val="auto"/>
          <w:szCs w:val="21"/>
        </w:rPr>
        <w:t>无效响应</w:t>
      </w:r>
      <w:r>
        <w:rPr>
          <w:rFonts w:hint="eastAsia" w:ascii="仿宋_GB2312" w:hAnsi="仿宋_GB2312" w:eastAsia="仿宋_GB2312" w:cs="仿宋_GB2312"/>
          <w:color w:val="auto"/>
          <w:szCs w:val="21"/>
        </w:rPr>
        <w:t>。</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★1.6为本项目提供过整体设计、规范编制或者项目管理、监理、检测等服务的供应商，不得再参加本项目上述服务以外的其他采购活动，否则其响应文件将被认定为</w:t>
      </w:r>
      <w:r>
        <w:rPr>
          <w:rFonts w:hint="eastAsia" w:ascii="仿宋_GB2312" w:hAnsi="仿宋_GB2312" w:eastAsia="仿宋_GB2312" w:cs="仿宋_GB2312"/>
          <w:b/>
          <w:color w:val="auto"/>
          <w:szCs w:val="21"/>
        </w:rPr>
        <w:t>无效响应</w:t>
      </w:r>
      <w:r>
        <w:rPr>
          <w:rFonts w:hint="eastAsia" w:ascii="仿宋_GB2312" w:hAnsi="仿宋_GB2312" w:eastAsia="仿宋_GB2312" w:cs="仿宋_GB2312"/>
          <w:color w:val="auto"/>
          <w:szCs w:val="21"/>
        </w:rPr>
        <w:t>。</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★1.7供应商在磋商过程中不得向采购人提供、给予任何有价值的物品，影响其正常决策行为。一经发现，其将被认定为</w:t>
      </w:r>
      <w:r>
        <w:rPr>
          <w:rFonts w:hint="eastAsia" w:ascii="仿宋_GB2312" w:hAnsi="仿宋_GB2312" w:eastAsia="仿宋_GB2312" w:cs="仿宋_GB2312"/>
          <w:b/>
          <w:color w:val="auto"/>
          <w:szCs w:val="21"/>
        </w:rPr>
        <w:t>无效响应</w:t>
      </w:r>
      <w:r>
        <w:rPr>
          <w:rFonts w:hint="eastAsia" w:ascii="仿宋_GB2312" w:hAnsi="仿宋_GB2312" w:eastAsia="仿宋_GB2312" w:cs="仿宋_GB2312"/>
          <w:color w:val="auto"/>
          <w:szCs w:val="21"/>
        </w:rPr>
        <w:t>。</w:t>
      </w:r>
    </w:p>
    <w:p>
      <w:pPr>
        <w:adjustRightInd w:val="0"/>
        <w:snapToGrid w:val="0"/>
        <w:spacing w:line="360" w:lineRule="auto"/>
        <w:rPr>
          <w:rFonts w:hint="eastAsia"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2.资金来源</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2.1本项目的采购人已获得足以支付本次磋商后所签订的合同项下的资金（包括财政性资金和本项目采购中无法与财政性资金分割的非财政性资金）。</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★2.2项目预算金额和分项或分包最高限价见供应商须知表2.2条。</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★2.3供应商报价超过采购文件规定的预算金额或者分项、分包最高限价的，其响应文件将被认定为</w:t>
      </w:r>
      <w:r>
        <w:rPr>
          <w:rFonts w:hint="eastAsia" w:ascii="仿宋_GB2312" w:hAnsi="仿宋_GB2312" w:eastAsia="仿宋_GB2312" w:cs="仿宋_GB2312"/>
          <w:b/>
          <w:color w:val="auto"/>
          <w:szCs w:val="21"/>
        </w:rPr>
        <w:t>无效响应</w:t>
      </w:r>
      <w:r>
        <w:rPr>
          <w:rFonts w:hint="eastAsia" w:ascii="仿宋_GB2312" w:hAnsi="仿宋_GB2312" w:eastAsia="仿宋_GB2312" w:cs="仿宋_GB2312"/>
          <w:color w:val="auto"/>
          <w:szCs w:val="21"/>
        </w:rPr>
        <w:t>。</w:t>
      </w:r>
    </w:p>
    <w:p>
      <w:pPr>
        <w:adjustRightInd w:val="0"/>
        <w:snapToGrid w:val="0"/>
        <w:spacing w:line="360" w:lineRule="auto"/>
        <w:rPr>
          <w:rFonts w:hint="eastAsia" w:ascii="仿宋_GB2312" w:hAnsi="仿宋_GB2312" w:eastAsia="仿宋_GB2312" w:cs="仿宋_GB2312"/>
          <w:b/>
          <w:color w:val="auto"/>
          <w:szCs w:val="21"/>
        </w:rPr>
      </w:pPr>
      <w:bookmarkStart w:id="51" w:name="_Toc266951048"/>
      <w:r>
        <w:rPr>
          <w:rFonts w:hint="eastAsia" w:ascii="仿宋_GB2312" w:hAnsi="仿宋_GB2312" w:eastAsia="仿宋_GB2312" w:cs="仿宋_GB2312"/>
          <w:b/>
          <w:color w:val="auto"/>
          <w:szCs w:val="21"/>
        </w:rPr>
        <w:t>3.语言文字</w:t>
      </w:r>
      <w:bookmarkEnd w:id="51"/>
    </w:p>
    <w:p>
      <w:pPr>
        <w:adjustRightInd w:val="0"/>
        <w:snapToGrid w:val="0"/>
        <w:spacing w:line="360" w:lineRule="auto"/>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除专用术语外，与磋商有关的语言均使用中文。必要时专用术语应附有中文注释。对不同文字文本响应文件的解释发生异议的，以中文文本为准。</w:t>
      </w:r>
    </w:p>
    <w:p>
      <w:pPr>
        <w:adjustRightInd w:val="0"/>
        <w:snapToGrid w:val="0"/>
        <w:spacing w:line="360" w:lineRule="auto"/>
        <w:rPr>
          <w:rFonts w:hint="eastAsia" w:ascii="仿宋_GB2312" w:hAnsi="仿宋_GB2312" w:eastAsia="仿宋_GB2312" w:cs="仿宋_GB2312"/>
          <w:b/>
          <w:color w:val="auto"/>
          <w:szCs w:val="21"/>
        </w:rPr>
      </w:pPr>
      <w:bookmarkStart w:id="52" w:name="_1.8_计量单位"/>
      <w:bookmarkEnd w:id="52"/>
      <w:bookmarkStart w:id="53" w:name="_Toc266951049"/>
      <w:r>
        <w:rPr>
          <w:rFonts w:hint="eastAsia" w:ascii="仿宋_GB2312" w:hAnsi="仿宋_GB2312" w:eastAsia="仿宋_GB2312" w:cs="仿宋_GB2312"/>
          <w:b/>
          <w:color w:val="auto"/>
          <w:szCs w:val="21"/>
        </w:rPr>
        <w:t>★4.计量单位</w:t>
      </w:r>
      <w:bookmarkEnd w:id="53"/>
    </w:p>
    <w:p>
      <w:pPr>
        <w:adjustRightInd w:val="0"/>
        <w:snapToGrid w:val="0"/>
        <w:spacing w:line="360" w:lineRule="auto"/>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除供应商须知表4条中有特殊要求外，响应文件中所使用的计量单位，应采用中华人民共和国法定计量单位。</w:t>
      </w:r>
    </w:p>
    <w:p>
      <w:pPr>
        <w:adjustRightInd w:val="0"/>
        <w:snapToGrid w:val="0"/>
        <w:spacing w:line="360" w:lineRule="auto"/>
        <w:rPr>
          <w:rFonts w:hint="eastAsia" w:ascii="仿宋_GB2312" w:hAnsi="仿宋_GB2312" w:eastAsia="仿宋_GB2312" w:cs="仿宋_GB2312"/>
          <w:b/>
          <w:color w:val="auto"/>
          <w:szCs w:val="21"/>
        </w:rPr>
      </w:pPr>
      <w:r>
        <w:rPr>
          <w:rFonts w:hint="eastAsia" w:ascii="仿宋_GB2312" w:hAnsi="仿宋_GB2312" w:eastAsia="仿宋_GB2312" w:cs="仿宋_GB2312"/>
          <w:b/>
          <w:color w:val="auto"/>
          <w:szCs w:val="21"/>
        </w:rPr>
        <w:t>★5.磋商费用</w:t>
      </w:r>
    </w:p>
    <w:p>
      <w:pPr>
        <w:adjustRightInd w:val="0"/>
        <w:snapToGrid w:val="0"/>
        <w:spacing w:line="360" w:lineRule="auto"/>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不论磋商的结果如何，供应商应承担所有与本次政府采购活动有关的费用。</w:t>
      </w:r>
    </w:p>
    <w:p>
      <w:pPr>
        <w:adjustRightInd w:val="0"/>
        <w:snapToGrid w:val="0"/>
        <w:spacing w:line="360" w:lineRule="auto"/>
        <w:rPr>
          <w:rFonts w:hint="eastAsia" w:ascii="仿宋_GB2312" w:hAnsi="仿宋_GB2312" w:eastAsia="仿宋_GB2312" w:cs="仿宋_GB2312"/>
          <w:b/>
          <w:color w:val="auto"/>
          <w:szCs w:val="21"/>
        </w:rPr>
      </w:pPr>
      <w:r>
        <w:rPr>
          <w:rFonts w:hint="eastAsia" w:ascii="仿宋_GB2312" w:hAnsi="仿宋_GB2312" w:eastAsia="仿宋_GB2312" w:cs="仿宋_GB2312"/>
          <w:b/>
          <w:color w:val="auto"/>
          <w:szCs w:val="21"/>
        </w:rPr>
        <w:t>★6.现场考察、磋商前答疑会</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6.1</w:t>
      </w:r>
      <w:r>
        <w:rPr>
          <w:color w:val="auto"/>
        </w:rPr>
        <w:fldChar w:fldCharType="begin"/>
      </w:r>
      <w:r>
        <w:rPr>
          <w:color w:val="auto"/>
        </w:rPr>
        <w:instrText xml:space="preserve"> HYPERLINK \l "_踏勘现场" </w:instrText>
      </w:r>
      <w:r>
        <w:rPr>
          <w:color w:val="auto"/>
        </w:rPr>
        <w:fldChar w:fldCharType="separate"/>
      </w:r>
      <w:r>
        <w:rPr>
          <w:rFonts w:hint="eastAsia" w:ascii="仿宋_GB2312" w:hAnsi="仿宋_GB2312" w:eastAsia="仿宋_GB2312" w:cs="仿宋_GB2312"/>
          <w:color w:val="auto"/>
          <w:szCs w:val="21"/>
        </w:rPr>
        <w:t>供应商须知表</w:t>
      </w:r>
      <w:r>
        <w:rPr>
          <w:rFonts w:hint="eastAsia" w:ascii="仿宋_GB2312" w:hAnsi="仿宋_GB2312" w:eastAsia="仿宋_GB2312" w:cs="仿宋_GB2312"/>
          <w:color w:val="auto"/>
          <w:szCs w:val="21"/>
        </w:rPr>
        <w:fldChar w:fldCharType="end"/>
      </w:r>
      <w:r>
        <w:rPr>
          <w:rFonts w:hint="eastAsia" w:ascii="仿宋_GB2312" w:hAnsi="仿宋_GB2312" w:eastAsia="仿宋_GB2312" w:cs="仿宋_GB2312"/>
          <w:color w:val="auto"/>
          <w:szCs w:val="21"/>
        </w:rPr>
        <w:t>6.1条规定组织现场考察或磋商前答疑会的，采购人按</w:t>
      </w:r>
      <w:r>
        <w:rPr>
          <w:color w:val="auto"/>
        </w:rPr>
        <w:fldChar w:fldCharType="begin"/>
      </w:r>
      <w:r>
        <w:rPr>
          <w:color w:val="auto"/>
        </w:rPr>
        <w:instrText xml:space="preserve">HYPERLINK \l "_踏勘现场"</w:instrText>
      </w:r>
      <w:r>
        <w:rPr>
          <w:color w:val="auto"/>
        </w:rPr>
        <w:fldChar w:fldCharType="separate"/>
      </w:r>
      <w:r>
        <w:rPr>
          <w:rFonts w:hint="eastAsia" w:ascii="仿宋_GB2312" w:hAnsi="仿宋_GB2312" w:eastAsia="仿宋_GB2312" w:cs="仿宋_GB2312"/>
          <w:color w:val="auto"/>
          <w:szCs w:val="21"/>
        </w:rPr>
        <w:t>供应商须知表</w:t>
      </w:r>
      <w:r>
        <w:rPr>
          <w:color w:val="auto"/>
        </w:rPr>
        <w:fldChar w:fldCharType="end"/>
      </w:r>
      <w:r>
        <w:rPr>
          <w:rFonts w:hint="eastAsia" w:ascii="仿宋_GB2312" w:hAnsi="仿宋_GB2312" w:eastAsia="仿宋_GB2312" w:cs="仿宋_GB2312"/>
          <w:color w:val="auto"/>
          <w:szCs w:val="21"/>
        </w:rPr>
        <w:t>6.1条规定的时间、地点组织供应商现场考察或磋商前答疑会，或者在领取采购文件期限截止后以书面形式通知所有获取采购文件的潜在供应商。</w:t>
      </w:r>
    </w:p>
    <w:p>
      <w:pPr>
        <w:adjustRightInd w:val="0"/>
        <w:snapToGrid w:val="0"/>
        <w:spacing w:line="360" w:lineRule="auto"/>
        <w:rPr>
          <w:rFonts w:hint="eastAsia" w:ascii="仿宋_GB2312" w:hAnsi="仿宋_GB2312" w:eastAsia="仿宋_GB2312" w:cs="仿宋_GB2312"/>
          <w:color w:val="auto"/>
          <w:szCs w:val="21"/>
        </w:rPr>
      </w:pPr>
      <w:bookmarkStart w:id="54" w:name="_1.10_投标预备会"/>
      <w:bookmarkEnd w:id="54"/>
      <w:r>
        <w:rPr>
          <w:rFonts w:hint="eastAsia" w:ascii="仿宋_GB2312" w:hAnsi="仿宋_GB2312" w:eastAsia="仿宋_GB2312" w:cs="仿宋_GB2312"/>
          <w:color w:val="auto"/>
          <w:szCs w:val="21"/>
        </w:rPr>
        <w:t>6.2由于未参加现场考察或磋商前答疑而导致对项目实际情况不了解，影响技术文件编制、</w:t>
      </w:r>
      <w:r>
        <w:rPr>
          <w:color w:val="auto"/>
        </w:rPr>
        <w:fldChar w:fldCharType="begin"/>
      </w:r>
      <w:r>
        <w:rPr>
          <w:color w:val="auto"/>
        </w:rPr>
        <w:instrText xml:space="preserve">HYPERLINK "https://www.baidu.com/s?wd=%E6%8A%95%E6%A0%87%E6%8A%A5%E4%BB%B7&amp;tn=44039180_cpr&amp;fenlei=mv6quAkxTZn0IZRqIHckPjm4nH00T1dWuyfdP1u9uyPBrjKhmvDv0ZwV5Hcvrjm3rH6sPfKWUMw85HfYnjn4nH6sgvPsT6KdThsqpZwYTjCEQLGCpyw9Uz4Bmy-bIi4WUvYETgN-TLwGUv3EPj63P1RkPH6Y" \t "_blank"</w:instrText>
      </w:r>
      <w:r>
        <w:rPr>
          <w:color w:val="auto"/>
        </w:rPr>
        <w:fldChar w:fldCharType="separate"/>
      </w:r>
      <w:r>
        <w:rPr>
          <w:rFonts w:hint="eastAsia" w:ascii="仿宋_GB2312" w:hAnsi="仿宋_GB2312" w:eastAsia="仿宋_GB2312" w:cs="仿宋_GB2312"/>
          <w:color w:val="auto"/>
          <w:szCs w:val="21"/>
        </w:rPr>
        <w:t>响应报价</w:t>
      </w:r>
      <w:r>
        <w:rPr>
          <w:color w:val="auto"/>
        </w:rPr>
        <w:fldChar w:fldCharType="end"/>
      </w:r>
      <w:r>
        <w:rPr>
          <w:rFonts w:hint="eastAsia" w:ascii="仿宋_GB2312" w:hAnsi="仿宋_GB2312" w:eastAsia="仿宋_GB2312" w:cs="仿宋_GB2312"/>
          <w:color w:val="auto"/>
          <w:szCs w:val="21"/>
        </w:rPr>
        <w:t>准确性、综合因素响应不全面等问题的，由供应商自行承担相应后果。</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6.3现场考察及磋商前答疑会所发生的费用及一切责任由供应商自行承担。</w:t>
      </w:r>
    </w:p>
    <w:p>
      <w:pPr>
        <w:adjustRightInd w:val="0"/>
        <w:snapToGrid w:val="0"/>
        <w:spacing w:line="360" w:lineRule="auto"/>
        <w:rPr>
          <w:rFonts w:hint="eastAsia"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7.适用法律</w:t>
      </w:r>
    </w:p>
    <w:p>
      <w:pPr>
        <w:adjustRightInd w:val="0"/>
        <w:snapToGrid w:val="0"/>
        <w:spacing w:line="360" w:lineRule="auto"/>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本项目的采购人、采购代理机构、供应商、磋商小组的相关行为均受《中华人民共和国政府采购法》、《中华人民共和国政府采购法实施条例》、《政府采购竞争性磋商采购方式暂行办法》及本项目本级和上级财政部门关于政府采购有关规定的约束，其权利受到上述法律法规的保护。</w:t>
      </w:r>
    </w:p>
    <w:p>
      <w:pPr>
        <w:pStyle w:val="3"/>
        <w:adjustRightInd w:val="0"/>
        <w:snapToGrid w:val="0"/>
        <w:spacing w:before="319" w:beforeLines="100" w:after="159" w:afterLines="50" w:line="360" w:lineRule="auto"/>
        <w:jc w:val="center"/>
        <w:rPr>
          <w:rFonts w:hint="eastAsia" w:ascii="仿宋_GB2312" w:hAnsi="仿宋_GB2312" w:eastAsia="仿宋_GB2312" w:cs="仿宋_GB2312"/>
          <w:color w:val="auto"/>
        </w:rPr>
      </w:pPr>
      <w:bookmarkStart w:id="55" w:name="_Toc4485620"/>
      <w:bookmarkStart w:id="56" w:name="_Toc533340141"/>
      <w:r>
        <w:rPr>
          <w:rFonts w:hint="eastAsia" w:ascii="仿宋_GB2312" w:hAnsi="仿宋_GB2312" w:eastAsia="仿宋_GB2312" w:cs="仿宋_GB2312"/>
          <w:color w:val="auto"/>
        </w:rPr>
        <w:t xml:space="preserve">三 </w:t>
      </w:r>
      <w:bookmarkEnd w:id="55"/>
      <w:bookmarkEnd w:id="56"/>
      <w:r>
        <w:rPr>
          <w:rFonts w:hint="eastAsia" w:ascii="仿宋_GB2312" w:hAnsi="仿宋_GB2312" w:eastAsia="仿宋_GB2312" w:cs="仿宋_GB2312"/>
          <w:color w:val="auto"/>
        </w:rPr>
        <w:t>采购文件</w:t>
      </w:r>
    </w:p>
    <w:p>
      <w:pPr>
        <w:adjustRightInd w:val="0"/>
        <w:snapToGrid w:val="0"/>
        <w:spacing w:line="360" w:lineRule="auto"/>
        <w:rPr>
          <w:rFonts w:hint="eastAsia"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8.采购文件构成</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8.1采购文件共六章，内容如下:</w:t>
      </w:r>
    </w:p>
    <w:p>
      <w:pPr>
        <w:adjustRightInd w:val="0"/>
        <w:snapToGrid w:val="0"/>
        <w:spacing w:line="360" w:lineRule="auto"/>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采购公告</w:t>
      </w:r>
    </w:p>
    <w:p>
      <w:pPr>
        <w:adjustRightInd w:val="0"/>
        <w:snapToGrid w:val="0"/>
        <w:spacing w:line="360" w:lineRule="auto"/>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第一章 供应商须知</w:t>
      </w:r>
    </w:p>
    <w:p>
      <w:pPr>
        <w:adjustRightInd w:val="0"/>
        <w:snapToGrid w:val="0"/>
        <w:spacing w:line="360" w:lineRule="auto"/>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第二章 响应文件内容及格式</w:t>
      </w:r>
    </w:p>
    <w:p>
      <w:pPr>
        <w:adjustRightInd w:val="0"/>
        <w:snapToGrid w:val="0"/>
        <w:spacing w:line="360" w:lineRule="auto"/>
        <w:ind w:firstLine="420" w:firstLineChars="200"/>
        <w:rPr>
          <w:rFonts w:hint="eastAsia" w:ascii="仿宋_GB2312" w:hAnsi="仿宋_GB2312" w:eastAsia="仿宋_GB2312" w:cs="仿宋_GB2312"/>
          <w:color w:val="auto"/>
          <w:szCs w:val="21"/>
          <w:lang w:eastAsia="zh-CN"/>
        </w:rPr>
      </w:pPr>
      <w:r>
        <w:rPr>
          <w:rFonts w:hint="eastAsia" w:ascii="仿宋_GB2312" w:hAnsi="仿宋_GB2312" w:eastAsia="仿宋_GB2312" w:cs="仿宋_GB2312"/>
          <w:color w:val="auto"/>
          <w:szCs w:val="21"/>
        </w:rPr>
        <w:t xml:space="preserve">第三章 </w:t>
      </w:r>
      <w:r>
        <w:rPr>
          <w:rFonts w:hint="eastAsia" w:ascii="仿宋_GB2312" w:hAnsi="仿宋_GB2312" w:eastAsia="仿宋_GB2312" w:cs="仿宋_GB2312"/>
          <w:color w:val="auto"/>
          <w:szCs w:val="21"/>
          <w:lang w:eastAsia="zh-CN"/>
        </w:rPr>
        <w:t>项目需求</w:t>
      </w:r>
    </w:p>
    <w:p>
      <w:pPr>
        <w:adjustRightInd w:val="0"/>
        <w:snapToGrid w:val="0"/>
        <w:spacing w:line="360" w:lineRule="auto"/>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第四章 磋商内容、磋商过程中可能实质性变动的内容</w:t>
      </w:r>
    </w:p>
    <w:p>
      <w:pPr>
        <w:adjustRightInd w:val="0"/>
        <w:snapToGrid w:val="0"/>
        <w:spacing w:line="360" w:lineRule="auto"/>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第五章 评审办法</w:t>
      </w:r>
    </w:p>
    <w:p>
      <w:pPr>
        <w:adjustRightInd w:val="0"/>
        <w:snapToGrid w:val="0"/>
        <w:spacing w:line="360" w:lineRule="auto"/>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第六章 政府采购合同条款及格式</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★8.2供应商应认真阅读采购文件所有的事项、格式、条款等。如供应商没有按照采购文件要求提交资料，或者响应文件没有对采购文件做出实质性响应，可能导致其响应文件被认定为</w:t>
      </w:r>
      <w:r>
        <w:rPr>
          <w:rFonts w:hint="eastAsia" w:ascii="仿宋_GB2312" w:hAnsi="仿宋_GB2312" w:eastAsia="仿宋_GB2312" w:cs="仿宋_GB2312"/>
          <w:b/>
          <w:bCs/>
          <w:color w:val="auto"/>
          <w:szCs w:val="21"/>
        </w:rPr>
        <w:t>无效响应</w:t>
      </w:r>
      <w:r>
        <w:rPr>
          <w:rFonts w:hint="eastAsia" w:ascii="仿宋_GB2312" w:hAnsi="仿宋_GB2312" w:eastAsia="仿宋_GB2312" w:cs="仿宋_GB2312"/>
          <w:color w:val="auto"/>
          <w:szCs w:val="21"/>
        </w:rPr>
        <w:t>。</w:t>
      </w:r>
    </w:p>
    <w:p>
      <w:pPr>
        <w:adjustRightInd w:val="0"/>
        <w:snapToGrid w:val="0"/>
        <w:spacing w:line="360" w:lineRule="auto"/>
        <w:rPr>
          <w:rFonts w:hint="eastAsia"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9.采购文件的澄清与修改</w:t>
      </w:r>
    </w:p>
    <w:p>
      <w:pPr>
        <w:adjustRightInd w:val="0"/>
        <w:snapToGrid w:val="0"/>
        <w:spacing w:line="360" w:lineRule="auto"/>
        <w:rPr>
          <w:rFonts w:hint="eastAsia" w:ascii="仿宋_GB2312" w:hAnsi="仿宋_GB2312" w:eastAsia="仿宋_GB2312" w:cs="仿宋_GB2312"/>
          <w:color w:val="auto"/>
          <w:szCs w:val="21"/>
          <w:shd w:val="clear" w:color="auto" w:fill="FFFFFF"/>
        </w:rPr>
      </w:pPr>
      <w:r>
        <w:rPr>
          <w:rFonts w:hint="eastAsia" w:ascii="仿宋_GB2312" w:hAnsi="仿宋_GB2312" w:eastAsia="仿宋_GB2312" w:cs="仿宋_GB2312"/>
          <w:color w:val="auto"/>
          <w:szCs w:val="21"/>
        </w:rPr>
        <w:t>9.1</w:t>
      </w:r>
      <w:r>
        <w:rPr>
          <w:rFonts w:hint="eastAsia" w:ascii="仿宋_GB2312" w:hAnsi="仿宋_GB2312" w:eastAsia="仿宋_GB2312" w:cs="仿宋_GB2312"/>
          <w:color w:val="auto"/>
          <w:szCs w:val="21"/>
          <w:shd w:val="clear" w:color="auto" w:fill="FFFFFF"/>
        </w:rPr>
        <w:t>采购人、采购代理机构可以对已发出的采购文件进行必要的澄清或者修改。澄清或者修改的内容可能影响响应文件编制的，应当在递交首次响应文件截止时间至少3个工作日前，</w:t>
      </w:r>
      <w:r>
        <w:rPr>
          <w:rFonts w:hint="eastAsia" w:ascii="仿宋_GB2312" w:hAnsi="仿宋_GB2312" w:eastAsia="仿宋_GB2312" w:cs="仿宋_GB2312"/>
          <w:color w:val="auto"/>
          <w:szCs w:val="21"/>
        </w:rPr>
        <w:t>在原公告发布媒体上发布变更公告</w:t>
      </w:r>
      <w:r>
        <w:rPr>
          <w:rFonts w:hint="eastAsia" w:ascii="仿宋_GB2312" w:hAnsi="仿宋_GB2312" w:eastAsia="仿宋_GB2312" w:cs="仿宋_GB2312"/>
          <w:color w:val="auto"/>
          <w:szCs w:val="21"/>
          <w:shd w:val="clear" w:color="auto" w:fill="FFFFFF"/>
        </w:rPr>
        <w:t>，以书面形式通知所有接收采购文件的供应商，不足3个工作日的，应当顺延首次递交响应文件截止时间。</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9.2澄清或者修改的内容为采购文件的组成部分，对所有采购文件的收受人具有约束力。供应商在收到上述通知后，应及时向采购代理机构回函确认。</w:t>
      </w:r>
    </w:p>
    <w:p>
      <w:pPr>
        <w:pStyle w:val="3"/>
        <w:adjustRightInd w:val="0"/>
        <w:snapToGrid w:val="0"/>
        <w:spacing w:before="319" w:beforeLines="100" w:after="159" w:afterLines="50" w:line="360" w:lineRule="auto"/>
        <w:jc w:val="center"/>
        <w:rPr>
          <w:rFonts w:hint="eastAsia" w:ascii="仿宋_GB2312" w:hAnsi="仿宋_GB2312" w:eastAsia="仿宋_GB2312" w:cs="仿宋_GB2312"/>
          <w:color w:val="auto"/>
        </w:rPr>
      </w:pPr>
      <w:bookmarkStart w:id="57" w:name="_Toc533340142"/>
      <w:bookmarkStart w:id="58" w:name="_Toc4485621"/>
      <w:r>
        <w:rPr>
          <w:rFonts w:hint="eastAsia" w:ascii="仿宋_GB2312" w:hAnsi="仿宋_GB2312" w:eastAsia="仿宋_GB2312" w:cs="仿宋_GB2312"/>
          <w:color w:val="auto"/>
        </w:rPr>
        <w:t>四  响应文件的编制</w:t>
      </w:r>
      <w:bookmarkEnd w:id="57"/>
      <w:bookmarkEnd w:id="58"/>
    </w:p>
    <w:p>
      <w:pPr>
        <w:adjustRightInd w:val="0"/>
        <w:snapToGrid w:val="0"/>
        <w:spacing w:line="360" w:lineRule="auto"/>
        <w:rPr>
          <w:rFonts w:hint="eastAsia" w:ascii="仿宋_GB2312" w:hAnsi="仿宋_GB2312" w:eastAsia="仿宋_GB2312" w:cs="仿宋_GB2312"/>
          <w:b/>
          <w:color w:val="auto"/>
          <w:szCs w:val="21"/>
        </w:rPr>
      </w:pPr>
      <w:r>
        <w:rPr>
          <w:rFonts w:hint="eastAsia" w:ascii="仿宋_GB2312" w:hAnsi="仿宋_GB2312" w:eastAsia="仿宋_GB2312" w:cs="仿宋_GB2312"/>
          <w:b/>
          <w:bCs/>
          <w:color w:val="auto"/>
          <w:szCs w:val="21"/>
        </w:rPr>
        <w:t>10.</w:t>
      </w:r>
      <w:r>
        <w:rPr>
          <w:rFonts w:hint="eastAsia" w:ascii="仿宋_GB2312" w:hAnsi="仿宋_GB2312" w:eastAsia="仿宋_GB2312" w:cs="仿宋_GB2312"/>
          <w:b/>
          <w:color w:val="auto"/>
          <w:szCs w:val="21"/>
        </w:rPr>
        <w:t>响应范围</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10.1项目有分包的，供应商可对采购文件其中某一个分包或几个分包进行响应。</w:t>
      </w:r>
    </w:p>
    <w:p>
      <w:pPr>
        <w:adjustRightInd w:val="0"/>
        <w:snapToGrid w:val="0"/>
        <w:spacing w:line="360" w:lineRule="auto"/>
        <w:rPr>
          <w:rFonts w:hint="eastAsia" w:ascii="仿宋_GB2312" w:hAnsi="仿宋_GB2312" w:eastAsia="仿宋_GB2312" w:cs="仿宋_GB2312"/>
          <w:b/>
          <w:color w:val="auto"/>
          <w:szCs w:val="21"/>
        </w:rPr>
      </w:pPr>
      <w:r>
        <w:rPr>
          <w:rFonts w:hint="eastAsia" w:ascii="仿宋_GB2312" w:hAnsi="仿宋_GB2312" w:eastAsia="仿宋_GB2312" w:cs="仿宋_GB2312"/>
          <w:color w:val="auto"/>
          <w:szCs w:val="21"/>
        </w:rPr>
        <w:t>★10.2供应商应当对所响应分包采购文件中“</w:t>
      </w:r>
      <w:r>
        <w:rPr>
          <w:rFonts w:hint="eastAsia" w:ascii="仿宋_GB2312" w:hAnsi="仿宋_GB2312" w:eastAsia="仿宋_GB2312" w:cs="仿宋_GB2312"/>
          <w:color w:val="auto"/>
          <w:szCs w:val="21"/>
          <w:lang w:eastAsia="zh-CN"/>
        </w:rPr>
        <w:t>项目需求</w:t>
      </w:r>
      <w:r>
        <w:rPr>
          <w:rFonts w:hint="eastAsia" w:ascii="仿宋_GB2312" w:hAnsi="仿宋_GB2312" w:eastAsia="仿宋_GB2312" w:cs="仿宋_GB2312"/>
          <w:color w:val="auto"/>
          <w:szCs w:val="21"/>
        </w:rPr>
        <w:t>”所列的所有服务内容进行响应，如仅响应分包中某一部分内容，其该包响应文件将被认定为</w:t>
      </w:r>
      <w:r>
        <w:rPr>
          <w:rFonts w:hint="eastAsia" w:ascii="仿宋_GB2312" w:hAnsi="仿宋_GB2312" w:eastAsia="仿宋_GB2312" w:cs="仿宋_GB2312"/>
          <w:b/>
          <w:color w:val="auto"/>
          <w:szCs w:val="21"/>
        </w:rPr>
        <w:t>无效响应。</w:t>
      </w:r>
    </w:p>
    <w:p>
      <w:pPr>
        <w:adjustRightInd w:val="0"/>
        <w:snapToGrid w:val="0"/>
        <w:spacing w:line="360" w:lineRule="auto"/>
        <w:rPr>
          <w:color w:val="auto"/>
        </w:rPr>
      </w:pPr>
      <w:r>
        <w:rPr>
          <w:rFonts w:hint="eastAsia" w:ascii="仿宋_GB2312" w:hAnsi="仿宋_GB2312" w:eastAsia="仿宋_GB2312" w:cs="仿宋_GB2312"/>
          <w:color w:val="auto"/>
          <w:szCs w:val="21"/>
        </w:rPr>
        <w:t>10.3无论采购文件第三章</w:t>
      </w:r>
      <w:r>
        <w:rPr>
          <w:rFonts w:hint="eastAsia" w:ascii="仿宋_GB2312" w:hAnsi="仿宋_GB2312" w:eastAsia="仿宋_GB2312" w:cs="仿宋_GB2312"/>
          <w:color w:val="auto"/>
          <w:szCs w:val="21"/>
          <w:lang w:eastAsia="zh-CN"/>
        </w:rPr>
        <w:t>项目需求</w:t>
      </w:r>
      <w:r>
        <w:rPr>
          <w:rFonts w:hint="eastAsia" w:ascii="仿宋_GB2312" w:hAnsi="仿宋_GB2312" w:eastAsia="仿宋_GB2312" w:cs="仿宋_GB2312"/>
          <w:color w:val="auto"/>
          <w:szCs w:val="21"/>
        </w:rPr>
        <w:t>中是否要求，供应商所响应的服务均应符合国家强制性标准。</w:t>
      </w:r>
    </w:p>
    <w:p>
      <w:pPr>
        <w:adjustRightInd w:val="0"/>
        <w:snapToGrid w:val="0"/>
        <w:spacing w:line="360" w:lineRule="auto"/>
        <w:rPr>
          <w:rFonts w:hint="eastAsia" w:ascii="仿宋_GB2312" w:hAnsi="仿宋_GB2312" w:eastAsia="仿宋_GB2312" w:cs="仿宋_GB2312"/>
          <w:b/>
          <w:color w:val="auto"/>
          <w:szCs w:val="21"/>
        </w:rPr>
      </w:pPr>
      <w:r>
        <w:rPr>
          <w:rFonts w:hint="eastAsia" w:ascii="仿宋_GB2312" w:hAnsi="仿宋_GB2312" w:eastAsia="仿宋_GB2312" w:cs="仿宋_GB2312"/>
          <w:b/>
          <w:color w:val="auto"/>
          <w:szCs w:val="21"/>
        </w:rPr>
        <w:t>11.响应文件构成</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★11.1供应商应完整地按采购文件提供的响应文件格式及要求编写响应文件。响应文件应包括资格证明文件、符合性证明文件、其它材料三部分。具体详见第二章 响应文件内容及格式。</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11.2供应商应按采购文件提供的格式编写响应文件。采购文件提供标准格式的按标准格式填列，未提供标准格式的可自行拟定。</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11.3样品或演示要求详见供应商须知表11.3条。</w:t>
      </w:r>
    </w:p>
    <w:p>
      <w:pPr>
        <w:adjustRightInd w:val="0"/>
        <w:snapToGrid w:val="0"/>
        <w:spacing w:line="360" w:lineRule="auto"/>
        <w:rPr>
          <w:rFonts w:hint="eastAsia" w:ascii="仿宋_GB2312" w:hAnsi="仿宋_GB2312" w:eastAsia="仿宋_GB2312" w:cs="仿宋_GB2312"/>
          <w:b/>
          <w:color w:val="auto"/>
          <w:szCs w:val="21"/>
        </w:rPr>
      </w:pPr>
      <w:r>
        <w:rPr>
          <w:rFonts w:hint="eastAsia" w:ascii="仿宋_GB2312" w:hAnsi="仿宋_GB2312" w:eastAsia="仿宋_GB2312" w:cs="仿宋_GB2312"/>
          <w:b/>
          <w:color w:val="auto"/>
          <w:szCs w:val="21"/>
        </w:rPr>
        <w:t>★12.响应报价</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12.1所有响应均按供应商须知表12.1条中要求货币进行报价。供应商的响应报价应遵守《中华人民共和国价格法》。同时，根据《中华人民共和国政府采购法》第三条的规定，为保证公平竞争，如有服务主体部分的赠与行为，其响应文件将被认定为无效响应。</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12.2供应商应按采购文件要求在相关表格中标明响应服务及伴随货物的单价和总价，并由法定代表人（非法人组织的负责人）或其委托代理人签署。</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12.3供应商提交的最后报价,在合同履行过程中是固定不变的，不得以任何理由予以变更。任何包含价格调整要求的响应，其响应文件将被认定为无效响应。</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12.4每种服务只能有一个响应报价。采购人不接受具有附加条件的报价。</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12.5除非采购文件另有规定，报价原则上精确到小数点后两位。</w:t>
      </w:r>
    </w:p>
    <w:p>
      <w:pPr>
        <w:adjustRightInd w:val="0"/>
        <w:snapToGrid w:val="0"/>
        <w:spacing w:line="360" w:lineRule="auto"/>
        <w:jc w:val="left"/>
        <w:rPr>
          <w:rFonts w:hint="eastAsia" w:ascii="仿宋_GB2312" w:hAnsi="仿宋_GB2312" w:eastAsia="仿宋_GB2312" w:cs="仿宋_GB2312"/>
          <w:b/>
          <w:color w:val="auto"/>
          <w:szCs w:val="21"/>
        </w:rPr>
      </w:pPr>
      <w:r>
        <w:rPr>
          <w:rFonts w:hint="eastAsia" w:ascii="仿宋_GB2312" w:hAnsi="仿宋_GB2312" w:eastAsia="仿宋_GB2312" w:cs="仿宋_GB2312"/>
          <w:b/>
          <w:color w:val="auto"/>
          <w:szCs w:val="21"/>
        </w:rPr>
        <w:t>★13.磋商保证金</w:t>
      </w:r>
    </w:p>
    <w:p>
      <w:pPr>
        <w:adjustRightInd w:val="0"/>
        <w:snapToGrid w:val="0"/>
        <w:spacing w:line="360" w:lineRule="auto"/>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13.1供应商应提交供应商须知表13.1条中规定的磋商保证金，并作为其响应文件的一部分。</w:t>
      </w:r>
    </w:p>
    <w:p>
      <w:pPr>
        <w:adjustRightInd w:val="0"/>
        <w:snapToGrid w:val="0"/>
        <w:spacing w:line="360" w:lineRule="auto"/>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13.2磋商保证金缴纳人、采购文件领取人、提交响应文件登记人和供应商必须为同一组织机构或联合体内不同成员单位，否则将视同未按采购文件规定交纳保证金。</w:t>
      </w:r>
    </w:p>
    <w:p>
      <w:pPr>
        <w:adjustRightInd w:val="0"/>
        <w:snapToGrid w:val="0"/>
        <w:spacing w:line="360" w:lineRule="auto"/>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13.3供应商存在下列情形的，磋商保证金不予退还:</w:t>
      </w:r>
    </w:p>
    <w:p>
      <w:pPr>
        <w:adjustRightInd w:val="0"/>
        <w:snapToGrid w:val="0"/>
        <w:spacing w:line="360" w:lineRule="auto"/>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（1）供应商在提交响应文件截止时间后撤回响应文件的；</w:t>
      </w:r>
    </w:p>
    <w:p>
      <w:pPr>
        <w:adjustRightInd w:val="0"/>
        <w:snapToGrid w:val="0"/>
        <w:spacing w:line="360" w:lineRule="auto"/>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（2）供应商在响应文件中提供虚假材料的；</w:t>
      </w:r>
    </w:p>
    <w:p>
      <w:pPr>
        <w:adjustRightInd w:val="0"/>
        <w:snapToGrid w:val="0"/>
        <w:spacing w:line="360" w:lineRule="auto"/>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（3）成交后除因不可抗力或者采购文件认可的情形以外，不按本须知第36条的规定与采购人签订合同的；</w:t>
      </w:r>
    </w:p>
    <w:p>
      <w:pPr>
        <w:adjustRightInd w:val="0"/>
        <w:snapToGrid w:val="0"/>
        <w:spacing w:line="360" w:lineRule="auto"/>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（4）成交后不按本须知第37条的规定提交履约保证金的;</w:t>
      </w:r>
    </w:p>
    <w:p>
      <w:pPr>
        <w:adjustRightInd w:val="0"/>
        <w:snapToGrid w:val="0"/>
        <w:spacing w:line="360" w:lineRule="auto"/>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（5）成交后不按本须知第38条的规定缴纳采购代理服务费的;</w:t>
      </w:r>
    </w:p>
    <w:p>
      <w:pPr>
        <w:adjustRightInd w:val="0"/>
        <w:snapToGrid w:val="0"/>
        <w:spacing w:line="360" w:lineRule="auto"/>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（6）采购文件规定的其他保证金不予退还情形或存在其他违法违规行为的。</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13.4联合体参加采购活动的，可以由联合体中的一方或者共同提交磋商保证金。以一方名义提交磋商保证金的，对联合体各方均具有约束力。</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13.5磋商保证金的退还</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13.5.1成交供应商应在与采购人签订合同之日起5个工作日内，及时联系保证金收受机构办理磋商保证金退还手续。</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13.5.2未成交供应商的保证金将在成交通知书发出之日暨成交结果公告公布之日起5个工作日内无息退还。供应商应及时联系保证金收受机构办理退还磋商保证金手续。</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13.5.3供应商在递交响应文件截止时间前撤回已提交的响应文件的，供应商应自采购人或者采购代理机构收到供应商书面撤回通知之日起５个工作日内，及时联系保证金收受机构办理磋商保证金退还手续。</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13.5.4政府采购担保函不予退回。</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13.6因供应商自身原因导致无法及时退还的，采购人或采购代理机构将不承担相应责任。</w:t>
      </w:r>
    </w:p>
    <w:p>
      <w:pPr>
        <w:adjustRightInd w:val="0"/>
        <w:snapToGrid w:val="0"/>
        <w:spacing w:line="360" w:lineRule="auto"/>
        <w:rPr>
          <w:rFonts w:hint="eastAsia" w:ascii="仿宋_GB2312" w:hAnsi="仿宋_GB2312" w:eastAsia="仿宋_GB2312" w:cs="仿宋_GB2312"/>
          <w:b/>
          <w:color w:val="auto"/>
          <w:szCs w:val="21"/>
        </w:rPr>
      </w:pPr>
      <w:r>
        <w:rPr>
          <w:rFonts w:hint="eastAsia" w:ascii="仿宋_GB2312" w:hAnsi="仿宋_GB2312" w:eastAsia="仿宋_GB2312" w:cs="仿宋_GB2312"/>
          <w:b/>
          <w:color w:val="auto"/>
          <w:szCs w:val="21"/>
        </w:rPr>
        <w:t>★14.证明响应标的的合格性和符合采购文件规定的技术文件</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14.供应商应提交证明文件，证明其响应内容符合采购文件规定。该证明文件是响应文件的一部分。</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14.2上款所述的证明文件，可以是文字资料、图纸和数据。</w:t>
      </w:r>
    </w:p>
    <w:p>
      <w:pPr>
        <w:adjustRightInd w:val="0"/>
        <w:snapToGrid w:val="0"/>
        <w:spacing w:line="360" w:lineRule="auto"/>
        <w:rPr>
          <w:rFonts w:hint="eastAsia" w:ascii="仿宋_GB2312" w:hAnsi="仿宋_GB2312" w:eastAsia="仿宋_GB2312" w:cs="仿宋_GB2312"/>
          <w:b/>
          <w:color w:val="auto"/>
          <w:szCs w:val="21"/>
        </w:rPr>
      </w:pPr>
      <w:r>
        <w:rPr>
          <w:rFonts w:hint="eastAsia" w:ascii="仿宋_GB2312" w:hAnsi="仿宋_GB2312" w:eastAsia="仿宋_GB2312" w:cs="仿宋_GB2312"/>
          <w:b/>
          <w:color w:val="auto"/>
          <w:szCs w:val="21"/>
        </w:rPr>
        <w:t>★15.响应有效期</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15.1响应应在供应商须知表15.1条中规定的响应有效期内保持有效。响应有效期不满足要求的响应，其响应文件将被认定为无效响应。</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15.2在特殊情况下，采购人或采购代理机构可根据实际情况，在原响应有效期截止之前，要求供应商延长响应的有效期。接受该要求的供应商将不会被要求和允许修正其响应，且本须知中有关磋商保证金的要求须在延长的有效期内继续有效。供应商可以拒绝延长响应有效期的要求，其磋商保证金将及时无息退还。上述要求和答复都应以书面形式提交。</w:t>
      </w:r>
    </w:p>
    <w:p>
      <w:pPr>
        <w:adjustRightInd w:val="0"/>
        <w:snapToGrid w:val="0"/>
        <w:spacing w:line="360" w:lineRule="auto"/>
        <w:rPr>
          <w:rFonts w:hint="eastAsia" w:ascii="仿宋_GB2312" w:hAnsi="仿宋_GB2312" w:eastAsia="仿宋_GB2312" w:cs="仿宋_GB2312"/>
          <w:b/>
          <w:color w:val="auto"/>
          <w:szCs w:val="21"/>
        </w:rPr>
      </w:pPr>
      <w:r>
        <w:rPr>
          <w:rFonts w:hint="eastAsia" w:ascii="仿宋_GB2312" w:hAnsi="仿宋_GB2312" w:eastAsia="仿宋_GB2312" w:cs="仿宋_GB2312"/>
          <w:b/>
          <w:color w:val="auto"/>
          <w:szCs w:val="21"/>
        </w:rPr>
        <w:t>16.响应文件的签署及规定</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16.1供应商应按供应商须知表16.1款中的规定，准备和递交响应文件正本、副本和电子文档。</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★16.2每份响应文件封皮须清楚地标明“正本”或“副本”。若正本和副本不符，以正本为准。</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16.3响应文件的正本需打印或用不褪色墨水书写，并由供应商的法定代表人（非法人组织负责人）或经其正式委托代理人按采购文件规定在响应文件上签字或盖章，并加盖单位印章。委托代理人须持有书面的“法定代表人（非法人组织负责人）授权委托书”，并将其附在响应文件中。如对响应文件进行了修改，则应由供应商的法定代表人（非法人组织负责人）或其委托代理人在每一修改处签字。响应文件的副本可采用正本的复印件。</w:t>
      </w:r>
    </w:p>
    <w:p>
      <w:pPr>
        <w:pStyle w:val="3"/>
        <w:adjustRightInd w:val="0"/>
        <w:snapToGrid w:val="0"/>
        <w:spacing w:before="319" w:beforeLines="100" w:after="159" w:afterLines="50" w:line="360" w:lineRule="auto"/>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五 响应文件的递交</w:t>
      </w:r>
    </w:p>
    <w:p>
      <w:pPr>
        <w:adjustRightInd w:val="0"/>
        <w:snapToGrid w:val="0"/>
        <w:spacing w:line="360" w:lineRule="auto"/>
        <w:rPr>
          <w:rFonts w:hint="eastAsia" w:ascii="仿宋_GB2312" w:hAnsi="仿宋_GB2312" w:eastAsia="仿宋_GB2312" w:cs="仿宋_GB2312"/>
          <w:b/>
          <w:color w:val="auto"/>
          <w:szCs w:val="21"/>
        </w:rPr>
      </w:pPr>
      <w:r>
        <w:rPr>
          <w:rFonts w:hint="eastAsia" w:ascii="仿宋_GB2312" w:hAnsi="仿宋_GB2312" w:eastAsia="仿宋_GB2312" w:cs="仿宋_GB2312"/>
          <w:b/>
          <w:color w:val="auto"/>
          <w:szCs w:val="21"/>
        </w:rPr>
        <w:t>★17.响应文件的密封和标记（本项目采用电子远程不见面开标，不适用）</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17.1供应商应将响应文件密封，将正本和所有的副本、电子文档密封，并进行包封。</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17.2所有包装封皮上均应：</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（1）注明项目名称、项目编号、包号、供应商名称。</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（2）在封口处加盖供应商单位公章或加贴密封条或加盖密封章。</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17.3如果供应商未按上述要求密封，其响应文件将被</w:t>
      </w:r>
      <w:r>
        <w:rPr>
          <w:rFonts w:hint="eastAsia" w:ascii="仿宋_GB2312" w:hAnsi="仿宋_GB2312" w:eastAsia="仿宋_GB2312" w:cs="仿宋_GB2312"/>
          <w:b/>
          <w:color w:val="auto"/>
          <w:szCs w:val="21"/>
        </w:rPr>
        <w:t>拒绝接收</w:t>
      </w:r>
      <w:r>
        <w:rPr>
          <w:rFonts w:hint="eastAsia" w:ascii="仿宋_GB2312" w:hAnsi="仿宋_GB2312" w:eastAsia="仿宋_GB2312" w:cs="仿宋_GB2312"/>
          <w:color w:val="auto"/>
          <w:szCs w:val="21"/>
        </w:rPr>
        <w:t>。</w:t>
      </w:r>
    </w:p>
    <w:p>
      <w:pPr>
        <w:adjustRightInd w:val="0"/>
        <w:snapToGrid w:val="0"/>
        <w:spacing w:line="360" w:lineRule="auto"/>
        <w:rPr>
          <w:rFonts w:hint="eastAsia" w:ascii="仿宋_GB2312" w:hAnsi="仿宋_GB2312" w:eastAsia="仿宋_GB2312" w:cs="仿宋_GB2312"/>
          <w:b/>
          <w:color w:val="auto"/>
          <w:szCs w:val="21"/>
        </w:rPr>
      </w:pPr>
      <w:r>
        <w:rPr>
          <w:rFonts w:hint="eastAsia" w:ascii="仿宋_GB2312" w:hAnsi="仿宋_GB2312" w:eastAsia="仿宋_GB2312" w:cs="仿宋_GB2312"/>
          <w:b/>
          <w:color w:val="auto"/>
          <w:szCs w:val="21"/>
        </w:rPr>
        <w:t>★18.递交响应文件截止</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18.1供应商应在供应商须知表18.1条中规定的截止时间前，将响应文件递交到供应商须知表18.1条中规定的地点。</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18.2采购人和采购代理机构有权按本须知的规定，延迟递交响应文件截止时间。在此情况下，采购人、采购代理机构和供应商受递交响应文件截止时间制约的所有权利和义务均应延长至新的截止时间。</w:t>
      </w:r>
    </w:p>
    <w:p>
      <w:pPr>
        <w:adjustRightInd w:val="0"/>
        <w:snapToGrid w:val="0"/>
        <w:spacing w:line="360" w:lineRule="auto"/>
        <w:rPr>
          <w:rFonts w:hint="eastAsia" w:ascii="仿宋_GB2312" w:hAnsi="仿宋_GB2312" w:eastAsia="仿宋_GB2312" w:cs="仿宋_GB2312"/>
          <w:b/>
          <w:color w:val="auto"/>
          <w:szCs w:val="21"/>
        </w:rPr>
      </w:pPr>
      <w:r>
        <w:rPr>
          <w:rFonts w:hint="eastAsia" w:ascii="仿宋_GB2312" w:hAnsi="仿宋_GB2312" w:eastAsia="仿宋_GB2312" w:cs="仿宋_GB2312"/>
          <w:b/>
          <w:color w:val="auto"/>
          <w:szCs w:val="21"/>
        </w:rPr>
        <w:t>★19.响应文件的接收、修改与撤回</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19.1在递交响应文件截止时间后递交的响应文件,采购人和采购代理机构将</w:t>
      </w:r>
      <w:r>
        <w:rPr>
          <w:rFonts w:hint="eastAsia" w:ascii="仿宋_GB2312" w:hAnsi="仿宋_GB2312" w:eastAsia="仿宋_GB2312" w:cs="仿宋_GB2312"/>
          <w:b/>
          <w:color w:val="auto"/>
          <w:szCs w:val="21"/>
        </w:rPr>
        <w:t>拒绝接收。</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19.2递交响应文件以后，如果供应商要进行修改或撤回响应文件，须提出书面申请并在提交响应文件截止时间前送达磋商地点，供应商对响应文件的修改或撤回通知应按本须知规定编制、密封、标记。采购人和采购代理机构将予以接收，并视为响应文件的组成部分，否则，修改后的响应文件或撤回行为无效。</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19.3在提交响应文件截止时间之后，除需提交最后报价外，供应商不得对其响应文件做任何修改；</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19.4采购人和采购代理机构对所接收并进行磋商的响应文件概不退回。</w:t>
      </w:r>
    </w:p>
    <w:p>
      <w:pPr>
        <w:pStyle w:val="3"/>
        <w:adjustRightInd w:val="0"/>
        <w:snapToGrid w:val="0"/>
        <w:spacing w:before="319" w:beforeLines="100" w:after="0" w:line="360" w:lineRule="auto"/>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六 磋商及评审</w:t>
      </w:r>
    </w:p>
    <w:p>
      <w:pPr>
        <w:adjustRightInd w:val="0"/>
        <w:snapToGrid w:val="0"/>
        <w:spacing w:line="360" w:lineRule="auto"/>
        <w:rPr>
          <w:rFonts w:hint="eastAsia" w:ascii="仿宋_GB2312" w:hAnsi="仿宋_GB2312" w:eastAsia="仿宋_GB2312" w:cs="仿宋_GB2312"/>
          <w:b/>
          <w:color w:val="auto"/>
          <w:szCs w:val="21"/>
        </w:rPr>
      </w:pPr>
      <w:r>
        <w:rPr>
          <w:rFonts w:hint="eastAsia" w:ascii="仿宋_GB2312" w:hAnsi="仿宋_GB2312" w:eastAsia="仿宋_GB2312" w:cs="仿宋_GB2312"/>
          <w:b/>
          <w:color w:val="auto"/>
          <w:szCs w:val="21"/>
        </w:rPr>
        <w:t>★20.磋商会议</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20.1采购人和采购代理机构将按供应商须知表20.1条中规定的时间和地点组织磋商会议，并邀请所有供应商代表参加。</w:t>
      </w:r>
    </w:p>
    <w:p>
      <w:pPr>
        <w:adjustRightInd w:val="0"/>
        <w:snapToGrid w:val="0"/>
        <w:spacing w:line="360" w:lineRule="auto"/>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供应商不足3家的，不得继续磋商。</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20.2由供应商或其推选的代表检查响应文件的密封情况，确认无误后进行记录。</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20.3供应商代表对磋商会议过程有疑义，以及认为采购人、采购代理机构相关工作人员有需要回避的情形的，应当场提出询问或者回避申请。</w:t>
      </w:r>
    </w:p>
    <w:p>
      <w:pPr>
        <w:adjustRightInd w:val="0"/>
        <w:snapToGrid w:val="0"/>
        <w:spacing w:line="360" w:lineRule="auto"/>
        <w:rPr>
          <w:rFonts w:hint="eastAsia" w:ascii="仿宋_GB2312" w:hAnsi="仿宋_GB2312" w:eastAsia="仿宋_GB2312" w:cs="仿宋_GB2312"/>
          <w:b/>
          <w:color w:val="auto"/>
          <w:szCs w:val="21"/>
        </w:rPr>
      </w:pPr>
      <w:r>
        <w:rPr>
          <w:rFonts w:hint="eastAsia" w:ascii="仿宋_GB2312" w:hAnsi="仿宋_GB2312" w:eastAsia="仿宋_GB2312" w:cs="仿宋_GB2312"/>
          <w:b/>
          <w:color w:val="auto"/>
          <w:szCs w:val="21"/>
        </w:rPr>
        <w:t>★21.组建磋商小组</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21.1按照《政府采购竞争性磋商采购方式暂行办法》有关规定依法组建磋商小组，负责本项目评审工作。</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rPr>
        <w:t>21.2磋商小组由采购人代表和评审专家共3人以上单数组成。达到公开招标数额的项目，磋商小组应该由5人以上单数组成。</w:t>
      </w:r>
      <w:r>
        <w:rPr>
          <w:rFonts w:hint="eastAsia" w:ascii="仿宋_GB2312" w:hAnsi="仿宋_GB2312" w:eastAsia="仿宋_GB2312" w:cs="仿宋_GB2312"/>
          <w:color w:val="auto"/>
          <w:szCs w:val="21"/>
        </w:rPr>
        <w:t>本项目磋商小组组成详见供应商须知表21.2条。</w:t>
      </w:r>
    </w:p>
    <w:p>
      <w:pPr>
        <w:adjustRightInd w:val="0"/>
        <w:snapToGrid w:val="0"/>
        <w:spacing w:line="360" w:lineRule="auto"/>
        <w:rPr>
          <w:rFonts w:hint="eastAsia" w:ascii="仿宋_GB2312" w:hAnsi="仿宋_GB2312" w:eastAsia="仿宋_GB2312" w:cs="仿宋_GB2312"/>
          <w:b/>
          <w:color w:val="auto"/>
          <w:szCs w:val="21"/>
        </w:rPr>
      </w:pPr>
      <w:r>
        <w:rPr>
          <w:rFonts w:hint="eastAsia" w:ascii="仿宋_GB2312" w:hAnsi="仿宋_GB2312" w:eastAsia="仿宋_GB2312" w:cs="仿宋_GB2312"/>
          <w:b/>
          <w:color w:val="auto"/>
          <w:szCs w:val="21"/>
        </w:rPr>
        <w:t>★22.资格审查</w:t>
      </w:r>
    </w:p>
    <w:p>
      <w:pPr>
        <w:adjustRightInd w:val="0"/>
        <w:snapToGrid w:val="0"/>
        <w:spacing w:line="360" w:lineRule="auto"/>
        <w:rPr>
          <w:rFonts w:hint="eastAsia" w:ascii="仿宋_GB2312" w:hAnsi="仿宋_GB2312" w:eastAsia="仿宋_GB2312" w:cs="仿宋_GB2312"/>
          <w:color w:val="auto"/>
          <w:szCs w:val="21"/>
          <w:shd w:val="clear" w:color="auto" w:fill="FFFFFF"/>
        </w:rPr>
      </w:pPr>
      <w:r>
        <w:rPr>
          <w:rFonts w:hint="eastAsia" w:ascii="仿宋_GB2312" w:hAnsi="仿宋_GB2312" w:eastAsia="仿宋_GB2312" w:cs="仿宋_GB2312"/>
          <w:color w:val="auto"/>
        </w:rPr>
        <w:t>22.1磋商小组依据法律法规和采购文件中规定的内容，对供应商的资格（提交的资格证明材料）进行审查。未通过资格审查的供应商不能进入下一阶段评审；通过资格审查的供应商不足3家的</w:t>
      </w:r>
      <w:r>
        <w:rPr>
          <w:rFonts w:hint="eastAsia" w:ascii="仿宋_GB2312" w:hAnsi="仿宋_GB2312" w:eastAsia="仿宋_GB2312" w:cs="仿宋_GB2312"/>
          <w:color w:val="auto"/>
          <w:szCs w:val="21"/>
          <w:shd w:val="clear" w:color="auto" w:fill="FFFFFF"/>
        </w:rPr>
        <w:t>，不得进入下一阶段评审，但本须知22.2条规定的情形除外。</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22.2采用竞争性磋商采购方式采购的政府购买服务项目（含政府和社会资本合作项目），在采购过程中通过资格审查的供应商（社会资本）只有2家的，竞争性磋商采购活动可以继续进行。</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shd w:val="clear" w:color="auto" w:fill="FFFFFF"/>
        </w:rPr>
        <w:t>22.3</w:t>
      </w:r>
      <w:r>
        <w:rPr>
          <w:rFonts w:hint="eastAsia" w:ascii="仿宋_GB2312" w:hAnsi="仿宋_GB2312" w:eastAsia="仿宋_GB2312" w:cs="仿宋_GB2312"/>
          <w:color w:val="auto"/>
          <w:szCs w:val="21"/>
        </w:rPr>
        <w:t>采购人或采购代理机构将在递交响应文件截止时间前一个工作日至资格审查结束前的期间内查询供应商的信用记录。供应商存在不良信用记录的，其响应将被认定为</w:t>
      </w:r>
      <w:r>
        <w:rPr>
          <w:rFonts w:hint="eastAsia" w:ascii="仿宋_GB2312" w:hAnsi="仿宋_GB2312" w:eastAsia="仿宋_GB2312" w:cs="仿宋_GB2312"/>
          <w:b/>
          <w:bCs/>
          <w:color w:val="auto"/>
          <w:szCs w:val="21"/>
        </w:rPr>
        <w:t>无效响应</w:t>
      </w:r>
      <w:r>
        <w:rPr>
          <w:rFonts w:hint="eastAsia" w:ascii="仿宋_GB2312" w:hAnsi="仿宋_GB2312" w:eastAsia="仿宋_GB2312" w:cs="仿宋_GB2312"/>
          <w:color w:val="auto"/>
          <w:szCs w:val="21"/>
        </w:rPr>
        <w:t>。</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shd w:val="clear" w:color="auto" w:fill="FFFFFF"/>
        </w:rPr>
        <w:t>22.3.1</w:t>
      </w:r>
      <w:r>
        <w:rPr>
          <w:rFonts w:hint="eastAsia" w:ascii="仿宋_GB2312" w:hAnsi="仿宋_GB2312" w:eastAsia="仿宋_GB2312" w:cs="仿宋_GB2312"/>
          <w:color w:val="auto"/>
          <w:szCs w:val="21"/>
        </w:rPr>
        <w:t>不良信用记录指：供应商在中国政府采购网（www.ccgp.gov.cn）被列入政府采购严重违法失信行为记录名单，或在“信用中国”网站（www.creditchina.gov.cn）被列入失信被执行人、重大税收违法案件当事人名单，以及存在《中华人民共和国政府采购法实施条例》第十九条规定的行政处罚记录。</w:t>
      </w:r>
    </w:p>
    <w:p>
      <w:pPr>
        <w:adjustRightInd w:val="0"/>
        <w:snapToGrid w:val="0"/>
        <w:spacing w:line="360" w:lineRule="auto"/>
        <w:ind w:firstLine="420" w:firstLineChars="200"/>
        <w:rPr>
          <w:rFonts w:hint="eastAsia" w:ascii="仿宋_GB2312" w:hAnsi="仿宋_GB2312" w:eastAsia="仿宋_GB2312" w:cs="仿宋_GB2312"/>
          <w:color w:val="auto"/>
          <w:szCs w:val="21"/>
          <w:shd w:val="clear" w:color="auto" w:fill="FFFFFF"/>
        </w:rPr>
      </w:pPr>
      <w:r>
        <w:rPr>
          <w:rFonts w:hint="eastAsia" w:ascii="仿宋_GB2312" w:hAnsi="仿宋_GB2312" w:eastAsia="仿宋_GB2312" w:cs="仿宋_GB2312"/>
          <w:color w:val="auto"/>
          <w:szCs w:val="21"/>
        </w:rPr>
        <w:t>以</w:t>
      </w:r>
      <w:r>
        <w:rPr>
          <w:rFonts w:hint="eastAsia" w:ascii="仿宋_GB2312" w:hAnsi="仿宋_GB2312" w:eastAsia="仿宋_GB2312" w:cs="仿宋_GB2312"/>
          <w:color w:val="auto"/>
          <w:szCs w:val="21"/>
          <w:shd w:val="clear" w:color="auto" w:fill="FFFFFF"/>
        </w:rPr>
        <w:t>联合体形式参加政府采购活动的，联合体任何成员存在以上不良信用记录的，联合体响应文件将被认定为</w:t>
      </w:r>
      <w:r>
        <w:rPr>
          <w:rFonts w:hint="eastAsia" w:ascii="仿宋_GB2312" w:hAnsi="仿宋_GB2312" w:eastAsia="仿宋_GB2312" w:cs="仿宋_GB2312"/>
          <w:b/>
          <w:bCs/>
          <w:color w:val="auto"/>
          <w:szCs w:val="21"/>
          <w:shd w:val="clear" w:color="auto" w:fill="FFFFFF"/>
        </w:rPr>
        <w:t>无效响应</w:t>
      </w:r>
      <w:r>
        <w:rPr>
          <w:rFonts w:hint="eastAsia" w:ascii="仿宋_GB2312" w:hAnsi="仿宋_GB2312" w:eastAsia="仿宋_GB2312" w:cs="仿宋_GB2312"/>
          <w:color w:val="auto"/>
          <w:szCs w:val="21"/>
          <w:shd w:val="clear" w:color="auto" w:fill="FFFFFF"/>
        </w:rPr>
        <w:t>。</w:t>
      </w:r>
    </w:p>
    <w:p>
      <w:pPr>
        <w:adjustRightInd w:val="0"/>
        <w:snapToGrid w:val="0"/>
        <w:spacing w:line="360" w:lineRule="auto"/>
        <w:rPr>
          <w:rFonts w:hint="eastAsia" w:ascii="仿宋_GB2312" w:hAnsi="仿宋_GB2312" w:eastAsia="仿宋_GB2312" w:cs="仿宋_GB2312"/>
          <w:color w:val="auto"/>
          <w:szCs w:val="21"/>
          <w:shd w:val="clear" w:color="auto" w:fill="FFFFFF"/>
        </w:rPr>
      </w:pPr>
      <w:r>
        <w:rPr>
          <w:rFonts w:hint="eastAsia" w:ascii="仿宋_GB2312" w:hAnsi="仿宋_GB2312" w:eastAsia="仿宋_GB2312" w:cs="仿宋_GB2312"/>
          <w:color w:val="auto"/>
          <w:szCs w:val="21"/>
        </w:rPr>
        <w:t>22.3.2</w:t>
      </w:r>
      <w:r>
        <w:rPr>
          <w:rFonts w:hint="eastAsia" w:ascii="仿宋_GB2312" w:hAnsi="仿宋_GB2312" w:eastAsia="仿宋_GB2312" w:cs="仿宋_GB2312"/>
          <w:color w:val="auto"/>
          <w:szCs w:val="21"/>
          <w:shd w:val="clear" w:color="auto" w:fill="FFFFFF"/>
        </w:rPr>
        <w:t>查询及记录方式：采购代理机构经办人将查询网页打印并存档备查。供应商不良信用记录以采购人或采购代理机构查询结果为准。</w:t>
      </w:r>
    </w:p>
    <w:p>
      <w:pPr>
        <w:adjustRightInd w:val="0"/>
        <w:snapToGrid w:val="0"/>
        <w:spacing w:line="360" w:lineRule="auto"/>
        <w:ind w:firstLine="420" w:firstLineChars="200"/>
        <w:rPr>
          <w:rFonts w:hint="eastAsia" w:ascii="仿宋_GB2312" w:hAnsi="仿宋_GB2312" w:eastAsia="仿宋_GB2312" w:cs="仿宋_GB2312"/>
          <w:color w:val="auto"/>
          <w:szCs w:val="21"/>
          <w:shd w:val="clear" w:color="auto" w:fill="FFFFFF"/>
        </w:rPr>
      </w:pPr>
      <w:r>
        <w:rPr>
          <w:rFonts w:hint="eastAsia" w:ascii="仿宋_GB2312" w:hAnsi="仿宋_GB2312" w:eastAsia="仿宋_GB2312" w:cs="仿宋_GB2312"/>
          <w:color w:val="auto"/>
          <w:szCs w:val="21"/>
          <w:shd w:val="clear" w:color="auto" w:fill="FFFFFF"/>
        </w:rPr>
        <w:t>在本采购文件规定的查询时间之后，网站信息发生的任何变更均不再作为评审依据。</w:t>
      </w:r>
    </w:p>
    <w:p>
      <w:pPr>
        <w:adjustRightInd w:val="0"/>
        <w:snapToGrid w:val="0"/>
        <w:spacing w:line="360" w:lineRule="auto"/>
        <w:ind w:firstLine="420" w:firstLineChars="200"/>
        <w:rPr>
          <w:rFonts w:hint="eastAsia" w:ascii="仿宋_GB2312" w:hAnsi="仿宋_GB2312" w:eastAsia="仿宋_GB2312" w:cs="仿宋_GB2312"/>
          <w:color w:val="auto"/>
          <w:szCs w:val="21"/>
          <w:shd w:val="clear" w:color="auto" w:fill="FFFFFF"/>
        </w:rPr>
      </w:pPr>
      <w:r>
        <w:rPr>
          <w:rFonts w:hint="eastAsia" w:ascii="仿宋_GB2312" w:hAnsi="仿宋_GB2312" w:eastAsia="仿宋_GB2312" w:cs="仿宋_GB2312"/>
          <w:color w:val="auto"/>
          <w:szCs w:val="21"/>
          <w:shd w:val="clear" w:color="auto" w:fill="FFFFFF"/>
        </w:rPr>
        <w:t>供应商在自行提供的与网站信息不一致的其他证明材料亦不作为资格审查依据。</w:t>
      </w:r>
    </w:p>
    <w:p>
      <w:pPr>
        <w:adjustRightInd w:val="0"/>
        <w:snapToGrid w:val="0"/>
        <w:spacing w:line="360" w:lineRule="auto"/>
        <w:rPr>
          <w:rFonts w:hint="eastAsia" w:ascii="仿宋_GB2312" w:hAnsi="仿宋_GB2312" w:eastAsia="仿宋_GB2312" w:cs="仿宋_GB2312"/>
          <w:b/>
          <w:color w:val="auto"/>
          <w:szCs w:val="21"/>
          <w:shd w:val="clear" w:color="auto" w:fill="FFFFFF"/>
        </w:rPr>
      </w:pPr>
      <w:r>
        <w:rPr>
          <w:rFonts w:hint="eastAsia" w:ascii="仿宋_GB2312" w:hAnsi="仿宋_GB2312" w:eastAsia="仿宋_GB2312" w:cs="仿宋_GB2312"/>
          <w:b/>
          <w:color w:val="auto"/>
          <w:szCs w:val="21"/>
        </w:rPr>
        <w:t>★</w:t>
      </w:r>
      <w:r>
        <w:rPr>
          <w:rFonts w:hint="eastAsia" w:ascii="仿宋_GB2312" w:hAnsi="仿宋_GB2312" w:eastAsia="仿宋_GB2312" w:cs="仿宋_GB2312"/>
          <w:b/>
          <w:color w:val="auto"/>
          <w:szCs w:val="21"/>
          <w:shd w:val="clear" w:color="auto" w:fill="FFFFFF"/>
        </w:rPr>
        <w:t>23.符合性审查</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rPr>
        <w:t>23.1</w:t>
      </w:r>
      <w:r>
        <w:rPr>
          <w:rFonts w:hint="eastAsia" w:ascii="仿宋_GB2312" w:hAnsi="仿宋_GB2312" w:eastAsia="仿宋_GB2312" w:cs="仿宋_GB2312"/>
          <w:color w:val="auto"/>
          <w:szCs w:val="21"/>
          <w:shd w:val="clear" w:color="auto" w:fill="FFFFFF"/>
        </w:rPr>
        <w:t>符合性审查是指依据采购文件的规定，从响应文件的有效性和完整性对采购文件的响应程度进行审查，以确定是否对采购文件的实质性要求做出响应。</w:t>
      </w:r>
      <w:r>
        <w:rPr>
          <w:rFonts w:hint="eastAsia" w:ascii="仿宋_GB2312" w:hAnsi="仿宋_GB2312" w:eastAsia="仿宋_GB2312" w:cs="仿宋_GB2312"/>
          <w:color w:val="auto"/>
          <w:szCs w:val="21"/>
        </w:rPr>
        <w:t>供应商应按照第二章《响应文件内容及格式》中的相应要求，提交符合性证明材料。未通过符合性审查的供应商不能进入下一阶段评审，其响应将被认定为</w:t>
      </w:r>
      <w:r>
        <w:rPr>
          <w:rFonts w:hint="eastAsia" w:ascii="仿宋_GB2312" w:hAnsi="仿宋_GB2312" w:eastAsia="仿宋_GB2312" w:cs="仿宋_GB2312"/>
          <w:b/>
          <w:bCs/>
          <w:color w:val="auto"/>
          <w:szCs w:val="21"/>
        </w:rPr>
        <w:t>无效响应</w:t>
      </w:r>
      <w:r>
        <w:rPr>
          <w:rFonts w:hint="eastAsia" w:ascii="仿宋_GB2312" w:hAnsi="仿宋_GB2312" w:eastAsia="仿宋_GB2312" w:cs="仿宋_GB2312"/>
          <w:color w:val="auto"/>
          <w:szCs w:val="21"/>
        </w:rPr>
        <w:t>；通过符合性审查的供应商数量不足3家的，不得作进一步的比较和评价，本须知第23.2条规定的情形除外。</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23.2采用竞争性磋商采购方式采购的政府购买服务项目（含政府和社会资本合作项目），在采购过程中通过符合性审查的供应商（社会资本）只有2家的，竞争性磋商采购活动可以继续进行。</w:t>
      </w:r>
    </w:p>
    <w:p>
      <w:pPr>
        <w:adjustRightInd w:val="0"/>
        <w:snapToGrid w:val="0"/>
        <w:spacing w:line="360" w:lineRule="auto"/>
        <w:rPr>
          <w:rFonts w:hint="eastAsia" w:ascii="仿宋_GB2312" w:hAnsi="仿宋_GB2312" w:eastAsia="仿宋_GB2312" w:cs="仿宋_GB2312"/>
          <w:b/>
          <w:color w:val="auto"/>
          <w:szCs w:val="21"/>
        </w:rPr>
      </w:pPr>
      <w:r>
        <w:rPr>
          <w:rFonts w:hint="eastAsia" w:ascii="仿宋_GB2312" w:hAnsi="仿宋_GB2312" w:eastAsia="仿宋_GB2312" w:cs="仿宋_GB2312"/>
          <w:b/>
          <w:color w:val="auto"/>
          <w:szCs w:val="21"/>
        </w:rPr>
        <w:t>24.样品及演示</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24.1供应商须知表11.3条中要求供应商提供样品或演示的，按照供应商须知表24.1条中样品或演示的评审办法以及评审标准进行评审。</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24.2采购活动结束后，对于未成交供应商提供的样品，应当及时退还或者经未成交供应商同意后自行处理；对于成交供应商提供的样品，应当按采购文件规定进行保管、封存，并作为履约验收的参考。具体内容见供应商须知表11.3条。</w:t>
      </w:r>
    </w:p>
    <w:p>
      <w:pPr>
        <w:adjustRightInd w:val="0"/>
        <w:snapToGrid w:val="0"/>
        <w:spacing w:line="360" w:lineRule="auto"/>
        <w:rPr>
          <w:rFonts w:hint="eastAsia" w:ascii="仿宋_GB2312" w:hAnsi="仿宋_GB2312" w:eastAsia="仿宋_GB2312" w:cs="仿宋_GB2312"/>
          <w:b/>
          <w:color w:val="auto"/>
          <w:szCs w:val="21"/>
        </w:rPr>
      </w:pPr>
      <w:r>
        <w:rPr>
          <w:rFonts w:hint="eastAsia" w:ascii="仿宋_GB2312" w:hAnsi="仿宋_GB2312" w:eastAsia="仿宋_GB2312" w:cs="仿宋_GB2312"/>
          <w:b/>
          <w:color w:val="auto"/>
          <w:szCs w:val="21"/>
        </w:rPr>
        <w:t>25.响应文件的澄清</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25.1</w:t>
      </w:r>
      <w:r>
        <w:rPr>
          <w:rFonts w:hint="eastAsia" w:ascii="仿宋_GB2312" w:hAnsi="仿宋_GB2312" w:eastAsia="仿宋_GB2312" w:cs="仿宋_GB2312"/>
          <w:color w:val="auto"/>
          <w:szCs w:val="21"/>
          <w:shd w:val="clear" w:color="auto" w:fill="FFFFFF"/>
        </w:rPr>
        <w:t>在磋商期间，磋商小组可以书面要求供应商对其响应文件中含义不明确、同类问题表述不一致或者有明显文字和计算错误的内容</w:t>
      </w:r>
      <w:r>
        <w:rPr>
          <w:rFonts w:hint="eastAsia" w:ascii="仿宋_GB2312" w:hAnsi="仿宋_GB2312" w:eastAsia="仿宋_GB2312" w:cs="仿宋_GB2312"/>
          <w:color w:val="auto"/>
          <w:szCs w:val="21"/>
        </w:rPr>
        <w:t>作必要的澄清、说明或补正。供应商的澄清、说明或补正应在磋商小组规定的时间内以书面方式进行，并不得超出响应文件范围或者改变响应文件的实质性内容。供应商拒不进行澄清、说明、补正的，或者不能在规定时间内作出书面澄清、说明、补正的，其响应文件将被作为无效响应处理。</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25.1.1供应商的澄清、说明或者补正应当由法定代表人（或非法人组织负责人）或其授权代表签字或者加盖公章。供应商为自然人的，应当由本人签字并附身份证明。</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25.1.2供应商的澄清、说明或补正将作为响应文件的一部分。</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25.2响应文件报价出现前后不一致的，按照下列规定修正：</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（1）响应文件中报价一览表内容与响应文件中相应内容不一致的，以报价一览表为准；</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（2）大写金额和小写金额不一致的，以大写金额为准；</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（3）单价金额小数点或者百分比有明显错位的，以报价一览表的总价为准，并修改单价；</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（4）总价金额与按单价汇总金额不一致的，以单价金额计算结果为准。</w:t>
      </w:r>
    </w:p>
    <w:p>
      <w:pPr>
        <w:adjustRightInd w:val="0"/>
        <w:snapToGrid w:val="0"/>
        <w:spacing w:line="360" w:lineRule="auto"/>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同时出现两种以上不一致的，按照前款规定的顺序修正。修正后的报价经供应商确认后产生约束力，供应商不确认的，其响应文件将被认定为无效响应。</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25.3</w:t>
      </w:r>
      <w:r>
        <w:rPr>
          <w:rFonts w:hint="eastAsia" w:ascii="仿宋_GB2312" w:hAnsi="仿宋_GB2312" w:eastAsia="仿宋_GB2312" w:cs="仿宋_GB2312"/>
          <w:bCs/>
          <w:color w:val="auto"/>
          <w:szCs w:val="21"/>
        </w:rPr>
        <w:t>磋商小组认为</w:t>
      </w:r>
      <w:r>
        <w:rPr>
          <w:rFonts w:hint="eastAsia" w:ascii="仿宋_GB2312" w:hAnsi="仿宋_GB2312" w:eastAsia="仿宋_GB2312" w:cs="仿宋_GB2312"/>
          <w:color w:val="auto"/>
          <w:szCs w:val="21"/>
        </w:rPr>
        <w:t>供应商的最后报价明显低于其他通过符合性审查供应商的报价，有可能影响服务质量或者不能诚信履约的，应当要求其在磋商现场合理的时间内提供书面说明，必要时提交相关证明材料；供应商不能证明其报价合理性的，磋商小组应当将其作为无效响应处理。提交证明材料的合理时间按第五章 评审办法规定执行。</w:t>
      </w:r>
    </w:p>
    <w:p>
      <w:pPr>
        <w:adjustRightInd w:val="0"/>
        <w:snapToGrid w:val="0"/>
        <w:spacing w:line="360" w:lineRule="auto"/>
        <w:rPr>
          <w:rFonts w:hint="eastAsia" w:ascii="仿宋_GB2312" w:hAnsi="仿宋_GB2312" w:eastAsia="仿宋_GB2312" w:cs="仿宋_GB2312"/>
          <w:b/>
          <w:color w:val="auto"/>
          <w:szCs w:val="21"/>
        </w:rPr>
      </w:pPr>
      <w:r>
        <w:rPr>
          <w:rFonts w:hint="eastAsia" w:ascii="仿宋_GB2312" w:hAnsi="仿宋_GB2312" w:eastAsia="仿宋_GB2312" w:cs="仿宋_GB2312"/>
          <w:b/>
          <w:color w:val="auto"/>
          <w:szCs w:val="21"/>
        </w:rPr>
        <w:t>★26.磋商</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26.1磋商小组将集中根据采购文件规定的程序、评定成交的标准等事项与实质性响应采购文件要求的供应商分别进行磋商。在磋商中，磋商的任何一方不得透露与磋商有关的其他供应商的技术资料、价格和其他信息。</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26.2在磋商过程中，磋商小组可以根据采购文件和磋商情况，经采购人代表确认后变动采购需求中的技术、服务要求以及合同草案条例等实质性内容。</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26.3对采购文件作出实质性变动是采购文件的有效组成部分，磋商小组将以书面形式同时通知所有参加磋商的供应商。</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26.4供应商应当按照采购文件的变动情况和磋商小组的要求重新提交响应文件，并由其法定代表人或授权代表签字或者加盖公章。由授权代表签字的，应当附法定代表人（或非法人组织负责人）授权书。供应商为自然人的，应当由本人签字并附身份证明。</w:t>
      </w:r>
    </w:p>
    <w:p>
      <w:pPr>
        <w:adjustRightInd w:val="0"/>
        <w:snapToGrid w:val="0"/>
        <w:spacing w:line="360" w:lineRule="auto"/>
        <w:rPr>
          <w:rFonts w:hint="eastAsia" w:ascii="仿宋_GB2312" w:hAnsi="仿宋_GB2312" w:eastAsia="仿宋_GB2312" w:cs="仿宋_GB2312"/>
          <w:b/>
          <w:color w:val="auto"/>
          <w:szCs w:val="21"/>
        </w:rPr>
      </w:pPr>
      <w:r>
        <w:rPr>
          <w:rFonts w:hint="eastAsia" w:ascii="仿宋_GB2312" w:hAnsi="仿宋_GB2312" w:eastAsia="仿宋_GB2312" w:cs="仿宋_GB2312"/>
          <w:b/>
          <w:color w:val="auto"/>
          <w:szCs w:val="21"/>
        </w:rPr>
        <w:t>★27.最后报价</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27.1磋商结束后，磋商小组将要求所有实质性响应的供应商在规定时间内提交最后报价，且提交最后报价的供应商不少于3家，本须知第27.2条规定的情形除外。</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27.2采用竞争性磋商方式开展采购的“市场竞争不充分的科研项目，以及需要扶持的科技成果转化项目”，或符合23.2规定的情形的，提交最后报价的供应商可以为2家。</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27.3最后报价是供应商响应文件的有效组成部分。</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27.4已提交响应文件的供应商，在提交最后报价之前，可以根据磋商情况退出磋商，退出磋商不视为撤回响应文件，退出磋商不影响退出磋商的供应商对已经递交的响应文件承担法律、法规和采购文件中规定的相应责任。采购人,采购代理机构应当退还退出磋商的供应商的保证金。</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27.5</w:t>
      </w:r>
      <w:r>
        <w:rPr>
          <w:rFonts w:hint="eastAsia" w:ascii="仿宋_GB2312" w:hAnsi="仿宋_GB2312" w:eastAsia="仿宋_GB2312" w:cs="仿宋_GB2312"/>
          <w:b/>
          <w:color w:val="auto"/>
          <w:szCs w:val="21"/>
        </w:rPr>
        <w:t>所有实质性响应的供应商应按磋商小组要求，在规定时间内提交最后报价（线上填报）。最后报价不应高于“报价一览表”中的报价，否则响应文件按无效响应处理。</w:t>
      </w:r>
    </w:p>
    <w:p>
      <w:pPr>
        <w:adjustRightInd w:val="0"/>
        <w:snapToGrid w:val="0"/>
        <w:spacing w:line="360" w:lineRule="auto"/>
        <w:rPr>
          <w:rFonts w:hint="eastAsia" w:ascii="仿宋_GB2312" w:hAnsi="仿宋_GB2312" w:eastAsia="仿宋_GB2312" w:cs="仿宋_GB2312"/>
          <w:b/>
          <w:color w:val="auto"/>
          <w:szCs w:val="21"/>
        </w:rPr>
      </w:pPr>
      <w:r>
        <w:rPr>
          <w:rFonts w:hint="eastAsia" w:ascii="仿宋_GB2312" w:hAnsi="仿宋_GB2312" w:eastAsia="仿宋_GB2312" w:cs="仿宋_GB2312"/>
          <w:b/>
          <w:color w:val="auto"/>
          <w:szCs w:val="21"/>
        </w:rPr>
        <w:t>★28.响应无效</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28.1 在比较与评价之前，根据本须知的规定，磋商小组将审查每份响应文件是否实质上响应了采购文件的要求。</w:t>
      </w:r>
    </w:p>
    <w:p>
      <w:pPr>
        <w:adjustRightInd w:val="0"/>
        <w:snapToGrid w:val="0"/>
        <w:spacing w:line="360" w:lineRule="auto"/>
        <w:ind w:firstLine="420" w:firstLineChars="200"/>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实质性要求是指采购文件中带有★号标识内容（包括本级及其下级编号中所有内容）等文字说明的要求。</w:t>
      </w:r>
    </w:p>
    <w:p>
      <w:pPr>
        <w:adjustRightInd w:val="0"/>
        <w:snapToGrid w:val="0"/>
        <w:spacing w:line="360" w:lineRule="auto"/>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kern w:val="0"/>
          <w:szCs w:val="21"/>
        </w:rPr>
        <w:t>对采购文件的实质性要求进行响应是指与采购文件中带有★号标识内容的文字说明、条款、条件和规格等要求相符。</w:t>
      </w:r>
    </w:p>
    <w:p>
      <w:pPr>
        <w:adjustRightInd w:val="0"/>
        <w:snapToGrid w:val="0"/>
        <w:spacing w:line="360" w:lineRule="auto"/>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如果响应文件没有对采购文件的实质性要求进行响应，将作为</w:t>
      </w:r>
      <w:r>
        <w:rPr>
          <w:rFonts w:hint="eastAsia" w:ascii="仿宋_GB2312" w:hAnsi="仿宋_GB2312" w:eastAsia="仿宋_GB2312" w:cs="仿宋_GB2312"/>
          <w:b/>
          <w:bCs/>
          <w:color w:val="auto"/>
          <w:szCs w:val="21"/>
        </w:rPr>
        <w:t>无效响应</w:t>
      </w:r>
      <w:r>
        <w:rPr>
          <w:rFonts w:hint="eastAsia" w:ascii="仿宋_GB2312" w:hAnsi="仿宋_GB2312" w:eastAsia="仿宋_GB2312" w:cs="仿宋_GB2312"/>
          <w:color w:val="auto"/>
          <w:szCs w:val="21"/>
        </w:rPr>
        <w:t>处理，供应商不得再对响应文件进行任何修正从而使其响应成为实质上响应。</w:t>
      </w:r>
    </w:p>
    <w:p>
      <w:pPr>
        <w:adjustRightInd w:val="0"/>
        <w:snapToGrid w:val="0"/>
        <w:spacing w:line="360" w:lineRule="auto"/>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磋商小组决定是否实质性响应只根据采购文件要求、响应文件内容及财政主管部门指定媒体发布的相关信息。</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28.2如发现下列情况之一的，其响应文件将被认定为无效响应：</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（1）未按采购文件的规定提交磋商保证金的；</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（2）未按照采购文件规定要求签署、盖章的；</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（3）供应商的报价超过了采购文件中规定的预算金额或者最高限价的；</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（4）不具备采购文件中规定的资格要求的；</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（5）不符合法律、法规和采购文件中规定的实质性要求的。</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（6）磋商小组认为供应商的报价明显低于其他通过符合性审查供应商的报价，有可能影响履约的，且供应商未按照规定证明其报价合理性的；</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（7）响应文件含有采购人不能接受的附加条件的；</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（8）属于法律、法规和采购文件中规定的其他无效响应情形的。</w:t>
      </w:r>
    </w:p>
    <w:p>
      <w:pPr>
        <w:adjustRightInd w:val="0"/>
        <w:snapToGrid w:val="0"/>
        <w:spacing w:line="360" w:lineRule="auto"/>
        <w:rPr>
          <w:rFonts w:hint="eastAsia" w:ascii="仿宋_GB2312" w:hAnsi="仿宋_GB2312" w:eastAsia="仿宋_GB2312" w:cs="仿宋_GB2312"/>
          <w:b/>
          <w:color w:val="auto"/>
          <w:szCs w:val="21"/>
        </w:rPr>
      </w:pPr>
      <w:r>
        <w:rPr>
          <w:rFonts w:hint="eastAsia" w:ascii="仿宋_GB2312" w:hAnsi="仿宋_GB2312" w:eastAsia="仿宋_GB2312" w:cs="仿宋_GB2312"/>
          <w:b/>
          <w:color w:val="auto"/>
          <w:szCs w:val="21"/>
        </w:rPr>
        <w:t>29.比较与评价</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29.1经符合性审查合格的响应文件，磋商小组将根据采购文件第五章确定的评审办法，对其技术部分和商务部分作进一步的比较和评价。</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29.2评审严格按照采购文件的要求和条件进行。按照供应商须知表29.2条规定的综合评分法进行评审，详细评审标准见采购文件第五章 评审方法。</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综合评分法，是指响应文件满足采购文件全部实质性要求且按评审因素的量化指标评审得分最高的供应商为成交候选供应商的评审方法。</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29.3 根据《财政部 工业和信息化部关于印发&lt;政府采购促进中小企业发展管理办法&gt;的通知》（财库[2020]46号）、《财政部 司法部关于政府采购支持监狱企业发展有关问题的通知》（财库〔2014〕68 号）和《三部门联合发布关于促进残疾人就业政府采购政策的通知》（财库〔2017〕141 号）的规定，对于非专门面向中小企业的项目，在满足价格扣除条件且在响应文件中提交了《中小企业声明函》等相关材料或省级以上监狱管理局、戒毒管理局（含新疆生产建设兵团）出具的属于监狱企业的证明文件的供应商，其最后报价扣除 10-20%后参与评审。具体详见第五章 评审办法。</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29.4 依据财政部、发展改革委、生态环境部等部门发布的品目清单和国家确定的认证机构出具的、处于有效期之内的节能产品、环境标志产品认证证书实施政府优先采购。具体优先采购办法详见第五章 评审办法。</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29.5依据财政部 国务院扶贫办《关于运用政府采购政策支持脱贫攻坚的通知》（财库〔2019〕27 号）的规定，对于聘用建档立卡贫困人员物业公司的项目，在满足价格扣除条件且在响应文件中提交了《聘用建档立卡贫困人员物业公司声明函》的供应商，对其最后报价扣除后参与评审。具体办法详见第五章 评审办法。</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29.6根据财政部、辽宁省财政厅相关规定，对于列入《辽宁省创新产品和服务目录》内的产品、服务实施政府优先采购，具体优先采购办法详见第五章 评审办法。</w:t>
      </w:r>
    </w:p>
    <w:p>
      <w:pPr>
        <w:adjustRightInd w:val="0"/>
        <w:snapToGrid w:val="0"/>
        <w:spacing w:line="360" w:lineRule="auto"/>
        <w:rPr>
          <w:rFonts w:hint="eastAsia" w:ascii="仿宋_GB2312" w:hAnsi="仿宋_GB2312" w:eastAsia="仿宋_GB2312" w:cs="仿宋_GB2312"/>
          <w:b/>
          <w:color w:val="auto"/>
          <w:szCs w:val="21"/>
        </w:rPr>
      </w:pPr>
      <w:r>
        <w:rPr>
          <w:rFonts w:hint="eastAsia" w:ascii="仿宋_GB2312" w:hAnsi="仿宋_GB2312" w:eastAsia="仿宋_GB2312" w:cs="仿宋_GB2312"/>
          <w:b/>
          <w:color w:val="auto"/>
          <w:szCs w:val="21"/>
        </w:rPr>
        <w:t>★30.终止本次磋商</w:t>
      </w:r>
    </w:p>
    <w:p>
      <w:pPr>
        <w:adjustRightInd w:val="0"/>
        <w:snapToGrid w:val="0"/>
        <w:spacing w:line="360" w:lineRule="auto"/>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出现下列情形之一的，采购人或采购代理机构应当终止本次竞争性磋商。</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（1）因情况变化，不再符合规定的竞争性磋商采购方式适用情形的；</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（2）出现影响采购公正的违法、违规行为的；</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（3）除本须知27.2条规定的情形外，在采购过程中符合要求的供应商或者报价未超过采购预算或最高限价的供应商不足3家的。</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（4）因重大变故，采购任务取消的。</w:t>
      </w:r>
    </w:p>
    <w:p>
      <w:pPr>
        <w:adjustRightInd w:val="0"/>
        <w:snapToGrid w:val="0"/>
        <w:spacing w:line="360" w:lineRule="auto"/>
        <w:rPr>
          <w:rFonts w:hint="eastAsia" w:ascii="仿宋_GB2312" w:hAnsi="仿宋_GB2312" w:eastAsia="仿宋_GB2312" w:cs="仿宋_GB2312"/>
          <w:b/>
          <w:color w:val="auto"/>
          <w:szCs w:val="21"/>
        </w:rPr>
      </w:pPr>
      <w:r>
        <w:rPr>
          <w:rFonts w:hint="eastAsia" w:ascii="仿宋_GB2312" w:hAnsi="仿宋_GB2312" w:eastAsia="仿宋_GB2312" w:cs="仿宋_GB2312"/>
          <w:b/>
          <w:color w:val="auto"/>
          <w:szCs w:val="21"/>
        </w:rPr>
        <w:t>31.成交候选供应商的推荐原则及标准</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31.1除第34条规定外，磋商结束后，除了算数修正和落实政府采购政策需进行的价格扣除外，不对供应商的响应价格进行任何调整。评审结果按照得分由高至低的顺序排序。具体处理办法详见 第五章 评审方法。</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31.2磋商小组将按供应商须知表31.2条中规定的数量推荐成交候选供应商。</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31.3因推荐成交候选供应商名单产生其他问题，由磋商小组集体研究处理。</w:t>
      </w:r>
    </w:p>
    <w:p>
      <w:pPr>
        <w:adjustRightInd w:val="0"/>
        <w:snapToGrid w:val="0"/>
        <w:spacing w:line="360" w:lineRule="auto"/>
        <w:rPr>
          <w:rFonts w:hint="eastAsia"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★32.保密原则</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32.1评审将在严格保密的情况下进行。</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32.2有关人员应当遵守评审工作纪律，不得泄露评审文件、评审情况和评审过程中获悉的国家秘密、商业秘密。</w:t>
      </w:r>
    </w:p>
    <w:p>
      <w:pPr>
        <w:pStyle w:val="3"/>
        <w:adjustRightInd w:val="0"/>
        <w:snapToGrid w:val="0"/>
        <w:spacing w:before="159" w:beforeLines="50" w:after="0" w:line="360" w:lineRule="auto"/>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七 确定成交</w:t>
      </w:r>
    </w:p>
    <w:p>
      <w:pPr>
        <w:adjustRightInd w:val="0"/>
        <w:snapToGrid w:val="0"/>
        <w:spacing w:line="360" w:lineRule="auto"/>
        <w:rPr>
          <w:rFonts w:hint="eastAsia" w:ascii="仿宋_GB2312" w:hAnsi="仿宋_GB2312" w:eastAsia="仿宋_GB2312" w:cs="仿宋_GB2312"/>
          <w:b/>
          <w:color w:val="auto"/>
          <w:szCs w:val="21"/>
        </w:rPr>
      </w:pPr>
      <w:r>
        <w:rPr>
          <w:rFonts w:hint="eastAsia" w:ascii="仿宋_GB2312" w:hAnsi="仿宋_GB2312" w:eastAsia="仿宋_GB2312" w:cs="仿宋_GB2312"/>
          <w:b/>
          <w:color w:val="auto"/>
          <w:szCs w:val="21"/>
        </w:rPr>
        <w:t>33.确定成交供应商</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采购人在收到评审报告5个工作日内,从评审报告提出的成交候选供应商中,根据质量和服务均能满足采购文件实质性响应要求且综合得分最高的原则确定成交供应商,也可以书面授权磋商小组直接确定成交供应商。本项目成交供应商确定方式详见供应商须知表33条。</w:t>
      </w:r>
    </w:p>
    <w:p>
      <w:pPr>
        <w:adjustRightInd w:val="0"/>
        <w:snapToGrid w:val="0"/>
        <w:spacing w:line="360" w:lineRule="auto"/>
        <w:rPr>
          <w:rFonts w:hint="eastAsia" w:ascii="仿宋_GB2312" w:hAnsi="仿宋_GB2312" w:eastAsia="仿宋_GB2312" w:cs="仿宋_GB2312"/>
          <w:b/>
          <w:color w:val="auto"/>
          <w:szCs w:val="21"/>
        </w:rPr>
      </w:pPr>
      <w:r>
        <w:rPr>
          <w:rFonts w:hint="eastAsia" w:ascii="仿宋_GB2312" w:hAnsi="仿宋_GB2312" w:eastAsia="仿宋_GB2312" w:cs="仿宋_GB2312"/>
          <w:b/>
          <w:color w:val="auto"/>
          <w:szCs w:val="21"/>
        </w:rPr>
        <w:t>★34.采购任务取消</w:t>
      </w:r>
    </w:p>
    <w:p>
      <w:pPr>
        <w:adjustRightInd w:val="0"/>
        <w:snapToGrid w:val="0"/>
        <w:spacing w:line="360" w:lineRule="auto"/>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因重大变故采购任务取消时，采购人有权拒绝任何供应商成交，且对受影响的供应商不承担任何责任。</w:t>
      </w:r>
    </w:p>
    <w:p>
      <w:pPr>
        <w:adjustRightInd w:val="0"/>
        <w:snapToGrid w:val="0"/>
        <w:spacing w:line="360" w:lineRule="auto"/>
        <w:rPr>
          <w:rFonts w:hint="eastAsia" w:ascii="仿宋_GB2312" w:hAnsi="仿宋_GB2312" w:eastAsia="仿宋_GB2312" w:cs="仿宋_GB2312"/>
          <w:b/>
          <w:color w:val="auto"/>
          <w:szCs w:val="21"/>
        </w:rPr>
      </w:pPr>
      <w:r>
        <w:rPr>
          <w:rFonts w:hint="eastAsia" w:ascii="仿宋_GB2312" w:hAnsi="仿宋_GB2312" w:eastAsia="仿宋_GB2312" w:cs="仿宋_GB2312"/>
          <w:b/>
          <w:color w:val="auto"/>
          <w:szCs w:val="21"/>
        </w:rPr>
        <w:t>35.成交通知书</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35.1采购人或者采购代理机构应当在成交供应商确定之日起2个工作日内，在辽宁政府采购网及其地方分网媒体上公告成交结果，同时向成交供应商发出成交通知书。</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35.2成交通知书是合同的组成部分。</w:t>
      </w:r>
    </w:p>
    <w:p>
      <w:pPr>
        <w:adjustRightInd w:val="0"/>
        <w:snapToGrid w:val="0"/>
        <w:spacing w:line="360" w:lineRule="auto"/>
        <w:rPr>
          <w:rFonts w:hint="eastAsia" w:ascii="仿宋_GB2312" w:hAnsi="仿宋_GB2312" w:eastAsia="仿宋_GB2312" w:cs="仿宋_GB2312"/>
          <w:b/>
          <w:color w:val="auto"/>
          <w:szCs w:val="21"/>
        </w:rPr>
      </w:pPr>
      <w:r>
        <w:rPr>
          <w:rFonts w:hint="eastAsia" w:ascii="仿宋_GB2312" w:hAnsi="仿宋_GB2312" w:eastAsia="仿宋_GB2312" w:cs="仿宋_GB2312"/>
          <w:b/>
          <w:color w:val="auto"/>
          <w:szCs w:val="21"/>
        </w:rPr>
        <w:t>★36.签订合同</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36.1成交供应商应当自发出成交通知书之日起 30 日内，按照采购文件确定的合同文本以及采购标的、采购金额、采购数量、技术和服务要求等事项签订政府采购合同。</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36.2除不可抗力等因素外，成交通知书发出后，采购人改变成交结果，或者成交供应商拒绝签订政府采购合同的，应当承担相应的法律责任。</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36.3采购文件、成交供应商的响应文件及其澄清文件等，均为签订合同的依据。所签订的合同不得对采购文件确定的事项和成交供应商响应文件作实质性修改。采购人不得向成交供应商提出超出采购文件以外的任何不合理的要求，作为签订合同的条件，不得与成交供应商订立背离采购文件确定的合同文本以及采购标的、采购金额、采购数量、技术和服务要求等实质性内容的协议。</w:t>
      </w:r>
    </w:p>
    <w:p>
      <w:pPr>
        <w:adjustRightInd w:val="0"/>
        <w:snapToGrid w:val="0"/>
        <w:spacing w:line="360" w:lineRule="auto"/>
        <w:rPr>
          <w:rFonts w:hint="eastAsia" w:ascii="仿宋_GB2312" w:hAnsi="仿宋_GB2312" w:eastAsia="仿宋_GB2312" w:cs="仿宋_GB2312"/>
          <w:color w:val="auto"/>
          <w:kern w:val="0"/>
          <w:sz w:val="22"/>
        </w:rPr>
      </w:pPr>
      <w:r>
        <w:rPr>
          <w:rFonts w:hint="eastAsia" w:ascii="仿宋_GB2312" w:hAnsi="仿宋_GB2312" w:eastAsia="仿宋_GB2312" w:cs="仿宋_GB2312"/>
          <w:color w:val="auto"/>
          <w:szCs w:val="21"/>
        </w:rPr>
        <w:t>36.4成交供应商拒绝与采购人签订合同的，采购人可以按照评审报告推荐的成交候选供应商名单排序，确定下一成交候选供应商为成交供应商，也可以重新开展政府采购活动。拒绝签订政府采购合同的成交供应商不得参加对该项目重新开展的采购活动</w:t>
      </w:r>
      <w:r>
        <w:rPr>
          <w:rFonts w:hint="eastAsia" w:ascii="仿宋_GB2312" w:hAnsi="仿宋_GB2312" w:eastAsia="仿宋_GB2312" w:cs="仿宋_GB2312"/>
          <w:color w:val="auto"/>
          <w:kern w:val="0"/>
          <w:sz w:val="22"/>
        </w:rPr>
        <w:t>。</w:t>
      </w:r>
    </w:p>
    <w:p>
      <w:pPr>
        <w:adjustRightInd w:val="0"/>
        <w:snapToGrid w:val="0"/>
        <w:spacing w:line="360" w:lineRule="auto"/>
        <w:rPr>
          <w:rFonts w:hint="eastAsia" w:ascii="仿宋_GB2312" w:hAnsi="仿宋_GB2312" w:eastAsia="仿宋_GB2312" w:cs="仿宋_GB2312"/>
          <w:b/>
          <w:color w:val="auto"/>
          <w:szCs w:val="21"/>
        </w:rPr>
      </w:pPr>
      <w:r>
        <w:rPr>
          <w:rFonts w:hint="eastAsia" w:ascii="仿宋_GB2312" w:hAnsi="仿宋_GB2312" w:eastAsia="仿宋_GB2312" w:cs="仿宋_GB2312"/>
          <w:b/>
          <w:color w:val="auto"/>
          <w:szCs w:val="21"/>
        </w:rPr>
        <w:t>★37.履约保证金</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37.1成交供应商应按照供应商须知表37.1条规定向采购人缴纳履约保证金。</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37.2如果成交供应商没有按照上述履约保证金的规定执行，将视为拒绝签订合同并放弃成交资格，成交供应商的磋商保证金将不予退还。在此情况下，采购人可确定下一成交候选供应商为成交供应商，也可以重新开展采购活动。</w:t>
      </w:r>
    </w:p>
    <w:p>
      <w:pPr>
        <w:adjustRightInd w:val="0"/>
        <w:snapToGrid w:val="0"/>
        <w:spacing w:line="360" w:lineRule="auto"/>
        <w:rPr>
          <w:rFonts w:hint="eastAsia" w:ascii="仿宋_GB2312" w:hAnsi="仿宋_GB2312" w:eastAsia="仿宋_GB2312" w:cs="仿宋_GB2312"/>
          <w:b/>
          <w:color w:val="auto"/>
          <w:szCs w:val="21"/>
        </w:rPr>
      </w:pPr>
      <w:r>
        <w:rPr>
          <w:rFonts w:hint="eastAsia" w:ascii="仿宋_GB2312" w:hAnsi="仿宋_GB2312" w:eastAsia="仿宋_GB2312" w:cs="仿宋_GB2312"/>
          <w:b/>
          <w:color w:val="auto"/>
          <w:szCs w:val="21"/>
        </w:rPr>
        <w:t>★38.采购代理服务费</w:t>
      </w:r>
    </w:p>
    <w:p>
      <w:pPr>
        <w:adjustRightInd w:val="0"/>
        <w:snapToGrid w:val="0"/>
        <w:spacing w:line="360" w:lineRule="auto"/>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成交供应商须按照供应商须知表38条规定，向采购代理机构支付采购代理服务费。</w:t>
      </w:r>
    </w:p>
    <w:p>
      <w:pPr>
        <w:adjustRightInd w:val="0"/>
        <w:snapToGrid w:val="0"/>
        <w:spacing w:line="360" w:lineRule="auto"/>
        <w:rPr>
          <w:rFonts w:hint="eastAsia" w:ascii="仿宋_GB2312" w:hAnsi="仿宋_GB2312" w:eastAsia="仿宋_GB2312" w:cs="仿宋_GB2312"/>
          <w:b/>
          <w:color w:val="auto"/>
          <w:szCs w:val="21"/>
        </w:rPr>
      </w:pPr>
      <w:r>
        <w:rPr>
          <w:rFonts w:hint="eastAsia" w:ascii="仿宋_GB2312" w:hAnsi="仿宋_GB2312" w:eastAsia="仿宋_GB2312" w:cs="仿宋_GB2312"/>
          <w:b/>
          <w:color w:val="auto"/>
          <w:szCs w:val="21"/>
        </w:rPr>
        <w:t>39.廉洁自律规定</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39.1采购代理机构工作人员不得以不正当手段获取政府采购代理业务，不得与采购人、供应商恶意串通操纵政府采购活动。</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39.2采购代理机构工作人员不得接受采购人或者供应商组织的宴请、旅游、娱乐，不得收受礼品、现金、有价证券等。</w:t>
      </w:r>
    </w:p>
    <w:p>
      <w:pPr>
        <w:adjustRightInd w:val="0"/>
        <w:snapToGrid w:val="0"/>
        <w:spacing w:line="360" w:lineRule="auto"/>
        <w:rPr>
          <w:rFonts w:hint="eastAsia" w:ascii="仿宋_GB2312" w:hAnsi="仿宋_GB2312" w:eastAsia="仿宋_GB2312" w:cs="仿宋_GB2312"/>
          <w:b/>
          <w:color w:val="auto"/>
          <w:szCs w:val="21"/>
        </w:rPr>
      </w:pPr>
      <w:r>
        <w:rPr>
          <w:rFonts w:hint="eastAsia" w:ascii="仿宋_GB2312" w:hAnsi="仿宋_GB2312" w:eastAsia="仿宋_GB2312" w:cs="仿宋_GB2312"/>
          <w:b/>
          <w:color w:val="auto"/>
          <w:szCs w:val="21"/>
        </w:rPr>
        <w:t>40.人员回避</w:t>
      </w:r>
    </w:p>
    <w:p>
      <w:pPr>
        <w:adjustRightInd w:val="0"/>
        <w:snapToGrid w:val="0"/>
        <w:spacing w:line="360" w:lineRule="auto"/>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供应商认为采购人及其相关人员有法律法规所列与其他供应商有利害关系的，可以向采购人或采购代理机构书面提出回避申请，并说明理由。</w:t>
      </w:r>
    </w:p>
    <w:p>
      <w:pPr>
        <w:adjustRightInd w:val="0"/>
        <w:snapToGrid w:val="0"/>
        <w:spacing w:line="360" w:lineRule="auto"/>
        <w:rPr>
          <w:rFonts w:hint="eastAsia" w:ascii="仿宋_GB2312" w:hAnsi="仿宋_GB2312" w:eastAsia="仿宋_GB2312" w:cs="仿宋_GB2312"/>
          <w:b/>
          <w:color w:val="auto"/>
          <w:szCs w:val="21"/>
        </w:rPr>
      </w:pPr>
      <w:r>
        <w:rPr>
          <w:rFonts w:hint="eastAsia" w:ascii="仿宋_GB2312" w:hAnsi="仿宋_GB2312" w:eastAsia="仿宋_GB2312" w:cs="仿宋_GB2312"/>
          <w:b/>
          <w:color w:val="auto"/>
          <w:szCs w:val="21"/>
        </w:rPr>
        <w:t>41.质疑与接收</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41.1供应商认为采购文件、采购过程和成交结果使自己的权益受到损害的，可以根据《中华人民共和国政府采购法》、《中华人民共和国政府采购法实施条例》、《政府采购竞争性磋商采购方式暂行办法》和《政府采购质疑和投诉办法》的有关规定，依法向采购人或其委托的采购代理机构提出质疑。</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41.2质疑供应商应按照财政部门制定的《政府采购质疑函范本》格式（详见辽宁政府采购网）和《政府采购质疑和投诉办法》的要求，在法定质疑期内以纸质形式提出质疑，针对同一采购程序环节的质疑应一次性提出。</w:t>
      </w:r>
    </w:p>
    <w:p>
      <w:pPr>
        <w:adjustRightInd w:val="0"/>
        <w:snapToGrid w:val="0"/>
        <w:spacing w:line="360" w:lineRule="auto"/>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超出法定质疑期的、重复提出的、分次提出的或内容、形式不符合《政府采购质疑和投诉办法》的，质疑供应商将依法承担不利后果。</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41.3采购代理机构质疑函接收部门、联系电话和通讯地址, 见供应商须知表41.3条。</w:t>
      </w:r>
    </w:p>
    <w:p>
      <w:pPr>
        <w:adjustRightInd w:val="0"/>
        <w:snapToGrid w:val="0"/>
        <w:spacing w:line="360" w:lineRule="auto"/>
        <w:rPr>
          <w:rFonts w:hint="eastAsia" w:ascii="仿宋_GB2312" w:hAnsi="仿宋_GB2312" w:eastAsia="仿宋_GB2312" w:cs="仿宋_GB2312"/>
          <w:b/>
          <w:color w:val="auto"/>
          <w:szCs w:val="21"/>
        </w:rPr>
      </w:pPr>
      <w:r>
        <w:rPr>
          <w:rFonts w:hint="eastAsia" w:ascii="仿宋_GB2312" w:hAnsi="仿宋_GB2312" w:eastAsia="仿宋_GB2312" w:cs="仿宋_GB2312"/>
          <w:b/>
          <w:color w:val="auto"/>
          <w:szCs w:val="21"/>
        </w:rPr>
        <w:t>42.履约验收</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本项目采购人及其委托的采购代理机构将严格按照政府采购相关法律法规以及《辽宁省政府采购履约验收管理办法》（辽财采〔2017〕603号）的要求进行验收。</w:t>
      </w:r>
    </w:p>
    <w:p>
      <w:pPr>
        <w:adjustRightInd w:val="0"/>
        <w:snapToGrid w:val="0"/>
        <w:spacing w:line="360" w:lineRule="auto"/>
        <w:rPr>
          <w:rFonts w:hint="eastAsia" w:ascii="仿宋" w:hAnsi="仿宋" w:eastAsia="仿宋" w:cs="仿宋"/>
          <w:color w:val="auto"/>
          <w:szCs w:val="21"/>
          <w:highlight w:val="none"/>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ascii="仿宋_GB2312" w:hAnsi="仿宋_GB2312" w:eastAsia="仿宋_GB2312" w:cs="仿宋_GB2312"/>
          <w:color w:val="auto"/>
        </w:rPr>
        <w:br w:type="page"/>
      </w:r>
    </w:p>
    <w:p>
      <w:pPr>
        <w:pStyle w:val="2"/>
        <w:adjustRightInd w:val="0"/>
        <w:snapToGrid w:val="0"/>
        <w:spacing w:before="0" w:after="0" w:line="240" w:lineRule="auto"/>
        <w:jc w:val="center"/>
        <w:rPr>
          <w:rFonts w:hint="eastAsia" w:ascii="仿宋_GB2312" w:hAnsi="仿宋_GB2312" w:eastAsia="仿宋_GB2312" w:cs="仿宋_GB2312"/>
          <w:color w:val="auto"/>
        </w:rPr>
      </w:pPr>
      <w:bookmarkStart w:id="59" w:name="_Toc10174"/>
      <w:r>
        <w:rPr>
          <w:rFonts w:hint="eastAsia" w:ascii="仿宋_GB2312" w:hAnsi="仿宋_GB2312" w:eastAsia="仿宋_GB2312" w:cs="仿宋_GB2312"/>
          <w:color w:val="auto"/>
        </w:rPr>
        <w:t>第二章 响应文件内容及格式</w:t>
      </w:r>
      <w:bookmarkEnd w:id="59"/>
    </w:p>
    <w:p>
      <w:pPr>
        <w:rPr>
          <w:rFonts w:hint="eastAsia" w:ascii="仿宋_GB2312" w:hAnsi="仿宋_GB2312" w:eastAsia="仿宋_GB2312" w:cs="仿宋_GB2312"/>
          <w:color w:val="auto"/>
        </w:rPr>
      </w:pPr>
      <w:bookmarkStart w:id="60" w:name="投标文件内容及格式：Block"/>
      <w:bookmarkEnd w:id="60"/>
      <w:bookmarkStart w:id="61" w:name="sys_投标文件内容及格式：Block"/>
      <w:bookmarkEnd w:id="61"/>
      <w:r>
        <w:rPr>
          <w:rFonts w:hint="eastAsia" w:ascii="仿宋_GB2312" w:hAnsi="仿宋_GB2312" w:eastAsia="仿宋_GB2312" w:cs="仿宋_GB2312"/>
          <w:b/>
          <w:color w:val="auto"/>
          <w:sz w:val="24"/>
        </w:rPr>
        <w:t>一、响应文件、电子文档的外封面、封口、封皮及目录</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6944"/>
        <w:gridCol w:w="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77" w:type="dxa"/>
            <w:noWrap w:val="0"/>
            <w:vAlign w:val="center"/>
          </w:tcPr>
          <w:p>
            <w:pPr>
              <w:widowControl/>
              <w:jc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序号</w:t>
            </w:r>
          </w:p>
        </w:tc>
        <w:tc>
          <w:tcPr>
            <w:tcW w:w="6944" w:type="dxa"/>
            <w:noWrap w:val="0"/>
            <w:vAlign w:val="center"/>
          </w:tcPr>
          <w:p>
            <w:pPr>
              <w:widowControl/>
              <w:jc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内容</w:t>
            </w:r>
          </w:p>
        </w:tc>
        <w:tc>
          <w:tcPr>
            <w:tcW w:w="882" w:type="dxa"/>
            <w:noWrap w:val="0"/>
            <w:vAlign w:val="center"/>
          </w:tcPr>
          <w:p>
            <w:pPr>
              <w:widowControl/>
              <w:jc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677" w:type="dxa"/>
            <w:noWrap w:val="0"/>
            <w:vAlign w:val="center"/>
          </w:tcPr>
          <w:p>
            <w:pPr>
              <w:jc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w:t>
            </w:r>
          </w:p>
        </w:tc>
        <w:tc>
          <w:tcPr>
            <w:tcW w:w="6944" w:type="dxa"/>
            <w:noWrap w:val="0"/>
            <w:vAlign w:val="center"/>
          </w:tcPr>
          <w:p>
            <w:pPr>
              <w:snapToGrid w:val="0"/>
              <w:spacing w:line="360" w:lineRule="exact"/>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响应文件的外封面及封口</w:t>
            </w:r>
          </w:p>
        </w:tc>
        <w:tc>
          <w:tcPr>
            <w:tcW w:w="882" w:type="dxa"/>
            <w:noWrap w:val="0"/>
            <w:vAlign w:val="center"/>
          </w:tcPr>
          <w:p>
            <w:pPr>
              <w:widowControl/>
              <w:jc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77" w:type="dxa"/>
            <w:noWrap w:val="0"/>
            <w:vAlign w:val="center"/>
          </w:tcPr>
          <w:p>
            <w:pPr>
              <w:widowControl/>
              <w:jc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w:t>
            </w:r>
          </w:p>
        </w:tc>
        <w:tc>
          <w:tcPr>
            <w:tcW w:w="6944" w:type="dxa"/>
            <w:noWrap w:val="0"/>
            <w:vAlign w:val="center"/>
          </w:tcPr>
          <w:p>
            <w:pPr>
              <w:snapToGrid w:val="0"/>
              <w:spacing w:line="360" w:lineRule="exact"/>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响应文件的封皮</w:t>
            </w:r>
          </w:p>
        </w:tc>
        <w:tc>
          <w:tcPr>
            <w:tcW w:w="882" w:type="dxa"/>
            <w:noWrap w:val="0"/>
            <w:vAlign w:val="center"/>
          </w:tcPr>
          <w:p>
            <w:pPr>
              <w:widowControl/>
              <w:jc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77" w:type="dxa"/>
            <w:noWrap w:val="0"/>
            <w:vAlign w:val="center"/>
          </w:tcPr>
          <w:p>
            <w:pPr>
              <w:widowControl/>
              <w:jc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w:t>
            </w:r>
          </w:p>
        </w:tc>
        <w:tc>
          <w:tcPr>
            <w:tcW w:w="6944" w:type="dxa"/>
            <w:noWrap w:val="0"/>
            <w:vAlign w:val="center"/>
          </w:tcPr>
          <w:p>
            <w:pPr>
              <w:snapToGrid w:val="0"/>
              <w:spacing w:line="360" w:lineRule="exact"/>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响应文件的目录</w:t>
            </w:r>
          </w:p>
        </w:tc>
        <w:tc>
          <w:tcPr>
            <w:tcW w:w="882" w:type="dxa"/>
            <w:noWrap w:val="0"/>
            <w:vAlign w:val="center"/>
          </w:tcPr>
          <w:p>
            <w:pPr>
              <w:widowControl/>
              <w:jc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w:t>
            </w:r>
          </w:p>
        </w:tc>
      </w:tr>
    </w:tbl>
    <w:p>
      <w:pPr>
        <w:spacing w:line="440" w:lineRule="exac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二、资格证明材料（有一项不符合要求，不能进入下一阶段评审）</w:t>
      </w:r>
    </w:p>
    <w:tbl>
      <w:tblPr>
        <w:tblStyle w:val="28"/>
        <w:tblW w:w="0" w:type="auto"/>
        <w:jc w:val="center"/>
        <w:tblLayout w:type="fixed"/>
        <w:tblCellMar>
          <w:top w:w="0" w:type="dxa"/>
          <w:left w:w="0" w:type="dxa"/>
          <w:bottom w:w="0" w:type="dxa"/>
          <w:right w:w="0" w:type="dxa"/>
        </w:tblCellMar>
      </w:tblPr>
      <w:tblGrid>
        <w:gridCol w:w="654"/>
        <w:gridCol w:w="6843"/>
        <w:gridCol w:w="842"/>
      </w:tblGrid>
      <w:tr>
        <w:tblPrEx>
          <w:tblCellMar>
            <w:top w:w="0" w:type="dxa"/>
            <w:left w:w="0" w:type="dxa"/>
            <w:bottom w:w="0" w:type="dxa"/>
            <w:right w:w="0" w:type="dxa"/>
          </w:tblCellMar>
        </w:tblPrEx>
        <w:trPr>
          <w:trHeight w:val="310" w:hRule="atLeast"/>
          <w:tblHeader/>
          <w:jc w:val="center"/>
        </w:trPr>
        <w:tc>
          <w:tcPr>
            <w:tcW w:w="65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djustRightInd w:val="0"/>
              <w:snapToGrid w:val="0"/>
              <w:jc w:val="center"/>
              <w:rPr>
                <w:rFonts w:hint="eastAsia" w:ascii="仿宋_GB2312" w:hAnsi="仿宋_GB2312" w:eastAsia="仿宋_GB2312" w:cs="仿宋_GB2312"/>
                <w:color w:val="auto"/>
                <w:szCs w:val="21"/>
              </w:rPr>
            </w:pPr>
            <w:bookmarkStart w:id="62" w:name="资格性证明材料：Document"/>
            <w:bookmarkStart w:id="63" w:name="sys_资格性证明材料：Document"/>
            <w:r>
              <w:rPr>
                <w:rFonts w:hint="eastAsia" w:ascii="仿宋_GB2312" w:hAnsi="仿宋_GB2312" w:eastAsia="仿宋_GB2312" w:cs="仿宋_GB2312"/>
                <w:color w:val="auto"/>
                <w:szCs w:val="21"/>
              </w:rPr>
              <w:t>序号</w:t>
            </w:r>
          </w:p>
        </w:tc>
        <w:tc>
          <w:tcPr>
            <w:tcW w:w="684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djustRightInd w:val="0"/>
              <w:snapToGrid w:val="0"/>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资格证明材料</w:t>
            </w:r>
          </w:p>
        </w:tc>
        <w:tc>
          <w:tcPr>
            <w:tcW w:w="84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djustRightInd w:val="0"/>
              <w:snapToGrid w:val="0"/>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格式</w:t>
            </w:r>
          </w:p>
        </w:tc>
      </w:tr>
      <w:tr>
        <w:tblPrEx>
          <w:tblCellMar>
            <w:top w:w="0" w:type="dxa"/>
            <w:left w:w="0" w:type="dxa"/>
            <w:bottom w:w="0" w:type="dxa"/>
            <w:right w:w="0" w:type="dxa"/>
          </w:tblCellMar>
        </w:tblPrEx>
        <w:trPr>
          <w:trHeight w:val="893" w:hRule="atLeast"/>
          <w:jc w:val="center"/>
        </w:trPr>
        <w:tc>
          <w:tcPr>
            <w:tcW w:w="65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djustRightInd w:val="0"/>
              <w:snapToGrid w:val="0"/>
              <w:jc w:val="center"/>
              <w:rPr>
                <w:rFonts w:hint="eastAsia" w:ascii="仿宋_GB2312" w:hAnsi="仿宋_GB2312" w:eastAsia="仿宋_GB2312" w:cs="仿宋_GB2312"/>
                <w:color w:val="auto"/>
                <w:szCs w:val="21"/>
              </w:rPr>
            </w:pPr>
            <w:r>
              <w:rPr>
                <w:rFonts w:hint="eastAsia" w:ascii="仿宋" w:hAnsi="仿宋" w:eastAsia="仿宋" w:cs="仿宋_GB2312"/>
                <w:color w:val="auto"/>
                <w:szCs w:val="21"/>
                <w:highlight w:val="none"/>
              </w:rPr>
              <w:t>1</w:t>
            </w:r>
          </w:p>
        </w:tc>
        <w:tc>
          <w:tcPr>
            <w:tcW w:w="684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djustRightInd w:val="0"/>
              <w:snapToGrid w:val="0"/>
              <w:jc w:val="left"/>
              <w:rPr>
                <w:rFonts w:hint="eastAsia" w:ascii="仿宋_GB2312" w:hAnsi="仿宋_GB2312" w:eastAsia="仿宋_GB2312" w:cs="仿宋_GB2312"/>
                <w:color w:val="auto"/>
                <w:szCs w:val="21"/>
              </w:rPr>
            </w:pPr>
            <w:r>
              <w:rPr>
                <w:rFonts w:hint="eastAsia" w:ascii="仿宋" w:hAnsi="仿宋" w:eastAsia="仿宋" w:cs="仿宋_GB2312"/>
                <w:color w:val="auto"/>
                <w:szCs w:val="21"/>
                <w:highlight w:val="none"/>
              </w:rPr>
              <w:t>营业执照或事业单位法人证书或执业许可证等证明文件复印件或自然人的身份证明复印件（自然人身份证明仅在自然人作为响应主体时适用）</w:t>
            </w:r>
          </w:p>
        </w:tc>
        <w:tc>
          <w:tcPr>
            <w:tcW w:w="84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djustRightInd w:val="0"/>
              <w:snapToGrid w:val="0"/>
              <w:jc w:val="center"/>
              <w:rPr>
                <w:rFonts w:hint="eastAsia" w:ascii="仿宋_GB2312" w:hAnsi="仿宋_GB2312" w:eastAsia="仿宋_GB2312" w:cs="仿宋_GB2312"/>
                <w:color w:val="auto"/>
                <w:szCs w:val="21"/>
              </w:rPr>
            </w:pPr>
          </w:p>
        </w:tc>
      </w:tr>
      <w:tr>
        <w:tblPrEx>
          <w:tblCellMar>
            <w:top w:w="0" w:type="dxa"/>
            <w:left w:w="0" w:type="dxa"/>
            <w:bottom w:w="0" w:type="dxa"/>
            <w:right w:w="0" w:type="dxa"/>
          </w:tblCellMar>
        </w:tblPrEx>
        <w:trPr>
          <w:trHeight w:val="601" w:hRule="atLeast"/>
          <w:jc w:val="center"/>
        </w:trPr>
        <w:tc>
          <w:tcPr>
            <w:tcW w:w="65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djustRightInd w:val="0"/>
              <w:snapToGrid w:val="0"/>
              <w:jc w:val="center"/>
              <w:rPr>
                <w:rFonts w:hint="eastAsia" w:ascii="仿宋_GB2312" w:hAnsi="仿宋_GB2312" w:eastAsia="仿宋_GB2312" w:cs="仿宋_GB2312"/>
                <w:color w:val="auto"/>
                <w:szCs w:val="21"/>
              </w:rPr>
            </w:pPr>
            <w:r>
              <w:rPr>
                <w:rFonts w:hint="eastAsia" w:ascii="仿宋" w:hAnsi="仿宋" w:eastAsia="仿宋" w:cs="仿宋_GB2312"/>
                <w:color w:val="auto"/>
                <w:szCs w:val="21"/>
                <w:highlight w:val="none"/>
              </w:rPr>
              <w:t>2</w:t>
            </w:r>
          </w:p>
        </w:tc>
        <w:tc>
          <w:tcPr>
            <w:tcW w:w="684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djustRightInd w:val="0"/>
              <w:snapToGrid w:val="0"/>
              <w:jc w:val="left"/>
              <w:rPr>
                <w:rFonts w:hint="eastAsia" w:ascii="仿宋_GB2312" w:hAnsi="仿宋_GB2312" w:eastAsia="仿宋_GB2312" w:cs="仿宋_GB2312"/>
                <w:color w:val="auto"/>
                <w:szCs w:val="21"/>
              </w:rPr>
            </w:pPr>
            <w:r>
              <w:rPr>
                <w:rFonts w:hint="eastAsia" w:ascii="仿宋" w:hAnsi="仿宋" w:eastAsia="仿宋" w:cs="仿宋_GB2312"/>
                <w:color w:val="auto"/>
                <w:szCs w:val="21"/>
                <w:highlight w:val="none"/>
              </w:rPr>
              <w:t>组织机构代码证复印件（三证合一的不需提供）</w:t>
            </w:r>
          </w:p>
        </w:tc>
        <w:tc>
          <w:tcPr>
            <w:tcW w:w="84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djustRightInd w:val="0"/>
              <w:snapToGrid w:val="0"/>
              <w:jc w:val="center"/>
              <w:rPr>
                <w:rFonts w:hint="eastAsia" w:ascii="仿宋_GB2312" w:hAnsi="仿宋_GB2312" w:eastAsia="仿宋_GB2312" w:cs="仿宋_GB2312"/>
                <w:color w:val="auto"/>
                <w:szCs w:val="21"/>
              </w:rPr>
            </w:pPr>
          </w:p>
        </w:tc>
      </w:tr>
      <w:tr>
        <w:tblPrEx>
          <w:tblCellMar>
            <w:top w:w="0" w:type="dxa"/>
            <w:left w:w="0" w:type="dxa"/>
            <w:bottom w:w="0" w:type="dxa"/>
            <w:right w:w="0" w:type="dxa"/>
          </w:tblCellMar>
        </w:tblPrEx>
        <w:trPr>
          <w:trHeight w:val="601" w:hRule="atLeast"/>
          <w:jc w:val="center"/>
        </w:trPr>
        <w:tc>
          <w:tcPr>
            <w:tcW w:w="65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djustRightInd w:val="0"/>
              <w:snapToGrid w:val="0"/>
              <w:jc w:val="center"/>
              <w:rPr>
                <w:rFonts w:hint="eastAsia" w:ascii="仿宋_GB2312" w:hAnsi="仿宋_GB2312" w:eastAsia="仿宋_GB2312" w:cs="仿宋_GB2312"/>
                <w:color w:val="auto"/>
                <w:szCs w:val="21"/>
              </w:rPr>
            </w:pPr>
            <w:r>
              <w:rPr>
                <w:rFonts w:hint="eastAsia" w:ascii="仿宋" w:hAnsi="仿宋" w:eastAsia="仿宋" w:cs="仿宋_GB2312"/>
                <w:color w:val="auto"/>
                <w:szCs w:val="21"/>
                <w:highlight w:val="none"/>
              </w:rPr>
              <w:t>3</w:t>
            </w:r>
          </w:p>
        </w:tc>
        <w:tc>
          <w:tcPr>
            <w:tcW w:w="684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djustRightInd w:val="0"/>
              <w:snapToGrid w:val="0"/>
              <w:jc w:val="left"/>
              <w:rPr>
                <w:rFonts w:hint="eastAsia" w:ascii="仿宋_GB2312" w:hAnsi="仿宋_GB2312" w:eastAsia="仿宋_GB2312" w:cs="仿宋_GB2312"/>
                <w:color w:val="auto"/>
                <w:szCs w:val="21"/>
              </w:rPr>
            </w:pPr>
            <w:r>
              <w:rPr>
                <w:rFonts w:hint="eastAsia" w:ascii="仿宋" w:hAnsi="仿宋" w:eastAsia="仿宋" w:cs="仿宋_GB2312"/>
                <w:color w:val="auto"/>
                <w:szCs w:val="21"/>
                <w:highlight w:val="none"/>
              </w:rPr>
              <w:t>税务登记证复印件（三证合一的不需提供）</w:t>
            </w:r>
          </w:p>
        </w:tc>
        <w:tc>
          <w:tcPr>
            <w:tcW w:w="84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djustRightInd w:val="0"/>
              <w:snapToGrid w:val="0"/>
              <w:jc w:val="center"/>
              <w:rPr>
                <w:rFonts w:hint="eastAsia" w:ascii="仿宋_GB2312" w:hAnsi="仿宋_GB2312" w:eastAsia="仿宋_GB2312" w:cs="仿宋_GB2312"/>
                <w:color w:val="auto"/>
                <w:szCs w:val="21"/>
              </w:rPr>
            </w:pPr>
          </w:p>
        </w:tc>
      </w:tr>
      <w:tr>
        <w:tblPrEx>
          <w:tblCellMar>
            <w:top w:w="0" w:type="dxa"/>
            <w:left w:w="0" w:type="dxa"/>
            <w:bottom w:w="0" w:type="dxa"/>
            <w:right w:w="0" w:type="dxa"/>
          </w:tblCellMar>
        </w:tblPrEx>
        <w:trPr>
          <w:trHeight w:val="601" w:hRule="atLeast"/>
          <w:jc w:val="center"/>
        </w:trPr>
        <w:tc>
          <w:tcPr>
            <w:tcW w:w="65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djustRightInd w:val="0"/>
              <w:snapToGrid w:val="0"/>
              <w:jc w:val="center"/>
              <w:rPr>
                <w:rFonts w:hint="eastAsia" w:ascii="仿宋_GB2312" w:hAnsi="仿宋_GB2312" w:eastAsia="仿宋_GB2312" w:cs="仿宋_GB2312"/>
                <w:color w:val="auto"/>
                <w:szCs w:val="21"/>
              </w:rPr>
            </w:pPr>
            <w:r>
              <w:rPr>
                <w:rFonts w:hint="eastAsia" w:ascii="仿宋" w:hAnsi="仿宋" w:eastAsia="仿宋" w:cs="仿宋_GB2312"/>
                <w:color w:val="auto"/>
                <w:szCs w:val="21"/>
                <w:highlight w:val="none"/>
              </w:rPr>
              <w:t>4</w:t>
            </w:r>
          </w:p>
        </w:tc>
        <w:tc>
          <w:tcPr>
            <w:tcW w:w="684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djustRightInd w:val="0"/>
              <w:snapToGrid w:val="0"/>
              <w:jc w:val="left"/>
              <w:rPr>
                <w:rFonts w:hint="eastAsia" w:ascii="仿宋_GB2312" w:hAnsi="仿宋_GB2312" w:eastAsia="仿宋_GB2312" w:cs="仿宋_GB2312"/>
                <w:color w:val="auto"/>
                <w:szCs w:val="21"/>
              </w:rPr>
            </w:pPr>
            <w:r>
              <w:rPr>
                <w:rFonts w:hint="eastAsia" w:ascii="仿宋" w:hAnsi="仿宋" w:eastAsia="仿宋" w:cs="仿宋_GB2312"/>
                <w:color w:val="auto"/>
                <w:szCs w:val="21"/>
                <w:highlight w:val="none"/>
              </w:rPr>
              <w:t>法定代表人（或非法人组织负责人）身份证明书（自然人参加磋商的无需提供）</w:t>
            </w:r>
          </w:p>
        </w:tc>
        <w:tc>
          <w:tcPr>
            <w:tcW w:w="84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djustRightInd w:val="0"/>
              <w:snapToGrid w:val="0"/>
              <w:jc w:val="center"/>
              <w:rPr>
                <w:rFonts w:hint="eastAsia" w:ascii="仿宋_GB2312" w:hAnsi="仿宋_GB2312" w:eastAsia="仿宋_GB2312" w:cs="仿宋_GB2312"/>
                <w:color w:val="auto"/>
                <w:szCs w:val="21"/>
              </w:rPr>
            </w:pPr>
            <w:r>
              <w:rPr>
                <w:rFonts w:hint="eastAsia" w:ascii="仿宋" w:hAnsi="仿宋" w:eastAsia="仿宋" w:cs="仿宋_GB2312"/>
                <w:color w:val="auto"/>
                <w:szCs w:val="21"/>
                <w:highlight w:val="none"/>
              </w:rPr>
              <w:t>4</w:t>
            </w:r>
          </w:p>
        </w:tc>
      </w:tr>
      <w:tr>
        <w:tblPrEx>
          <w:tblCellMar>
            <w:top w:w="0" w:type="dxa"/>
            <w:left w:w="0" w:type="dxa"/>
            <w:bottom w:w="0" w:type="dxa"/>
            <w:right w:w="0" w:type="dxa"/>
          </w:tblCellMar>
        </w:tblPrEx>
        <w:trPr>
          <w:trHeight w:val="601" w:hRule="atLeast"/>
          <w:jc w:val="center"/>
        </w:trPr>
        <w:tc>
          <w:tcPr>
            <w:tcW w:w="65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djustRightInd w:val="0"/>
              <w:snapToGrid w:val="0"/>
              <w:jc w:val="center"/>
              <w:rPr>
                <w:rFonts w:hint="eastAsia" w:ascii="仿宋_GB2312" w:hAnsi="仿宋_GB2312" w:eastAsia="仿宋_GB2312" w:cs="仿宋_GB2312"/>
                <w:color w:val="auto"/>
                <w:szCs w:val="21"/>
              </w:rPr>
            </w:pPr>
            <w:r>
              <w:rPr>
                <w:rFonts w:hint="eastAsia" w:ascii="仿宋" w:hAnsi="仿宋" w:eastAsia="仿宋" w:cs="仿宋_GB2312"/>
                <w:color w:val="auto"/>
                <w:szCs w:val="21"/>
                <w:highlight w:val="none"/>
              </w:rPr>
              <w:t>5</w:t>
            </w:r>
          </w:p>
        </w:tc>
        <w:tc>
          <w:tcPr>
            <w:tcW w:w="684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djustRightInd w:val="0"/>
              <w:snapToGrid w:val="0"/>
              <w:jc w:val="left"/>
              <w:rPr>
                <w:rFonts w:hint="eastAsia" w:ascii="仿宋_GB2312" w:hAnsi="仿宋_GB2312" w:eastAsia="仿宋_GB2312" w:cs="仿宋_GB2312"/>
                <w:color w:val="auto"/>
                <w:szCs w:val="21"/>
              </w:rPr>
            </w:pPr>
            <w:r>
              <w:rPr>
                <w:rFonts w:hint="eastAsia" w:ascii="仿宋" w:hAnsi="仿宋" w:eastAsia="仿宋" w:cs="仿宋_GB2312"/>
                <w:color w:val="auto"/>
                <w:szCs w:val="21"/>
                <w:highlight w:val="none"/>
              </w:rPr>
              <w:t>法定代表人（或非法人组织负责人）授权委托书（授权委托人参加磋商的须提供）</w:t>
            </w:r>
          </w:p>
        </w:tc>
        <w:tc>
          <w:tcPr>
            <w:tcW w:w="84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djustRightInd w:val="0"/>
              <w:snapToGrid w:val="0"/>
              <w:jc w:val="center"/>
              <w:rPr>
                <w:rFonts w:hint="eastAsia" w:ascii="仿宋_GB2312" w:hAnsi="仿宋_GB2312" w:eastAsia="仿宋_GB2312" w:cs="仿宋_GB2312"/>
                <w:color w:val="auto"/>
                <w:szCs w:val="21"/>
              </w:rPr>
            </w:pPr>
            <w:r>
              <w:rPr>
                <w:rFonts w:hint="eastAsia" w:ascii="仿宋" w:hAnsi="仿宋" w:eastAsia="仿宋" w:cs="仿宋_GB2312"/>
                <w:color w:val="auto"/>
                <w:szCs w:val="21"/>
                <w:highlight w:val="none"/>
              </w:rPr>
              <w:t>5</w:t>
            </w:r>
          </w:p>
        </w:tc>
      </w:tr>
      <w:tr>
        <w:tblPrEx>
          <w:tblCellMar>
            <w:top w:w="0" w:type="dxa"/>
            <w:left w:w="0" w:type="dxa"/>
            <w:bottom w:w="0" w:type="dxa"/>
            <w:right w:w="0" w:type="dxa"/>
          </w:tblCellMar>
        </w:tblPrEx>
        <w:trPr>
          <w:trHeight w:val="601" w:hRule="atLeast"/>
          <w:jc w:val="center"/>
        </w:trPr>
        <w:tc>
          <w:tcPr>
            <w:tcW w:w="65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djustRightInd w:val="0"/>
              <w:snapToGrid w:val="0"/>
              <w:jc w:val="center"/>
              <w:rPr>
                <w:rFonts w:hint="eastAsia" w:ascii="仿宋_GB2312" w:hAnsi="仿宋_GB2312" w:eastAsia="仿宋_GB2312" w:cs="仿宋_GB2312"/>
                <w:color w:val="auto"/>
                <w:szCs w:val="21"/>
              </w:rPr>
            </w:pPr>
            <w:r>
              <w:rPr>
                <w:rFonts w:hint="eastAsia" w:ascii="仿宋" w:hAnsi="仿宋" w:eastAsia="仿宋" w:cs="仿宋_GB2312"/>
                <w:color w:val="auto"/>
                <w:szCs w:val="21"/>
                <w:highlight w:val="none"/>
              </w:rPr>
              <w:t>6</w:t>
            </w:r>
          </w:p>
        </w:tc>
        <w:tc>
          <w:tcPr>
            <w:tcW w:w="684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left"/>
              <w:rPr>
                <w:rFonts w:hint="eastAsia" w:ascii="仿宋_GB2312" w:hAnsi="仿宋_GB2312" w:eastAsia="仿宋_GB2312" w:cs="仿宋_GB2312"/>
                <w:color w:val="auto"/>
                <w:szCs w:val="21"/>
              </w:rPr>
            </w:pPr>
            <w:r>
              <w:rPr>
                <w:rFonts w:hint="eastAsia" w:ascii="仿宋" w:hAnsi="仿宋" w:eastAsia="仿宋" w:cs="仿宋_GB2312"/>
                <w:color w:val="auto"/>
                <w:highlight w:val="none"/>
              </w:rPr>
              <w:t>具有良好的商业信誉和健全的财务会计制度的承诺函</w:t>
            </w:r>
          </w:p>
        </w:tc>
        <w:tc>
          <w:tcPr>
            <w:tcW w:w="84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djustRightInd w:val="0"/>
              <w:snapToGrid w:val="0"/>
              <w:jc w:val="center"/>
              <w:rPr>
                <w:rFonts w:hint="eastAsia" w:ascii="仿宋_GB2312" w:hAnsi="仿宋_GB2312" w:eastAsia="仿宋_GB2312" w:cs="仿宋_GB2312"/>
                <w:color w:val="auto"/>
                <w:szCs w:val="21"/>
              </w:rPr>
            </w:pPr>
            <w:r>
              <w:rPr>
                <w:rFonts w:hint="eastAsia" w:ascii="仿宋" w:hAnsi="仿宋" w:eastAsia="仿宋" w:cs="仿宋_GB2312"/>
                <w:color w:val="auto"/>
                <w:szCs w:val="21"/>
                <w:highlight w:val="none"/>
              </w:rPr>
              <w:t>6</w:t>
            </w:r>
          </w:p>
        </w:tc>
      </w:tr>
      <w:tr>
        <w:tblPrEx>
          <w:tblCellMar>
            <w:top w:w="0" w:type="dxa"/>
            <w:left w:w="0" w:type="dxa"/>
            <w:bottom w:w="0" w:type="dxa"/>
            <w:right w:w="0" w:type="dxa"/>
          </w:tblCellMar>
        </w:tblPrEx>
        <w:trPr>
          <w:trHeight w:val="1184" w:hRule="atLeast"/>
          <w:jc w:val="center"/>
        </w:trPr>
        <w:tc>
          <w:tcPr>
            <w:tcW w:w="65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djustRightInd w:val="0"/>
              <w:snapToGrid w:val="0"/>
              <w:jc w:val="center"/>
              <w:rPr>
                <w:rFonts w:hint="eastAsia" w:ascii="仿宋_GB2312" w:hAnsi="仿宋_GB2312" w:eastAsia="仿宋_GB2312" w:cs="仿宋_GB2312"/>
                <w:color w:val="auto"/>
                <w:szCs w:val="21"/>
              </w:rPr>
            </w:pPr>
            <w:r>
              <w:rPr>
                <w:rFonts w:hint="eastAsia" w:ascii="仿宋" w:hAnsi="仿宋" w:eastAsia="仿宋" w:cs="仿宋_GB2312"/>
                <w:color w:val="auto"/>
                <w:szCs w:val="21"/>
                <w:highlight w:val="none"/>
              </w:rPr>
              <w:t>7</w:t>
            </w:r>
          </w:p>
        </w:tc>
        <w:tc>
          <w:tcPr>
            <w:tcW w:w="684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djustRightInd w:val="0"/>
              <w:snapToGrid w:val="0"/>
              <w:jc w:val="left"/>
              <w:rPr>
                <w:rFonts w:hint="eastAsia" w:ascii="仿宋" w:hAnsi="仿宋" w:eastAsia="仿宋" w:cs="仿宋_GB2312"/>
                <w:color w:val="auto"/>
                <w:szCs w:val="21"/>
                <w:highlight w:val="none"/>
              </w:rPr>
            </w:pPr>
            <w:r>
              <w:rPr>
                <w:rFonts w:hint="eastAsia" w:ascii="仿宋" w:hAnsi="仿宋" w:eastAsia="仿宋" w:cs="仿宋_GB2312"/>
                <w:color w:val="auto"/>
                <w:szCs w:val="21"/>
                <w:highlight w:val="none"/>
              </w:rPr>
              <w:t>磋商会议时间前六个月内任一个月的依法缴纳税收的缴款凭据复印件</w:t>
            </w:r>
          </w:p>
          <w:p>
            <w:pPr>
              <w:adjustRightInd w:val="0"/>
              <w:snapToGrid w:val="0"/>
              <w:jc w:val="left"/>
              <w:rPr>
                <w:rFonts w:hint="eastAsia" w:ascii="仿宋_GB2312" w:hAnsi="仿宋_GB2312" w:eastAsia="仿宋_GB2312" w:cs="仿宋_GB2312"/>
                <w:color w:val="auto"/>
                <w:szCs w:val="21"/>
              </w:rPr>
            </w:pPr>
            <w:r>
              <w:rPr>
                <w:rFonts w:hint="eastAsia" w:ascii="仿宋" w:hAnsi="仿宋" w:eastAsia="仿宋" w:cs="仿宋_GB2312"/>
                <w:color w:val="auto"/>
                <w:szCs w:val="21"/>
                <w:highlight w:val="none"/>
              </w:rPr>
              <w:t>（注：依法免税的供应商，应提供相关证明材料，包括相关法规要求原文及加盖公章的情况说明）</w:t>
            </w:r>
          </w:p>
        </w:tc>
        <w:tc>
          <w:tcPr>
            <w:tcW w:w="84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djustRightInd w:val="0"/>
              <w:snapToGrid w:val="0"/>
              <w:jc w:val="center"/>
              <w:rPr>
                <w:rFonts w:hint="eastAsia" w:ascii="仿宋_GB2312" w:hAnsi="仿宋_GB2312" w:eastAsia="仿宋_GB2312" w:cs="仿宋_GB2312"/>
                <w:color w:val="auto"/>
                <w:szCs w:val="21"/>
              </w:rPr>
            </w:pPr>
          </w:p>
        </w:tc>
      </w:tr>
      <w:tr>
        <w:tblPrEx>
          <w:tblCellMar>
            <w:top w:w="0" w:type="dxa"/>
            <w:left w:w="0" w:type="dxa"/>
            <w:bottom w:w="0" w:type="dxa"/>
            <w:right w:w="0" w:type="dxa"/>
          </w:tblCellMar>
        </w:tblPrEx>
        <w:trPr>
          <w:trHeight w:val="1474" w:hRule="atLeast"/>
          <w:jc w:val="center"/>
        </w:trPr>
        <w:tc>
          <w:tcPr>
            <w:tcW w:w="65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djustRightInd w:val="0"/>
              <w:snapToGrid w:val="0"/>
              <w:jc w:val="center"/>
              <w:rPr>
                <w:rFonts w:hint="eastAsia" w:ascii="仿宋_GB2312" w:hAnsi="仿宋_GB2312" w:eastAsia="仿宋_GB2312" w:cs="仿宋_GB2312"/>
                <w:color w:val="auto"/>
                <w:szCs w:val="21"/>
              </w:rPr>
            </w:pPr>
            <w:r>
              <w:rPr>
                <w:rFonts w:hint="eastAsia" w:ascii="仿宋" w:hAnsi="仿宋" w:eastAsia="仿宋" w:cs="仿宋_GB2312"/>
                <w:color w:val="auto"/>
                <w:szCs w:val="21"/>
                <w:highlight w:val="none"/>
              </w:rPr>
              <w:t>8</w:t>
            </w:r>
          </w:p>
        </w:tc>
        <w:tc>
          <w:tcPr>
            <w:tcW w:w="684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djustRightInd w:val="0"/>
              <w:snapToGrid w:val="0"/>
              <w:jc w:val="left"/>
              <w:rPr>
                <w:rFonts w:hint="eastAsia" w:ascii="仿宋" w:hAnsi="仿宋" w:eastAsia="仿宋" w:cs="仿宋_GB2312"/>
                <w:color w:val="auto"/>
                <w:szCs w:val="21"/>
                <w:highlight w:val="none"/>
              </w:rPr>
            </w:pPr>
            <w:r>
              <w:rPr>
                <w:rFonts w:hint="eastAsia" w:ascii="仿宋" w:hAnsi="仿宋" w:eastAsia="仿宋" w:cs="仿宋_GB2312"/>
                <w:color w:val="auto"/>
                <w:szCs w:val="21"/>
                <w:highlight w:val="none"/>
              </w:rPr>
              <w:t>磋商会议时间前六个月内任一个月的依法缴纳社会保障资金的缴款凭据复印件</w:t>
            </w:r>
          </w:p>
          <w:p>
            <w:pPr>
              <w:adjustRightInd w:val="0"/>
              <w:snapToGrid w:val="0"/>
              <w:jc w:val="left"/>
              <w:rPr>
                <w:rFonts w:hint="eastAsia" w:ascii="仿宋_GB2312" w:hAnsi="仿宋_GB2312" w:eastAsia="仿宋_GB2312" w:cs="仿宋_GB2312"/>
                <w:color w:val="auto"/>
                <w:szCs w:val="21"/>
              </w:rPr>
            </w:pPr>
            <w:r>
              <w:rPr>
                <w:rFonts w:hint="eastAsia" w:ascii="仿宋" w:hAnsi="仿宋" w:eastAsia="仿宋" w:cs="仿宋_GB2312"/>
                <w:color w:val="auto"/>
                <w:szCs w:val="21"/>
                <w:highlight w:val="none"/>
              </w:rPr>
              <w:t>（注：依法不需要缴纳社会保障资金的供应商，应提供相关证明材料，包括相关法规要求原文及加盖公章的情况说明）</w:t>
            </w:r>
          </w:p>
        </w:tc>
        <w:tc>
          <w:tcPr>
            <w:tcW w:w="84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djustRightInd w:val="0"/>
              <w:snapToGrid w:val="0"/>
              <w:jc w:val="center"/>
              <w:rPr>
                <w:rFonts w:hint="eastAsia" w:ascii="仿宋_GB2312" w:hAnsi="仿宋_GB2312" w:eastAsia="仿宋_GB2312" w:cs="仿宋_GB2312"/>
                <w:color w:val="auto"/>
                <w:szCs w:val="21"/>
              </w:rPr>
            </w:pPr>
          </w:p>
        </w:tc>
      </w:tr>
      <w:tr>
        <w:tblPrEx>
          <w:tblCellMar>
            <w:top w:w="0" w:type="dxa"/>
            <w:left w:w="0" w:type="dxa"/>
            <w:bottom w:w="0" w:type="dxa"/>
            <w:right w:w="0" w:type="dxa"/>
          </w:tblCellMar>
        </w:tblPrEx>
        <w:trPr>
          <w:trHeight w:val="310" w:hRule="atLeast"/>
          <w:jc w:val="center"/>
        </w:trPr>
        <w:tc>
          <w:tcPr>
            <w:tcW w:w="65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djustRightInd w:val="0"/>
              <w:snapToGrid w:val="0"/>
              <w:jc w:val="center"/>
              <w:rPr>
                <w:rFonts w:hint="eastAsia" w:ascii="仿宋_GB2312" w:hAnsi="仿宋_GB2312" w:eastAsia="仿宋_GB2312" w:cs="仿宋_GB2312"/>
                <w:color w:val="auto"/>
                <w:szCs w:val="21"/>
              </w:rPr>
            </w:pPr>
            <w:r>
              <w:rPr>
                <w:rFonts w:hint="eastAsia" w:ascii="仿宋" w:hAnsi="仿宋" w:eastAsia="仿宋" w:cs="仿宋_GB2312"/>
                <w:color w:val="auto"/>
                <w:szCs w:val="21"/>
                <w:highlight w:val="none"/>
              </w:rPr>
              <w:t>9</w:t>
            </w:r>
          </w:p>
        </w:tc>
        <w:tc>
          <w:tcPr>
            <w:tcW w:w="684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djustRightInd w:val="0"/>
              <w:snapToGrid w:val="0"/>
              <w:jc w:val="left"/>
              <w:rPr>
                <w:rFonts w:hint="eastAsia" w:ascii="仿宋_GB2312" w:hAnsi="仿宋_GB2312" w:eastAsia="仿宋_GB2312" w:cs="仿宋_GB2312"/>
                <w:color w:val="auto"/>
                <w:szCs w:val="21"/>
              </w:rPr>
            </w:pPr>
            <w:r>
              <w:rPr>
                <w:rFonts w:hint="eastAsia" w:ascii="仿宋" w:hAnsi="仿宋" w:eastAsia="仿宋" w:cs="仿宋_GB2312"/>
                <w:color w:val="auto"/>
                <w:szCs w:val="21"/>
                <w:highlight w:val="none"/>
              </w:rPr>
              <w:t>具备履行合同所必需的设备和专业技术能力声明函</w:t>
            </w:r>
          </w:p>
        </w:tc>
        <w:tc>
          <w:tcPr>
            <w:tcW w:w="84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djustRightInd w:val="0"/>
              <w:snapToGrid w:val="0"/>
              <w:jc w:val="center"/>
              <w:rPr>
                <w:rFonts w:hint="eastAsia" w:ascii="仿宋_GB2312" w:hAnsi="仿宋_GB2312" w:eastAsia="仿宋_GB2312" w:cs="仿宋_GB2312"/>
                <w:color w:val="auto"/>
                <w:szCs w:val="21"/>
              </w:rPr>
            </w:pPr>
            <w:r>
              <w:rPr>
                <w:rFonts w:hint="eastAsia" w:ascii="仿宋" w:hAnsi="仿宋" w:eastAsia="仿宋" w:cs="仿宋_GB2312"/>
                <w:color w:val="auto"/>
                <w:szCs w:val="21"/>
                <w:highlight w:val="none"/>
              </w:rPr>
              <w:t>7</w:t>
            </w:r>
          </w:p>
        </w:tc>
      </w:tr>
      <w:tr>
        <w:tblPrEx>
          <w:tblCellMar>
            <w:top w:w="0" w:type="dxa"/>
            <w:left w:w="0" w:type="dxa"/>
            <w:bottom w:w="0" w:type="dxa"/>
            <w:right w:w="0" w:type="dxa"/>
          </w:tblCellMar>
        </w:tblPrEx>
        <w:trPr>
          <w:trHeight w:val="601" w:hRule="atLeast"/>
          <w:jc w:val="center"/>
        </w:trPr>
        <w:tc>
          <w:tcPr>
            <w:tcW w:w="65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djustRightInd w:val="0"/>
              <w:snapToGrid w:val="0"/>
              <w:jc w:val="center"/>
              <w:rPr>
                <w:rFonts w:hint="eastAsia" w:ascii="仿宋_GB2312" w:hAnsi="仿宋_GB2312" w:eastAsia="仿宋_GB2312" w:cs="仿宋_GB2312"/>
                <w:color w:val="auto"/>
                <w:szCs w:val="21"/>
              </w:rPr>
            </w:pPr>
            <w:r>
              <w:rPr>
                <w:rFonts w:hint="eastAsia" w:ascii="仿宋" w:hAnsi="仿宋" w:eastAsia="仿宋" w:cs="仿宋_GB2312"/>
                <w:color w:val="auto"/>
                <w:szCs w:val="21"/>
                <w:highlight w:val="none"/>
              </w:rPr>
              <w:t>10</w:t>
            </w:r>
          </w:p>
        </w:tc>
        <w:tc>
          <w:tcPr>
            <w:tcW w:w="684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djustRightInd w:val="0"/>
              <w:snapToGrid w:val="0"/>
              <w:jc w:val="left"/>
              <w:rPr>
                <w:rFonts w:hint="eastAsia" w:ascii="仿宋_GB2312" w:hAnsi="仿宋_GB2312" w:eastAsia="仿宋_GB2312" w:cs="仿宋_GB2312"/>
                <w:color w:val="auto"/>
                <w:szCs w:val="21"/>
              </w:rPr>
            </w:pPr>
            <w:r>
              <w:rPr>
                <w:rFonts w:hint="eastAsia" w:ascii="仿宋" w:hAnsi="仿宋" w:eastAsia="仿宋" w:cs="仿宋_GB2312"/>
                <w:color w:val="auto"/>
                <w:szCs w:val="21"/>
                <w:highlight w:val="none"/>
              </w:rPr>
              <w:t>参加政府采购活动前3年内在经营活动中没有重大违法记录的书面声明</w:t>
            </w:r>
          </w:p>
        </w:tc>
        <w:tc>
          <w:tcPr>
            <w:tcW w:w="84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djustRightInd w:val="0"/>
              <w:snapToGrid w:val="0"/>
              <w:jc w:val="center"/>
              <w:rPr>
                <w:rFonts w:hint="eastAsia" w:ascii="仿宋_GB2312" w:hAnsi="仿宋_GB2312" w:eastAsia="仿宋_GB2312" w:cs="仿宋_GB2312"/>
                <w:color w:val="auto"/>
                <w:szCs w:val="21"/>
              </w:rPr>
            </w:pPr>
            <w:r>
              <w:rPr>
                <w:rFonts w:hint="eastAsia" w:ascii="仿宋" w:hAnsi="仿宋" w:eastAsia="仿宋" w:cs="仿宋_GB2312"/>
                <w:color w:val="auto"/>
                <w:szCs w:val="21"/>
                <w:highlight w:val="none"/>
              </w:rPr>
              <w:t>8</w:t>
            </w:r>
          </w:p>
        </w:tc>
      </w:tr>
      <w:tr>
        <w:tblPrEx>
          <w:tblCellMar>
            <w:top w:w="0" w:type="dxa"/>
            <w:left w:w="0" w:type="dxa"/>
            <w:bottom w:w="0" w:type="dxa"/>
            <w:right w:w="0" w:type="dxa"/>
          </w:tblCellMar>
        </w:tblPrEx>
        <w:trPr>
          <w:trHeight w:val="310" w:hRule="atLeast"/>
          <w:jc w:val="center"/>
        </w:trPr>
        <w:tc>
          <w:tcPr>
            <w:tcW w:w="65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djustRightInd w:val="0"/>
              <w:snapToGrid w:val="0"/>
              <w:jc w:val="center"/>
              <w:rPr>
                <w:rFonts w:hint="eastAsia" w:ascii="仿宋" w:hAnsi="仿宋" w:eastAsia="仿宋" w:cs="仿宋_GB2312"/>
                <w:color w:val="auto"/>
                <w:szCs w:val="21"/>
                <w:highlight w:val="none"/>
              </w:rPr>
            </w:pPr>
            <w:r>
              <w:rPr>
                <w:rFonts w:hint="eastAsia" w:ascii="仿宋" w:hAnsi="仿宋" w:eastAsia="仿宋" w:cs="仿宋_GB2312"/>
                <w:color w:val="auto"/>
                <w:szCs w:val="21"/>
                <w:highlight w:val="none"/>
              </w:rPr>
              <w:t>11</w:t>
            </w:r>
          </w:p>
        </w:tc>
        <w:tc>
          <w:tcPr>
            <w:tcW w:w="684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djustRightInd w:val="0"/>
              <w:snapToGrid w:val="0"/>
              <w:jc w:val="left"/>
              <w:rPr>
                <w:rFonts w:hint="eastAsia" w:ascii="仿宋" w:hAnsi="仿宋" w:eastAsia="仿宋" w:cs="仿宋_GB2312"/>
                <w:color w:val="auto"/>
                <w:szCs w:val="21"/>
                <w:highlight w:val="none"/>
                <w:lang w:eastAsia="zh-CN"/>
              </w:rPr>
            </w:pPr>
            <w:r>
              <w:rPr>
                <w:rFonts w:hint="eastAsia" w:ascii="仿宋" w:hAnsi="仿宋" w:eastAsia="仿宋" w:cs="仿宋_GB2312"/>
                <w:color w:val="auto"/>
                <w:szCs w:val="21"/>
                <w:highlight w:val="none"/>
              </w:rPr>
              <w:t>(1)</w:t>
            </w:r>
            <w:r>
              <w:rPr>
                <w:rFonts w:hint="eastAsia" w:ascii="仿宋" w:hAnsi="仿宋" w:eastAsia="仿宋" w:cs="仿宋_GB2312"/>
                <w:color w:val="auto"/>
                <w:szCs w:val="21"/>
                <w:highlight w:val="none"/>
                <w:lang w:eastAsia="zh-CN"/>
              </w:rPr>
              <w:t xml:space="preserve">具有国家建设行政主管部门核发的市政公用工程施工总承包三级（含）以上资质； </w:t>
            </w:r>
          </w:p>
          <w:p>
            <w:pPr>
              <w:adjustRightInd w:val="0"/>
              <w:snapToGrid w:val="0"/>
              <w:jc w:val="left"/>
              <w:rPr>
                <w:rFonts w:hint="eastAsia" w:ascii="仿宋" w:hAnsi="仿宋" w:eastAsia="仿宋" w:cs="仿宋_GB2312"/>
                <w:color w:val="auto"/>
                <w:szCs w:val="21"/>
                <w:highlight w:val="none"/>
                <w:lang w:eastAsia="zh-CN"/>
              </w:rPr>
            </w:pPr>
            <w:r>
              <w:rPr>
                <w:rFonts w:hint="eastAsia" w:ascii="仿宋" w:hAnsi="仿宋" w:eastAsia="仿宋" w:cs="仿宋_GB2312"/>
                <w:color w:val="auto"/>
                <w:szCs w:val="21"/>
                <w:highlight w:val="none"/>
              </w:rPr>
              <w:t>(2)</w:t>
            </w:r>
            <w:r>
              <w:rPr>
                <w:rFonts w:hint="eastAsia" w:ascii="仿宋" w:hAnsi="仿宋" w:eastAsia="仿宋" w:cs="仿宋_GB2312"/>
                <w:color w:val="auto"/>
                <w:szCs w:val="21"/>
                <w:highlight w:val="none"/>
                <w:lang w:eastAsia="zh-CN"/>
              </w:rPr>
              <w:t>拟投入本项目的项目经理须具有市政公用工程专业二级（含二级）以上注册证书，并具备有效的安全生产考核合格证(B证)</w:t>
            </w:r>
            <w:r>
              <w:rPr>
                <w:rFonts w:hint="eastAsia" w:ascii="仿宋" w:hAnsi="仿宋" w:eastAsia="仿宋" w:cs="仿宋_GB2312"/>
                <w:color w:val="auto"/>
                <w:szCs w:val="21"/>
                <w:highlight w:val="none"/>
              </w:rPr>
              <w:t xml:space="preserve"> </w:t>
            </w:r>
            <w:r>
              <w:rPr>
                <w:rFonts w:hint="eastAsia" w:ascii="仿宋" w:hAnsi="仿宋" w:eastAsia="仿宋" w:cs="仿宋_GB2312"/>
                <w:color w:val="auto"/>
                <w:szCs w:val="21"/>
                <w:highlight w:val="none"/>
                <w:lang w:eastAsia="zh-CN"/>
              </w:rPr>
              <w:t>；</w:t>
            </w:r>
          </w:p>
          <w:p>
            <w:pPr>
              <w:adjustRightInd w:val="0"/>
              <w:snapToGrid w:val="0"/>
              <w:jc w:val="left"/>
              <w:rPr>
                <w:rFonts w:hint="eastAsia" w:ascii="仿宋" w:hAnsi="仿宋" w:eastAsia="仿宋" w:cs="仿宋_GB2312"/>
                <w:color w:val="auto"/>
                <w:szCs w:val="21"/>
                <w:highlight w:val="none"/>
              </w:rPr>
            </w:pPr>
            <w:r>
              <w:rPr>
                <w:rFonts w:hint="eastAsia" w:ascii="仿宋" w:hAnsi="仿宋" w:eastAsia="仿宋" w:cs="仿宋_GB2312"/>
                <w:color w:val="auto"/>
                <w:szCs w:val="21"/>
                <w:highlight w:val="none"/>
              </w:rPr>
              <w:t>(3)具有建设行政主管部门核发的有效期内的安全生产许可证</w:t>
            </w:r>
            <w:r>
              <w:rPr>
                <w:rFonts w:hint="eastAsia" w:ascii="仿宋" w:hAnsi="仿宋" w:eastAsia="仿宋" w:cs="仿宋_GB2312"/>
                <w:color w:val="auto"/>
                <w:szCs w:val="21"/>
                <w:highlight w:val="none"/>
                <w:lang w:eastAsia="zh-CN"/>
              </w:rPr>
              <w:t>。</w:t>
            </w:r>
          </w:p>
        </w:tc>
        <w:tc>
          <w:tcPr>
            <w:tcW w:w="84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djustRightInd w:val="0"/>
              <w:snapToGrid w:val="0"/>
              <w:jc w:val="center"/>
              <w:rPr>
                <w:rFonts w:hint="eastAsia" w:ascii="仿宋_GB2312" w:hAnsi="仿宋_GB2312" w:eastAsia="仿宋_GB2312" w:cs="仿宋_GB2312"/>
                <w:color w:val="auto"/>
                <w:szCs w:val="21"/>
              </w:rPr>
            </w:pPr>
          </w:p>
        </w:tc>
      </w:tr>
      <w:tr>
        <w:tblPrEx>
          <w:tblCellMar>
            <w:top w:w="0" w:type="dxa"/>
            <w:left w:w="0" w:type="dxa"/>
            <w:bottom w:w="0" w:type="dxa"/>
            <w:right w:w="0" w:type="dxa"/>
          </w:tblCellMar>
        </w:tblPrEx>
        <w:trPr>
          <w:trHeight w:val="601" w:hRule="atLeast"/>
          <w:jc w:val="center"/>
        </w:trPr>
        <w:tc>
          <w:tcPr>
            <w:tcW w:w="65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djustRightInd w:val="0"/>
              <w:snapToGrid w:val="0"/>
              <w:jc w:val="center"/>
              <w:rPr>
                <w:rFonts w:hint="eastAsia" w:ascii="仿宋_GB2312" w:hAnsi="仿宋_GB2312" w:eastAsia="仿宋_GB2312" w:cs="仿宋_GB2312"/>
                <w:color w:val="auto"/>
                <w:szCs w:val="21"/>
              </w:rPr>
            </w:pPr>
            <w:r>
              <w:rPr>
                <w:rFonts w:hint="eastAsia" w:ascii="仿宋" w:hAnsi="仿宋" w:eastAsia="仿宋" w:cs="仿宋_GB2312"/>
                <w:color w:val="auto"/>
                <w:szCs w:val="21"/>
                <w:highlight w:val="none"/>
              </w:rPr>
              <w:t>12</w:t>
            </w:r>
          </w:p>
        </w:tc>
        <w:tc>
          <w:tcPr>
            <w:tcW w:w="684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djustRightInd w:val="0"/>
              <w:snapToGrid w:val="0"/>
              <w:jc w:val="left"/>
              <w:rPr>
                <w:rFonts w:hint="eastAsia" w:ascii="仿宋_GB2312" w:hAnsi="仿宋_GB2312" w:eastAsia="仿宋_GB2312" w:cs="仿宋_GB2312"/>
                <w:color w:val="auto"/>
                <w:szCs w:val="21"/>
              </w:rPr>
            </w:pPr>
            <w:r>
              <w:rPr>
                <w:rFonts w:hint="eastAsia" w:ascii="仿宋" w:hAnsi="仿宋" w:eastAsia="仿宋" w:cs="仿宋_GB2312"/>
                <w:color w:val="auto"/>
                <w:szCs w:val="21"/>
                <w:highlight w:val="none"/>
              </w:rPr>
              <w:t>信用记录（采购人或采购代理机构将按照采购文件规定的审查期间内进行查询）</w:t>
            </w:r>
          </w:p>
        </w:tc>
        <w:tc>
          <w:tcPr>
            <w:tcW w:w="84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djustRightInd w:val="0"/>
              <w:snapToGrid w:val="0"/>
              <w:jc w:val="center"/>
              <w:rPr>
                <w:rFonts w:hint="eastAsia" w:ascii="仿宋_GB2312" w:hAnsi="仿宋_GB2312" w:eastAsia="仿宋_GB2312" w:cs="仿宋_GB2312"/>
                <w:color w:val="auto"/>
                <w:szCs w:val="21"/>
              </w:rPr>
            </w:pPr>
          </w:p>
        </w:tc>
      </w:tr>
      <w:tr>
        <w:tblPrEx>
          <w:tblCellMar>
            <w:top w:w="0" w:type="dxa"/>
            <w:left w:w="0" w:type="dxa"/>
            <w:bottom w:w="0" w:type="dxa"/>
            <w:right w:w="0" w:type="dxa"/>
          </w:tblCellMar>
        </w:tblPrEx>
        <w:trPr>
          <w:trHeight w:val="509" w:hRule="atLeast"/>
          <w:jc w:val="center"/>
        </w:trPr>
        <w:tc>
          <w:tcPr>
            <w:tcW w:w="65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djustRightInd w:val="0"/>
              <w:snapToGrid w:val="0"/>
              <w:jc w:val="center"/>
              <w:rPr>
                <w:rFonts w:hint="eastAsia" w:ascii="仿宋_GB2312" w:hAnsi="仿宋_GB2312" w:eastAsia="仿宋_GB2312" w:cs="仿宋_GB2312"/>
                <w:color w:val="auto"/>
                <w:szCs w:val="21"/>
              </w:rPr>
            </w:pPr>
          </w:p>
        </w:tc>
        <w:tc>
          <w:tcPr>
            <w:tcW w:w="684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djustRightInd w:val="0"/>
              <w:snapToGrid w:val="0"/>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w:t>
            </w:r>
          </w:p>
        </w:tc>
        <w:tc>
          <w:tcPr>
            <w:tcW w:w="84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djustRightInd w:val="0"/>
              <w:snapToGrid w:val="0"/>
              <w:jc w:val="center"/>
              <w:rPr>
                <w:rFonts w:hint="eastAsia" w:ascii="仿宋_GB2312" w:hAnsi="仿宋_GB2312" w:eastAsia="仿宋_GB2312" w:cs="仿宋_GB2312"/>
                <w:color w:val="auto"/>
                <w:szCs w:val="21"/>
              </w:rPr>
            </w:pPr>
          </w:p>
        </w:tc>
      </w:tr>
    </w:tbl>
    <w:p>
      <w:pPr>
        <w:spacing w:before="159" w:beforeLines="50" w:line="360" w:lineRule="auto"/>
        <w:ind w:firstLine="482" w:firstLineChars="200"/>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三、符合性证明材料（有一项不符合要求，不能进入下一阶段评审）</w:t>
      </w:r>
    </w:p>
    <w:bookmarkEnd w:id="62"/>
    <w:bookmarkEnd w:id="63"/>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6965"/>
        <w:gridCol w:w="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blHeader/>
          <w:jc w:val="center"/>
        </w:trPr>
        <w:tc>
          <w:tcPr>
            <w:tcW w:w="663" w:type="dxa"/>
            <w:noWrap w:val="0"/>
            <w:vAlign w:val="center"/>
          </w:tcPr>
          <w:p>
            <w:pPr>
              <w:spacing w:line="360" w:lineRule="exact"/>
              <w:jc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序号</w:t>
            </w:r>
          </w:p>
        </w:tc>
        <w:tc>
          <w:tcPr>
            <w:tcW w:w="6965" w:type="dxa"/>
            <w:noWrap w:val="0"/>
            <w:vAlign w:val="center"/>
          </w:tcPr>
          <w:p>
            <w:pPr>
              <w:spacing w:line="360" w:lineRule="exact"/>
              <w:jc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符合性证明材料</w:t>
            </w:r>
          </w:p>
        </w:tc>
        <w:tc>
          <w:tcPr>
            <w:tcW w:w="855" w:type="dxa"/>
            <w:noWrap w:val="0"/>
            <w:vAlign w:val="center"/>
          </w:tcPr>
          <w:p>
            <w:pPr>
              <w:spacing w:line="360" w:lineRule="exact"/>
              <w:jc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63" w:type="dxa"/>
            <w:noWrap w:val="0"/>
            <w:vAlign w:val="center"/>
          </w:tcPr>
          <w:p>
            <w:pPr>
              <w:spacing w:line="360" w:lineRule="exact"/>
              <w:jc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w:t>
            </w:r>
          </w:p>
        </w:tc>
        <w:tc>
          <w:tcPr>
            <w:tcW w:w="6965" w:type="dxa"/>
            <w:noWrap w:val="0"/>
            <w:vAlign w:val="center"/>
          </w:tcPr>
          <w:p>
            <w:pPr>
              <w:spacing w:line="360" w:lineRule="exac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响应函</w:t>
            </w:r>
          </w:p>
        </w:tc>
        <w:tc>
          <w:tcPr>
            <w:tcW w:w="855" w:type="dxa"/>
            <w:noWrap w:val="0"/>
            <w:vAlign w:val="center"/>
          </w:tcPr>
          <w:p>
            <w:pPr>
              <w:spacing w:line="360" w:lineRule="exact"/>
              <w:jc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63" w:type="dxa"/>
            <w:noWrap w:val="0"/>
            <w:vAlign w:val="center"/>
          </w:tcPr>
          <w:p>
            <w:pPr>
              <w:jc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w:t>
            </w:r>
          </w:p>
        </w:tc>
        <w:tc>
          <w:tcPr>
            <w:tcW w:w="6965" w:type="dxa"/>
            <w:noWrap w:val="0"/>
            <w:vAlign w:val="center"/>
          </w:tcPr>
          <w:p>
            <w:pPr>
              <w:spacing w:line="360" w:lineRule="exac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报价一览表</w:t>
            </w:r>
          </w:p>
        </w:tc>
        <w:tc>
          <w:tcPr>
            <w:tcW w:w="855" w:type="dxa"/>
            <w:noWrap w:val="0"/>
            <w:vAlign w:val="center"/>
          </w:tcPr>
          <w:p>
            <w:pPr>
              <w:spacing w:line="360" w:lineRule="exact"/>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Cs w:val="21"/>
              </w:rPr>
              <w:t>1</w:t>
            </w:r>
            <w:r>
              <w:rPr>
                <w:rFonts w:hint="eastAsia" w:ascii="仿宋_GB2312" w:hAnsi="仿宋_GB2312" w:eastAsia="仿宋_GB2312" w:cs="仿宋_GB2312"/>
                <w:color w:val="auto"/>
                <w:kern w:val="0"/>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63" w:type="dxa"/>
            <w:noWrap w:val="0"/>
            <w:vAlign w:val="center"/>
          </w:tcPr>
          <w:p>
            <w:pPr>
              <w:spacing w:line="360" w:lineRule="exact"/>
              <w:jc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w:t>
            </w:r>
          </w:p>
        </w:tc>
        <w:tc>
          <w:tcPr>
            <w:tcW w:w="6965" w:type="dxa"/>
            <w:noWrap w:val="0"/>
            <w:vAlign w:val="center"/>
          </w:tcPr>
          <w:p>
            <w:pPr>
              <w:spacing w:line="360" w:lineRule="exac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lang w:val="en-US" w:eastAsia="zh-CN"/>
              </w:rPr>
              <w:t>已标价工程量清单</w:t>
            </w:r>
          </w:p>
        </w:tc>
        <w:tc>
          <w:tcPr>
            <w:tcW w:w="855" w:type="dxa"/>
            <w:noWrap w:val="0"/>
            <w:vAlign w:val="center"/>
          </w:tcPr>
          <w:p>
            <w:pPr>
              <w:spacing w:line="360" w:lineRule="exact"/>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Cs w:val="21"/>
              </w:rPr>
              <w:t>1</w:t>
            </w:r>
            <w:r>
              <w:rPr>
                <w:rFonts w:hint="eastAsia" w:ascii="仿宋_GB2312" w:hAnsi="仿宋_GB2312" w:eastAsia="仿宋_GB2312" w:cs="仿宋_GB2312"/>
                <w:color w:val="auto"/>
                <w:kern w:val="0"/>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63" w:type="dxa"/>
            <w:noWrap w:val="0"/>
            <w:vAlign w:val="center"/>
          </w:tcPr>
          <w:p>
            <w:pPr>
              <w:spacing w:line="360" w:lineRule="exact"/>
              <w:jc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4</w:t>
            </w:r>
          </w:p>
        </w:tc>
        <w:tc>
          <w:tcPr>
            <w:tcW w:w="6965" w:type="dxa"/>
            <w:noWrap w:val="0"/>
            <w:vAlign w:val="center"/>
          </w:tcPr>
          <w:p>
            <w:pPr>
              <w:spacing w:line="360" w:lineRule="exact"/>
              <w:rPr>
                <w:rFonts w:hint="eastAsia" w:ascii="仿宋_GB2312" w:hAnsi="仿宋_GB2312" w:eastAsia="仿宋_GB2312" w:cs="仿宋_GB2312"/>
                <w:color w:val="auto"/>
                <w:szCs w:val="21"/>
                <w:lang w:eastAsia="zh-CN"/>
              </w:rPr>
            </w:pPr>
            <w:r>
              <w:rPr>
                <w:rFonts w:hint="eastAsia" w:ascii="仿宋_GB2312" w:hAnsi="仿宋_GB2312" w:eastAsia="仿宋_GB2312" w:cs="仿宋_GB2312"/>
                <w:color w:val="auto"/>
                <w:szCs w:val="21"/>
                <w:lang w:eastAsia="zh-CN"/>
              </w:rPr>
              <w:t>项目需求响应表</w:t>
            </w:r>
          </w:p>
        </w:tc>
        <w:tc>
          <w:tcPr>
            <w:tcW w:w="855" w:type="dxa"/>
            <w:noWrap w:val="0"/>
            <w:vAlign w:val="center"/>
          </w:tcPr>
          <w:p>
            <w:pPr>
              <w:spacing w:line="360" w:lineRule="exact"/>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Cs w:val="21"/>
              </w:rPr>
              <w:t>1</w:t>
            </w:r>
            <w:r>
              <w:rPr>
                <w:rFonts w:hint="eastAsia" w:ascii="仿宋_GB2312" w:hAnsi="仿宋_GB2312" w:eastAsia="仿宋_GB2312" w:cs="仿宋_GB2312"/>
                <w:color w:val="auto"/>
                <w:kern w:val="0"/>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63" w:type="dxa"/>
            <w:noWrap w:val="0"/>
            <w:vAlign w:val="center"/>
          </w:tcPr>
          <w:p>
            <w:pPr>
              <w:spacing w:line="360" w:lineRule="exact"/>
              <w:jc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w:t>
            </w:r>
          </w:p>
        </w:tc>
        <w:tc>
          <w:tcPr>
            <w:tcW w:w="6965" w:type="dxa"/>
            <w:noWrap w:val="0"/>
            <w:vAlign w:val="center"/>
          </w:tcPr>
          <w:p>
            <w:pPr>
              <w:spacing w:line="360" w:lineRule="exact"/>
              <w:rPr>
                <w:rFonts w:hint="eastAsia" w:ascii="仿宋_GB2312" w:hAnsi="仿宋_GB2312" w:eastAsia="仿宋_GB2312" w:cs="仿宋_GB2312"/>
                <w:color w:val="auto"/>
                <w:szCs w:val="21"/>
              </w:rPr>
            </w:pPr>
            <w:r>
              <w:rPr>
                <w:rFonts w:hint="eastAsia" w:ascii="仿宋_GB2312" w:hAnsi="仿宋_GB2312" w:eastAsia="仿宋_GB2312" w:cs="仿宋_GB2312"/>
                <w:color w:val="auto"/>
                <w:kern w:val="0"/>
                <w:szCs w:val="21"/>
              </w:rPr>
              <w:t>商务条款偏离表</w:t>
            </w:r>
          </w:p>
        </w:tc>
        <w:tc>
          <w:tcPr>
            <w:tcW w:w="855" w:type="dxa"/>
            <w:noWrap w:val="0"/>
            <w:vAlign w:val="center"/>
          </w:tcPr>
          <w:p>
            <w:pPr>
              <w:spacing w:line="360" w:lineRule="exact"/>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Cs w:val="21"/>
              </w:rPr>
              <w:t>1</w:t>
            </w:r>
            <w:r>
              <w:rPr>
                <w:rFonts w:hint="eastAsia" w:ascii="仿宋_GB2312" w:hAnsi="仿宋_GB2312" w:eastAsia="仿宋_GB2312" w:cs="仿宋_GB2312"/>
                <w:color w:val="auto"/>
                <w:kern w:val="0"/>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63" w:type="dxa"/>
            <w:noWrap w:val="0"/>
            <w:vAlign w:val="center"/>
          </w:tcPr>
          <w:p>
            <w:pPr>
              <w:spacing w:line="360" w:lineRule="exact"/>
              <w:jc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6</w:t>
            </w:r>
          </w:p>
        </w:tc>
        <w:tc>
          <w:tcPr>
            <w:tcW w:w="6965" w:type="dxa"/>
            <w:noWrap w:val="0"/>
            <w:vAlign w:val="center"/>
          </w:tcPr>
          <w:p>
            <w:pPr>
              <w:spacing w:line="360" w:lineRule="exact"/>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供应商关联单位说明</w:t>
            </w:r>
          </w:p>
        </w:tc>
        <w:tc>
          <w:tcPr>
            <w:tcW w:w="855" w:type="dxa"/>
            <w:noWrap w:val="0"/>
            <w:vAlign w:val="center"/>
          </w:tcPr>
          <w:p>
            <w:pPr>
              <w:spacing w:line="360" w:lineRule="exact"/>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Cs w:val="21"/>
              </w:rPr>
              <w:t>1</w:t>
            </w:r>
            <w:r>
              <w:rPr>
                <w:rFonts w:hint="eastAsia" w:ascii="仿宋_GB2312" w:hAnsi="仿宋_GB2312" w:eastAsia="仿宋_GB2312" w:cs="仿宋_GB2312"/>
                <w:color w:val="auto"/>
                <w:kern w:val="0"/>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63" w:type="dxa"/>
            <w:noWrap w:val="0"/>
            <w:vAlign w:val="center"/>
          </w:tcPr>
          <w:p>
            <w:pPr>
              <w:spacing w:line="360" w:lineRule="exact"/>
              <w:jc w:val="center"/>
              <w:rPr>
                <w:rFonts w:hint="eastAsia" w:ascii="仿宋_GB2312" w:hAnsi="仿宋_GB2312" w:eastAsia="仿宋_GB2312" w:cs="仿宋_GB2312"/>
                <w:color w:val="auto"/>
                <w:kern w:val="0"/>
                <w:szCs w:val="21"/>
                <w:lang w:val="en-US" w:eastAsia="zh-CN"/>
              </w:rPr>
            </w:pPr>
            <w:r>
              <w:rPr>
                <w:rFonts w:hint="eastAsia" w:ascii="仿宋_GB2312" w:hAnsi="仿宋_GB2312" w:eastAsia="仿宋_GB2312" w:cs="仿宋_GB2312"/>
                <w:color w:val="auto"/>
                <w:kern w:val="0"/>
                <w:szCs w:val="21"/>
                <w:lang w:val="en-US" w:eastAsia="zh-CN"/>
              </w:rPr>
              <w:t>7</w:t>
            </w:r>
          </w:p>
        </w:tc>
        <w:tc>
          <w:tcPr>
            <w:tcW w:w="6965" w:type="dxa"/>
            <w:noWrap w:val="0"/>
            <w:vAlign w:val="center"/>
          </w:tcPr>
          <w:p>
            <w:pPr>
              <w:spacing w:line="360" w:lineRule="exact"/>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rPr>
              <w:t>备份文件与电子评审系统中上传的响应文件一致性承诺函</w:t>
            </w:r>
          </w:p>
        </w:tc>
        <w:tc>
          <w:tcPr>
            <w:tcW w:w="855" w:type="dxa"/>
            <w:noWrap w:val="0"/>
            <w:vAlign w:val="center"/>
          </w:tcPr>
          <w:p>
            <w:pPr>
              <w:spacing w:line="360" w:lineRule="exact"/>
              <w:jc w:val="center"/>
              <w:rPr>
                <w:rFonts w:hint="default" w:ascii="仿宋_GB2312" w:hAnsi="仿宋_GB2312" w:eastAsia="仿宋_GB2312" w:cs="仿宋_GB2312"/>
                <w:color w:val="auto"/>
                <w:kern w:val="0"/>
                <w:szCs w:val="21"/>
                <w:lang w:val="en-US" w:eastAsia="zh-CN"/>
              </w:rPr>
            </w:pPr>
            <w:r>
              <w:rPr>
                <w:rFonts w:hint="eastAsia" w:ascii="仿宋_GB2312" w:hAnsi="仿宋_GB2312" w:eastAsia="仿宋_GB2312" w:cs="仿宋_GB2312"/>
                <w:color w:val="auto"/>
                <w:kern w:val="0"/>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63" w:type="dxa"/>
            <w:noWrap w:val="0"/>
            <w:vAlign w:val="center"/>
          </w:tcPr>
          <w:p>
            <w:pPr>
              <w:spacing w:line="360" w:lineRule="exact"/>
              <w:jc w:val="center"/>
              <w:rPr>
                <w:rFonts w:hint="default" w:ascii="仿宋_GB2312" w:hAnsi="仿宋_GB2312" w:eastAsia="仿宋_GB2312" w:cs="仿宋_GB2312"/>
                <w:color w:val="auto"/>
                <w:kern w:val="0"/>
                <w:szCs w:val="21"/>
                <w:lang w:val="en-US" w:eastAsia="zh-CN"/>
              </w:rPr>
            </w:pPr>
            <w:r>
              <w:rPr>
                <w:rFonts w:hint="eastAsia" w:ascii="仿宋_GB2312" w:hAnsi="仿宋_GB2312" w:eastAsia="仿宋_GB2312" w:cs="仿宋_GB2312"/>
                <w:color w:val="auto"/>
                <w:kern w:val="0"/>
                <w:szCs w:val="21"/>
                <w:lang w:val="en-US" w:eastAsia="zh-CN"/>
              </w:rPr>
              <w:t>8</w:t>
            </w:r>
          </w:p>
        </w:tc>
        <w:tc>
          <w:tcPr>
            <w:tcW w:w="6965" w:type="dxa"/>
            <w:noWrap w:val="0"/>
            <w:vAlign w:val="center"/>
          </w:tcPr>
          <w:p>
            <w:pPr>
              <w:spacing w:line="360" w:lineRule="exact"/>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 xml:space="preserve">其他符合性证明材料(如适用) </w:t>
            </w:r>
          </w:p>
        </w:tc>
        <w:tc>
          <w:tcPr>
            <w:tcW w:w="855" w:type="dxa"/>
            <w:noWrap w:val="0"/>
            <w:vAlign w:val="center"/>
          </w:tcPr>
          <w:p>
            <w:pPr>
              <w:spacing w:line="360" w:lineRule="exact"/>
              <w:jc w:val="center"/>
              <w:rPr>
                <w:rFonts w:hint="default" w:ascii="仿宋_GB2312" w:hAnsi="仿宋_GB2312" w:eastAsia="仿宋_GB2312" w:cs="仿宋_GB2312"/>
                <w:color w:val="auto"/>
                <w:kern w:val="0"/>
                <w:szCs w:val="21"/>
                <w:lang w:val="en-US" w:eastAsia="zh-CN"/>
              </w:rPr>
            </w:pPr>
          </w:p>
        </w:tc>
      </w:tr>
    </w:tbl>
    <w:p>
      <w:pPr>
        <w:spacing w:before="159" w:beforeLines="50" w:line="360" w:lineRule="auto"/>
        <w:ind w:firstLine="482" w:firstLineChars="200"/>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四、其他材料（如有，请提供；如未提供，响应文件不作无效处理）</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6886"/>
        <w:gridCol w:w="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blHeader/>
          <w:jc w:val="center"/>
        </w:trPr>
        <w:tc>
          <w:tcPr>
            <w:tcW w:w="678" w:type="dxa"/>
            <w:noWrap w:val="0"/>
            <w:vAlign w:val="center"/>
          </w:tcPr>
          <w:p>
            <w:pPr>
              <w:adjustRightInd w:val="0"/>
              <w:snapToGrid w:val="0"/>
              <w:jc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序号</w:t>
            </w:r>
          </w:p>
        </w:tc>
        <w:tc>
          <w:tcPr>
            <w:tcW w:w="6886" w:type="dxa"/>
            <w:noWrap w:val="0"/>
            <w:vAlign w:val="center"/>
          </w:tcPr>
          <w:p>
            <w:pPr>
              <w:adjustRightInd w:val="0"/>
              <w:snapToGrid w:val="0"/>
              <w:jc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其他材料</w:t>
            </w:r>
          </w:p>
        </w:tc>
        <w:tc>
          <w:tcPr>
            <w:tcW w:w="855" w:type="dxa"/>
            <w:noWrap w:val="0"/>
            <w:vAlign w:val="center"/>
          </w:tcPr>
          <w:p>
            <w:pPr>
              <w:adjustRightInd w:val="0"/>
              <w:snapToGrid w:val="0"/>
              <w:jc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78" w:type="dxa"/>
            <w:noWrap w:val="0"/>
            <w:vAlign w:val="center"/>
          </w:tcPr>
          <w:p>
            <w:pPr>
              <w:adjustRightInd w:val="0"/>
              <w:snapToGrid w:val="0"/>
              <w:jc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w:t>
            </w:r>
          </w:p>
        </w:tc>
        <w:tc>
          <w:tcPr>
            <w:tcW w:w="6886" w:type="dxa"/>
            <w:noWrap w:val="0"/>
            <w:vAlign w:val="center"/>
          </w:tcPr>
          <w:p>
            <w:pPr>
              <w:adjustRightInd w:val="0"/>
              <w:snapToGrid w:val="0"/>
              <w:ind w:left="25" w:leftChars="12"/>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监狱企业证明文件</w:t>
            </w:r>
          </w:p>
        </w:tc>
        <w:tc>
          <w:tcPr>
            <w:tcW w:w="855" w:type="dxa"/>
            <w:noWrap w:val="0"/>
            <w:vAlign w:val="center"/>
          </w:tcPr>
          <w:p>
            <w:pPr>
              <w:adjustRightInd w:val="0"/>
              <w:snapToGrid w:val="0"/>
              <w:jc w:val="center"/>
              <w:rPr>
                <w:rFonts w:hint="eastAsia" w:ascii="仿宋_GB2312" w:hAnsi="仿宋_GB2312" w:eastAsia="仿宋_GB2312" w:cs="仿宋_GB2312"/>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78" w:type="dxa"/>
            <w:noWrap w:val="0"/>
            <w:vAlign w:val="center"/>
          </w:tcPr>
          <w:p>
            <w:pPr>
              <w:adjustRightInd w:val="0"/>
              <w:snapToGrid w:val="0"/>
              <w:jc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w:t>
            </w:r>
          </w:p>
        </w:tc>
        <w:tc>
          <w:tcPr>
            <w:tcW w:w="6886" w:type="dxa"/>
            <w:noWrap w:val="0"/>
            <w:vAlign w:val="center"/>
          </w:tcPr>
          <w:p>
            <w:pPr>
              <w:adjustRightInd w:val="0"/>
              <w:snapToGrid w:val="0"/>
              <w:ind w:left="25" w:leftChars="12"/>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中小企业声明函</w:t>
            </w:r>
          </w:p>
        </w:tc>
        <w:tc>
          <w:tcPr>
            <w:tcW w:w="855" w:type="dxa"/>
            <w:noWrap w:val="0"/>
            <w:vAlign w:val="center"/>
          </w:tcPr>
          <w:p>
            <w:pPr>
              <w:adjustRightInd w:val="0"/>
              <w:snapToGrid w:val="0"/>
              <w:jc w:val="center"/>
              <w:rPr>
                <w:rFonts w:hint="eastAsia" w:ascii="仿宋_GB2312" w:hAnsi="仿宋_GB2312" w:eastAsia="仿宋_GB2312" w:cs="仿宋_GB2312"/>
                <w:color w:val="auto"/>
                <w:kern w:val="0"/>
                <w:szCs w:val="21"/>
                <w:lang w:val="en-US" w:eastAsia="zh-CN"/>
              </w:rPr>
            </w:pPr>
            <w:r>
              <w:rPr>
                <w:rFonts w:hint="eastAsia" w:ascii="仿宋_GB2312" w:hAnsi="仿宋_GB2312" w:eastAsia="仿宋_GB2312" w:cs="仿宋_GB2312"/>
                <w:color w:val="auto"/>
                <w:kern w:val="0"/>
                <w:szCs w:val="21"/>
              </w:rPr>
              <w:t>1</w:t>
            </w:r>
            <w:r>
              <w:rPr>
                <w:rFonts w:hint="eastAsia" w:ascii="仿宋_GB2312" w:hAnsi="仿宋_GB2312" w:eastAsia="仿宋_GB2312" w:cs="仿宋_GB2312"/>
                <w:color w:val="auto"/>
                <w:kern w:val="0"/>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78" w:type="dxa"/>
            <w:noWrap w:val="0"/>
            <w:vAlign w:val="center"/>
          </w:tcPr>
          <w:p>
            <w:pPr>
              <w:adjustRightInd w:val="0"/>
              <w:snapToGrid w:val="0"/>
              <w:jc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w:t>
            </w:r>
          </w:p>
        </w:tc>
        <w:tc>
          <w:tcPr>
            <w:tcW w:w="6886" w:type="dxa"/>
            <w:noWrap w:val="0"/>
            <w:vAlign w:val="center"/>
          </w:tcPr>
          <w:p>
            <w:pPr>
              <w:adjustRightInd w:val="0"/>
              <w:snapToGrid w:val="0"/>
              <w:ind w:left="25" w:leftChars="12"/>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szCs w:val="21"/>
              </w:rPr>
              <w:t>残疾人福利性单位声明函</w:t>
            </w:r>
          </w:p>
        </w:tc>
        <w:tc>
          <w:tcPr>
            <w:tcW w:w="855" w:type="dxa"/>
            <w:noWrap w:val="0"/>
            <w:vAlign w:val="center"/>
          </w:tcPr>
          <w:p>
            <w:pPr>
              <w:adjustRightInd w:val="0"/>
              <w:snapToGrid w:val="0"/>
              <w:jc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rPr>
              <w:t>1</w:t>
            </w:r>
            <w:r>
              <w:rPr>
                <w:rFonts w:hint="eastAsia" w:ascii="仿宋_GB2312" w:hAnsi="仿宋_GB2312" w:eastAsia="仿宋_GB2312" w:cs="仿宋_GB2312"/>
                <w:color w:val="auto"/>
                <w:kern w:val="0"/>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78" w:type="dxa"/>
            <w:noWrap w:val="0"/>
            <w:vAlign w:val="center"/>
          </w:tcPr>
          <w:p>
            <w:pPr>
              <w:adjustRightInd w:val="0"/>
              <w:snapToGrid w:val="0"/>
              <w:jc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4</w:t>
            </w:r>
          </w:p>
        </w:tc>
        <w:tc>
          <w:tcPr>
            <w:tcW w:w="6886" w:type="dxa"/>
            <w:noWrap w:val="0"/>
            <w:vAlign w:val="center"/>
          </w:tcPr>
          <w:p>
            <w:pPr>
              <w:adjustRightInd w:val="0"/>
              <w:snapToGrid w:val="0"/>
              <w:ind w:left="25" w:leftChars="12"/>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聘用建档立卡贫困人员物业公司声明函</w:t>
            </w:r>
          </w:p>
        </w:tc>
        <w:tc>
          <w:tcPr>
            <w:tcW w:w="855" w:type="dxa"/>
            <w:noWrap w:val="0"/>
            <w:vAlign w:val="center"/>
          </w:tcPr>
          <w:p>
            <w:pPr>
              <w:adjustRightInd w:val="0"/>
              <w:snapToGrid w:val="0"/>
              <w:jc w:val="center"/>
              <w:rPr>
                <w:rFonts w:hint="eastAsia" w:ascii="仿宋_GB2312" w:hAnsi="仿宋_GB2312" w:eastAsia="仿宋_GB2312" w:cs="仿宋_GB2312"/>
                <w:color w:val="auto"/>
                <w:kern w:val="0"/>
                <w:szCs w:val="21"/>
                <w:lang w:eastAsia="zh-CN"/>
              </w:rPr>
            </w:pPr>
            <w:r>
              <w:rPr>
                <w:rFonts w:hint="eastAsia" w:ascii="仿宋_GB2312" w:hAnsi="仿宋_GB2312" w:eastAsia="仿宋_GB2312" w:cs="仿宋_GB2312"/>
                <w:color w:val="auto"/>
                <w:kern w:val="0"/>
                <w:szCs w:val="21"/>
              </w:rPr>
              <w:t>1</w:t>
            </w:r>
            <w:r>
              <w:rPr>
                <w:rFonts w:hint="eastAsia" w:ascii="仿宋_GB2312" w:hAnsi="仿宋_GB2312" w:eastAsia="仿宋_GB2312" w:cs="仿宋_GB2312"/>
                <w:color w:val="auto"/>
                <w:kern w:val="0"/>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78" w:type="dxa"/>
            <w:noWrap w:val="0"/>
            <w:vAlign w:val="center"/>
          </w:tcPr>
          <w:p>
            <w:pPr>
              <w:adjustRightInd w:val="0"/>
              <w:snapToGrid w:val="0"/>
              <w:jc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w:t>
            </w:r>
          </w:p>
        </w:tc>
        <w:tc>
          <w:tcPr>
            <w:tcW w:w="6886" w:type="dxa"/>
            <w:noWrap w:val="0"/>
            <w:vAlign w:val="center"/>
          </w:tcPr>
          <w:p>
            <w:pPr>
              <w:adjustRightInd w:val="0"/>
              <w:snapToGrid w:val="0"/>
              <w:ind w:left="25" w:leftChars="12"/>
              <w:rPr>
                <w:rFonts w:ascii="仿宋_GB2312" w:hAnsi="仿宋_GB2312" w:eastAsia="仿宋_GB2312" w:cs="仿宋_GB2312"/>
                <w:color w:val="auto"/>
                <w:szCs w:val="21"/>
              </w:rPr>
            </w:pPr>
            <w:r>
              <w:rPr>
                <w:rFonts w:hint="eastAsia" w:ascii="仿宋_GB2312" w:hAnsi="仿宋_GB2312" w:eastAsia="仿宋_GB2312" w:cs="仿宋_GB2312"/>
                <w:color w:val="auto"/>
                <w:szCs w:val="21"/>
              </w:rPr>
              <w:t>列入《</w:t>
            </w:r>
            <w:r>
              <w:rPr>
                <w:rFonts w:hint="eastAsia" w:ascii="仿宋_GB2312" w:hAnsi="仿宋_GB2312" w:eastAsia="仿宋_GB2312" w:cs="仿宋_GB2312"/>
                <w:color w:val="auto"/>
                <w:szCs w:val="21"/>
                <w:lang w:eastAsia="zh-CN"/>
              </w:rPr>
              <w:t>创新产品和服务目录</w:t>
            </w:r>
            <w:r>
              <w:rPr>
                <w:rFonts w:hint="eastAsia" w:ascii="仿宋_GB2312" w:hAnsi="仿宋_GB2312" w:eastAsia="仿宋_GB2312" w:cs="仿宋_GB2312"/>
                <w:color w:val="auto"/>
                <w:szCs w:val="21"/>
              </w:rPr>
              <w:t>》内的产品、服务的证明材料（如适用）</w:t>
            </w:r>
          </w:p>
          <w:p>
            <w:pPr>
              <w:adjustRightInd w:val="0"/>
              <w:snapToGrid w:val="0"/>
              <w:ind w:left="25" w:leftChars="12"/>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（此项要求可视实际情况设置在符合性证明材料或其他材料中）</w:t>
            </w:r>
          </w:p>
        </w:tc>
        <w:tc>
          <w:tcPr>
            <w:tcW w:w="855" w:type="dxa"/>
            <w:noWrap w:val="0"/>
            <w:vAlign w:val="center"/>
          </w:tcPr>
          <w:p>
            <w:pPr>
              <w:adjustRightInd w:val="0"/>
              <w:snapToGrid w:val="0"/>
              <w:jc w:val="center"/>
              <w:rPr>
                <w:rFonts w:hint="eastAsia" w:ascii="仿宋_GB2312" w:hAnsi="仿宋_GB2312" w:eastAsia="仿宋_GB2312" w:cs="仿宋_GB2312"/>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678" w:type="dxa"/>
            <w:noWrap w:val="0"/>
            <w:vAlign w:val="center"/>
          </w:tcPr>
          <w:p>
            <w:pPr>
              <w:adjustRightInd w:val="0"/>
              <w:snapToGrid w:val="0"/>
              <w:jc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6</w:t>
            </w:r>
          </w:p>
        </w:tc>
        <w:tc>
          <w:tcPr>
            <w:tcW w:w="6886" w:type="dxa"/>
            <w:noWrap w:val="0"/>
            <w:vAlign w:val="center"/>
          </w:tcPr>
          <w:p>
            <w:pPr>
              <w:adjustRightInd w:val="0"/>
              <w:snapToGrid w:val="0"/>
              <w:spacing w:line="240" w:lineRule="auto"/>
              <w:jc w:val="both"/>
              <w:rPr>
                <w:rFonts w:hint="default" w:ascii="仿宋_GB2312" w:hAnsi="仿宋_GB2312" w:eastAsia="仿宋_GB2312" w:cs="仿宋_GB2312"/>
                <w:color w:val="auto"/>
                <w:kern w:val="0"/>
                <w:szCs w:val="21"/>
                <w:lang w:val="en-US" w:eastAsia="zh-CN"/>
              </w:rPr>
            </w:pPr>
            <w:r>
              <w:rPr>
                <w:rFonts w:hint="default" w:ascii="仿宋_GB2312" w:hAnsi="仿宋_GB2312" w:eastAsia="仿宋_GB2312" w:cs="仿宋_GB2312"/>
                <w:color w:val="auto"/>
                <w:kern w:val="0"/>
                <w:szCs w:val="21"/>
                <w:lang w:val="en-US" w:eastAsia="zh-CN"/>
              </w:rPr>
              <w:t>项目组织机构人员</w:t>
            </w:r>
          </w:p>
        </w:tc>
        <w:tc>
          <w:tcPr>
            <w:tcW w:w="855" w:type="dxa"/>
            <w:noWrap w:val="0"/>
            <w:vAlign w:val="center"/>
          </w:tcPr>
          <w:p>
            <w:pPr>
              <w:adjustRightInd w:val="0"/>
              <w:snapToGrid w:val="0"/>
              <w:jc w:val="center"/>
              <w:rPr>
                <w:rFonts w:hint="default" w:ascii="仿宋_GB2312" w:hAnsi="仿宋_GB2312" w:eastAsia="仿宋_GB2312" w:cs="仿宋_GB2312"/>
                <w:color w:val="auto"/>
                <w:kern w:val="0"/>
                <w:szCs w:val="21"/>
                <w:lang w:val="en-US" w:eastAsia="zh-CN"/>
              </w:rPr>
            </w:pPr>
            <w:r>
              <w:rPr>
                <w:rFonts w:hint="eastAsia" w:ascii="仿宋_GB2312" w:hAnsi="仿宋_GB2312" w:eastAsia="仿宋_GB2312" w:cs="仿宋_GB2312"/>
                <w:color w:val="auto"/>
                <w:kern w:val="0"/>
                <w:szCs w:val="21"/>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78" w:type="dxa"/>
            <w:noWrap w:val="0"/>
            <w:vAlign w:val="center"/>
          </w:tcPr>
          <w:p>
            <w:pPr>
              <w:adjustRightInd w:val="0"/>
              <w:snapToGrid w:val="0"/>
              <w:jc w:val="center"/>
              <w:rPr>
                <w:rFonts w:hint="eastAsia" w:ascii="仿宋_GB2312" w:hAnsi="仿宋_GB2312" w:eastAsia="仿宋_GB2312" w:cs="仿宋_GB2312"/>
                <w:color w:val="auto"/>
                <w:kern w:val="0"/>
                <w:szCs w:val="21"/>
              </w:rPr>
            </w:pPr>
          </w:p>
        </w:tc>
        <w:tc>
          <w:tcPr>
            <w:tcW w:w="6886" w:type="dxa"/>
            <w:noWrap w:val="0"/>
            <w:vAlign w:val="center"/>
          </w:tcPr>
          <w:p>
            <w:pPr>
              <w:pStyle w:val="79"/>
              <w:adjustRightInd w:val="0"/>
              <w:snapToGrid w:val="0"/>
              <w:ind w:left="25" w:leftChars="12" w:firstLine="0" w:firstLineChars="0"/>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w:t>
            </w:r>
          </w:p>
        </w:tc>
        <w:tc>
          <w:tcPr>
            <w:tcW w:w="855" w:type="dxa"/>
            <w:noWrap w:val="0"/>
            <w:vAlign w:val="center"/>
          </w:tcPr>
          <w:p>
            <w:pPr>
              <w:adjustRightInd w:val="0"/>
              <w:snapToGrid w:val="0"/>
              <w:jc w:val="center"/>
              <w:rPr>
                <w:rFonts w:hint="eastAsia" w:ascii="仿宋_GB2312" w:hAnsi="仿宋_GB2312" w:eastAsia="仿宋_GB2312" w:cs="仿宋_GB2312"/>
                <w:color w:val="auto"/>
                <w:kern w:val="0"/>
                <w:szCs w:val="21"/>
              </w:rPr>
            </w:pPr>
          </w:p>
        </w:tc>
      </w:tr>
    </w:tbl>
    <w:p>
      <w:pPr>
        <w:adjustRightInd w:val="0"/>
        <w:snapToGrid w:val="0"/>
        <w:spacing w:line="360" w:lineRule="auto"/>
        <w:ind w:firstLine="482" w:firstLineChars="200"/>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重要提示：</w:t>
      </w:r>
    </w:p>
    <w:p>
      <w:pPr>
        <w:adjustRightInd w:val="0"/>
        <w:snapToGrid w:val="0"/>
        <w:spacing w:line="360" w:lineRule="auto"/>
        <w:ind w:firstLine="420" w:firstLineChars="200"/>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1、供应商提供的证明材料，除需要供应商填报或有特殊说明外，均须按要求提供。</w:t>
      </w:r>
      <w:r>
        <w:rPr>
          <w:rFonts w:hint="eastAsia" w:ascii="仿宋_GB2312" w:hAnsi="仿宋_GB2312" w:eastAsia="仿宋_GB2312" w:cs="仿宋_GB2312"/>
          <w:b/>
          <w:bCs/>
          <w:color w:val="auto"/>
          <w:szCs w:val="21"/>
        </w:rPr>
        <w:t xml:space="preserve"> </w:t>
      </w:r>
    </w:p>
    <w:p>
      <w:pPr>
        <w:adjustRightInd w:val="0"/>
        <w:snapToGrid w:val="0"/>
        <w:spacing w:line="360" w:lineRule="auto"/>
        <w:ind w:firstLine="420" w:firstLineChars="200"/>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2、供应商在编制响应文件时，对于给定格式的文件内容，必须按照给定的标准格式进行填报；对于没有给定标准格式的文件内容，可以由供应商自行设计。</w:t>
      </w:r>
    </w:p>
    <w:p>
      <w:pPr>
        <w:adjustRightInd w:val="0"/>
        <w:snapToGrid w:val="0"/>
        <w:spacing w:line="360" w:lineRule="auto"/>
        <w:ind w:firstLine="420" w:firstLineChars="200"/>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3、响应文件应用中文书写。响应文件中所附或所引用的材料不是中文时，应附中文译本，并加盖单位公章（自然人参与政府采购活动的，无需加盖单位公章，需要签字）。</w:t>
      </w:r>
    </w:p>
    <w:p>
      <w:pPr>
        <w:adjustRightInd w:val="0"/>
        <w:snapToGrid w:val="0"/>
        <w:spacing w:line="360" w:lineRule="auto"/>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4、“资格证明材料”所列内容即为采购项目的资格审查条件，有一项不符合要求，不能进入下一阶段评审。</w:t>
      </w:r>
    </w:p>
    <w:p>
      <w:pPr>
        <w:adjustRightInd w:val="0"/>
        <w:snapToGrid w:val="0"/>
        <w:spacing w:line="360" w:lineRule="auto"/>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5、“符合性证明材料”所列内容即为采购项目的符合性审查条件，有一项不符合要求，不能进入下一阶段评审。</w:t>
      </w:r>
    </w:p>
    <w:p>
      <w:pPr>
        <w:adjustRightInd w:val="0"/>
        <w:snapToGrid w:val="0"/>
        <w:spacing w:line="360" w:lineRule="auto"/>
        <w:ind w:firstLine="420" w:firstLineChars="200"/>
        <w:rPr>
          <w:rFonts w:hint="eastAsia" w:ascii="仿宋_GB2312" w:hAnsi="仿宋_GB2312" w:eastAsia="仿宋_GB2312" w:cs="仿宋_GB2312"/>
          <w:color w:val="auto"/>
          <w:kern w:val="0"/>
          <w:sz w:val="20"/>
          <w:szCs w:val="21"/>
        </w:rPr>
      </w:pPr>
      <w:r>
        <w:rPr>
          <w:rFonts w:hint="eastAsia" w:ascii="仿宋_GB2312" w:hAnsi="仿宋_GB2312" w:eastAsia="仿宋_GB2312" w:cs="仿宋_GB2312"/>
          <w:color w:val="auto"/>
          <w:szCs w:val="21"/>
        </w:rPr>
        <w:t>6、“其他材料”为供应商就采购文件要求的以及供应商认为需要提供的相应材料。</w:t>
      </w:r>
    </w:p>
    <w:p>
      <w:pPr>
        <w:widowControl/>
        <w:jc w:val="left"/>
        <w:outlineLvl w:val="1"/>
        <w:rPr>
          <w:rFonts w:hint="eastAsia" w:ascii="仿宋_GB2312" w:hAnsi="仿宋_GB2312" w:eastAsia="仿宋_GB2312" w:cs="仿宋_GB2312"/>
          <w:b/>
          <w:bCs/>
          <w:color w:val="auto"/>
          <w:sz w:val="28"/>
          <w:szCs w:val="28"/>
        </w:rPr>
      </w:pPr>
      <w:r>
        <w:rPr>
          <w:rFonts w:hint="eastAsia" w:ascii="仿宋_GB2312" w:hAnsi="仿宋_GB2312" w:eastAsia="仿宋_GB2312" w:cs="仿宋_GB2312"/>
          <w:color w:val="auto"/>
          <w:kern w:val="0"/>
          <w:sz w:val="20"/>
          <w:szCs w:val="21"/>
        </w:rPr>
        <w:br w:type="page"/>
      </w:r>
      <w:bookmarkStart w:id="64" w:name="_Toc4485626"/>
      <w:bookmarkStart w:id="65" w:name="_Toc533340149"/>
      <w:r>
        <w:rPr>
          <w:rFonts w:hint="eastAsia" w:ascii="仿宋_GB2312" w:hAnsi="仿宋_GB2312" w:eastAsia="仿宋_GB2312" w:cs="仿宋_GB2312"/>
          <w:b/>
          <w:bCs/>
          <w:color w:val="auto"/>
          <w:sz w:val="28"/>
          <w:szCs w:val="28"/>
        </w:rPr>
        <w:t>格式1</w:t>
      </w:r>
      <w:bookmarkEnd w:id="64"/>
      <w:bookmarkEnd w:id="65"/>
    </w:p>
    <w:p>
      <w:pPr>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响应文件、电子文档外封面、封口格式</w:t>
      </w:r>
    </w:p>
    <w:p>
      <w:pPr>
        <w:rPr>
          <w:rFonts w:hint="eastAsia" w:ascii="仿宋_GB2312" w:hAnsi="仿宋_GB2312" w:eastAsia="仿宋_GB2312" w:cs="仿宋_GB2312"/>
          <w:color w:val="auto"/>
        </w:rPr>
      </w:pPr>
      <w:r>
        <w:rPr>
          <w:rFonts w:hint="eastAsia" w:ascii="仿宋_GB2312" w:hAnsi="仿宋_GB2312" w:eastAsia="仿宋_GB2312" w:cs="仿宋_GB2312"/>
          <w:color w:val="auto"/>
          <w:sz w:val="28"/>
          <w:szCs w:val="28"/>
        </w:rPr>
        <w:t>封面格式：</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0" w:hRule="atLeast"/>
          <w:jc w:val="center"/>
        </w:trPr>
        <w:tc>
          <w:tcPr>
            <w:tcW w:w="5960" w:type="dxa"/>
            <w:noWrap w:val="0"/>
            <w:vAlign w:val="top"/>
          </w:tcPr>
          <w:p>
            <w:pPr>
              <w:jc w:val="center"/>
              <w:rPr>
                <w:rFonts w:hint="eastAsia" w:ascii="仿宋_GB2312" w:hAnsi="仿宋_GB2312" w:eastAsia="仿宋_GB2312" w:cs="仿宋_GB2312"/>
                <w:b/>
                <w:bCs/>
                <w:color w:val="auto"/>
              </w:rPr>
            </w:pPr>
          </w:p>
          <w:p>
            <w:pPr>
              <w:jc w:val="center"/>
              <w:rPr>
                <w:rFonts w:hint="eastAsia" w:ascii="仿宋_GB2312" w:hAnsi="仿宋_GB2312" w:eastAsia="仿宋_GB2312" w:cs="仿宋_GB2312"/>
                <w:b/>
                <w:bCs/>
                <w:color w:val="auto"/>
              </w:rPr>
            </w:pPr>
          </w:p>
          <w:p>
            <w:pPr>
              <w:jc w:val="center"/>
              <w:rPr>
                <w:rFonts w:hint="eastAsia" w:ascii="仿宋_GB2312" w:hAnsi="仿宋_GB2312" w:eastAsia="仿宋_GB2312" w:cs="仿宋_GB2312"/>
                <w:b/>
                <w:bCs/>
                <w:color w:val="auto"/>
              </w:rPr>
            </w:pPr>
          </w:p>
          <w:p>
            <w:pPr>
              <w:jc w:val="center"/>
              <w:rPr>
                <w:rFonts w:hint="eastAsia" w:ascii="仿宋_GB2312" w:hAnsi="仿宋_GB2312" w:eastAsia="仿宋_GB2312" w:cs="仿宋_GB2312"/>
                <w:b/>
                <w:bCs/>
                <w:color w:val="auto"/>
              </w:rPr>
            </w:pPr>
          </w:p>
          <w:p>
            <w:pPr>
              <w:jc w:val="center"/>
              <w:rPr>
                <w:rFonts w:hint="eastAsia" w:ascii="仿宋_GB2312" w:hAnsi="仿宋_GB2312" w:eastAsia="仿宋_GB2312" w:cs="仿宋_GB2312"/>
                <w:b/>
                <w:bCs/>
                <w:color w:val="auto"/>
              </w:rPr>
            </w:pPr>
          </w:p>
          <w:p>
            <w:pPr>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sz w:val="44"/>
                <w:szCs w:val="52"/>
              </w:rPr>
              <w:t>响应文件/电子文档</w:t>
            </w:r>
          </w:p>
          <w:p>
            <w:pPr>
              <w:jc w:val="left"/>
              <w:rPr>
                <w:rFonts w:hint="eastAsia" w:ascii="仿宋_GB2312" w:hAnsi="仿宋_GB2312" w:eastAsia="仿宋_GB2312" w:cs="仿宋_GB2312"/>
                <w:color w:val="auto"/>
              </w:rPr>
            </w:pPr>
          </w:p>
          <w:p>
            <w:pPr>
              <w:jc w:val="left"/>
              <w:rPr>
                <w:rFonts w:hint="eastAsia" w:ascii="仿宋_GB2312" w:hAnsi="仿宋_GB2312" w:eastAsia="仿宋_GB2312" w:cs="仿宋_GB2312"/>
                <w:color w:val="auto"/>
              </w:rPr>
            </w:pPr>
          </w:p>
          <w:p>
            <w:pPr>
              <w:jc w:val="left"/>
              <w:rPr>
                <w:rFonts w:hint="eastAsia" w:ascii="仿宋_GB2312" w:hAnsi="仿宋_GB2312" w:eastAsia="仿宋_GB2312" w:cs="仿宋_GB2312"/>
                <w:color w:val="auto"/>
              </w:rPr>
            </w:pPr>
          </w:p>
          <w:p>
            <w:pPr>
              <w:jc w:val="left"/>
              <w:rPr>
                <w:rFonts w:hint="eastAsia" w:ascii="仿宋_GB2312" w:hAnsi="仿宋_GB2312" w:eastAsia="仿宋_GB2312" w:cs="仿宋_GB2312"/>
                <w:color w:val="auto"/>
              </w:rPr>
            </w:pPr>
          </w:p>
          <w:p>
            <w:pPr>
              <w:jc w:val="left"/>
              <w:rPr>
                <w:rFonts w:hint="eastAsia" w:ascii="仿宋_GB2312" w:hAnsi="仿宋_GB2312" w:eastAsia="仿宋_GB2312" w:cs="仿宋_GB2312"/>
                <w:color w:val="auto"/>
              </w:rPr>
            </w:pPr>
          </w:p>
          <w:p>
            <w:pPr>
              <w:jc w:val="left"/>
              <w:rPr>
                <w:rFonts w:hint="eastAsia" w:ascii="仿宋_GB2312" w:hAnsi="仿宋_GB2312" w:eastAsia="仿宋_GB2312" w:cs="仿宋_GB2312"/>
                <w:color w:val="auto"/>
              </w:rPr>
            </w:pPr>
          </w:p>
          <w:p>
            <w:pPr>
              <w:jc w:val="left"/>
              <w:rPr>
                <w:rFonts w:hint="eastAsia" w:ascii="仿宋_GB2312" w:hAnsi="仿宋_GB2312" w:eastAsia="仿宋_GB2312" w:cs="仿宋_GB2312"/>
                <w:color w:val="auto"/>
              </w:rPr>
            </w:pPr>
          </w:p>
          <w:p>
            <w:pPr>
              <w:jc w:val="left"/>
              <w:rPr>
                <w:rFonts w:hint="eastAsia" w:ascii="仿宋_GB2312" w:hAnsi="仿宋_GB2312" w:eastAsia="仿宋_GB2312" w:cs="仿宋_GB2312"/>
                <w:color w:val="auto"/>
              </w:rPr>
            </w:pPr>
            <w:r>
              <w:rPr>
                <w:rFonts w:hint="eastAsia" w:ascii="仿宋_GB2312" w:hAnsi="仿宋_GB2312" w:eastAsia="仿宋_GB2312" w:cs="仿宋_GB2312"/>
                <w:color w:val="auto"/>
              </w:rPr>
              <w:t>所响应包号：第  包</w:t>
            </w:r>
          </w:p>
          <w:p>
            <w:pPr>
              <w:jc w:val="left"/>
              <w:rPr>
                <w:rFonts w:hint="eastAsia" w:ascii="仿宋_GB2312" w:hAnsi="仿宋_GB2312" w:eastAsia="仿宋_GB2312" w:cs="仿宋_GB2312"/>
                <w:color w:val="auto"/>
              </w:rPr>
            </w:pPr>
          </w:p>
          <w:p>
            <w:pPr>
              <w:jc w:val="left"/>
              <w:rPr>
                <w:rFonts w:hint="eastAsia" w:ascii="仿宋_GB2312" w:hAnsi="仿宋_GB2312" w:eastAsia="仿宋_GB2312" w:cs="仿宋_GB2312"/>
                <w:color w:val="auto"/>
              </w:rPr>
            </w:pPr>
            <w:r>
              <w:rPr>
                <w:rFonts w:hint="eastAsia" w:ascii="仿宋_GB2312" w:hAnsi="仿宋_GB2312" w:eastAsia="仿宋_GB2312" w:cs="仿宋_GB2312"/>
                <w:color w:val="auto"/>
              </w:rPr>
              <w:t>项目名称：</w:t>
            </w:r>
          </w:p>
          <w:p>
            <w:pPr>
              <w:jc w:val="left"/>
              <w:rPr>
                <w:rFonts w:hint="eastAsia" w:ascii="仿宋_GB2312" w:hAnsi="仿宋_GB2312" w:eastAsia="仿宋_GB2312" w:cs="仿宋_GB2312"/>
                <w:color w:val="auto"/>
              </w:rPr>
            </w:pPr>
          </w:p>
          <w:p>
            <w:pPr>
              <w:jc w:val="left"/>
              <w:rPr>
                <w:rFonts w:hint="eastAsia" w:ascii="仿宋_GB2312" w:hAnsi="仿宋_GB2312" w:eastAsia="仿宋_GB2312" w:cs="仿宋_GB2312"/>
                <w:color w:val="auto"/>
              </w:rPr>
            </w:pPr>
            <w:r>
              <w:rPr>
                <w:rFonts w:hint="eastAsia" w:ascii="仿宋_GB2312" w:hAnsi="仿宋_GB2312" w:eastAsia="仿宋_GB2312" w:cs="仿宋_GB2312"/>
                <w:color w:val="auto"/>
              </w:rPr>
              <w:t>项目编号：</w:t>
            </w:r>
          </w:p>
          <w:p>
            <w:pPr>
              <w:jc w:val="center"/>
              <w:rPr>
                <w:rFonts w:hint="eastAsia" w:ascii="仿宋_GB2312" w:hAnsi="仿宋_GB2312" w:eastAsia="仿宋_GB2312" w:cs="仿宋_GB2312"/>
                <w:color w:val="auto"/>
              </w:rPr>
            </w:pPr>
          </w:p>
          <w:p>
            <w:pPr>
              <w:jc w:val="center"/>
              <w:rPr>
                <w:rFonts w:hint="eastAsia" w:ascii="仿宋_GB2312" w:hAnsi="仿宋_GB2312" w:eastAsia="仿宋_GB2312" w:cs="仿宋_GB2312"/>
                <w:color w:val="auto"/>
              </w:rPr>
            </w:pPr>
          </w:p>
          <w:p>
            <w:pPr>
              <w:jc w:val="center"/>
              <w:rPr>
                <w:rFonts w:hint="eastAsia" w:ascii="仿宋_GB2312" w:hAnsi="仿宋_GB2312" w:eastAsia="仿宋_GB2312" w:cs="仿宋_GB2312"/>
                <w:color w:val="auto"/>
              </w:rPr>
            </w:pPr>
          </w:p>
          <w:p>
            <w:pPr>
              <w:jc w:val="left"/>
              <w:rPr>
                <w:rFonts w:hint="eastAsia" w:ascii="仿宋_GB2312" w:hAnsi="仿宋_GB2312" w:eastAsia="仿宋_GB2312" w:cs="仿宋_GB2312"/>
                <w:color w:val="auto"/>
              </w:rPr>
            </w:pPr>
            <w:r>
              <w:rPr>
                <w:rFonts w:hint="eastAsia" w:ascii="仿宋_GB2312" w:hAnsi="仿宋_GB2312" w:eastAsia="仿宋_GB2312" w:cs="仿宋_GB2312"/>
                <w:color w:val="auto"/>
              </w:rPr>
              <w:t>供应商名称（加盖单位公章）：</w:t>
            </w:r>
          </w:p>
        </w:tc>
      </w:tr>
    </w:tbl>
    <w:p>
      <w:pPr>
        <w:rPr>
          <w:rFonts w:hint="eastAsia" w:ascii="仿宋_GB2312" w:hAnsi="仿宋_GB2312" w:eastAsia="仿宋_GB2312" w:cs="仿宋_GB2312"/>
          <w:color w:val="auto"/>
        </w:rPr>
      </w:pPr>
    </w:p>
    <w:p>
      <w:pPr>
        <w:rPr>
          <w:rFonts w:hint="eastAsia" w:ascii="仿宋_GB2312" w:hAnsi="仿宋_GB2312" w:eastAsia="仿宋_GB2312" w:cs="仿宋_GB2312"/>
          <w:color w:val="auto"/>
        </w:rPr>
      </w:pPr>
    </w:p>
    <w:p>
      <w:pPr>
        <w:rPr>
          <w:rFonts w:hint="eastAsia" w:ascii="仿宋_GB2312" w:hAnsi="仿宋_GB2312" w:eastAsia="仿宋_GB2312" w:cs="仿宋_GB2312"/>
          <w:color w:val="auto"/>
        </w:rPr>
      </w:pPr>
      <w:r>
        <w:rPr>
          <w:rFonts w:hint="eastAsia" w:ascii="仿宋_GB2312" w:hAnsi="仿宋_GB2312" w:eastAsia="仿宋_GB2312" w:cs="仿宋_GB2312"/>
          <w:color w:val="auto"/>
          <w:sz w:val="24"/>
          <w:szCs w:val="32"/>
        </w:rPr>
        <w:t>封口格式：</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jc w:val="center"/>
        </w:trPr>
        <w:tc>
          <w:tcPr>
            <w:tcW w:w="878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——于   年  月  日   时之前不准启封（公章）——</w:t>
            </w:r>
          </w:p>
        </w:tc>
      </w:tr>
    </w:tbl>
    <w:p>
      <w:pPr>
        <w:widowControl/>
        <w:jc w:val="left"/>
        <w:outlineLvl w:val="1"/>
        <w:rPr>
          <w:rFonts w:hint="eastAsia" w:ascii="仿宋_GB2312" w:hAnsi="仿宋_GB2312" w:eastAsia="仿宋_GB2312" w:cs="仿宋_GB2312"/>
          <w:b/>
          <w:bCs/>
          <w:color w:val="auto"/>
          <w:sz w:val="28"/>
          <w:szCs w:val="28"/>
        </w:rPr>
      </w:pPr>
      <w:r>
        <w:rPr>
          <w:rFonts w:hint="eastAsia" w:ascii="仿宋_GB2312" w:hAnsi="仿宋_GB2312" w:eastAsia="仿宋_GB2312" w:cs="仿宋_GB2312"/>
          <w:color w:val="auto"/>
        </w:rPr>
        <w:br w:type="page"/>
      </w:r>
      <w:bookmarkStart w:id="66" w:name="_Toc533340150"/>
      <w:bookmarkStart w:id="67" w:name="_Toc4485627"/>
      <w:r>
        <w:rPr>
          <w:rFonts w:hint="eastAsia" w:ascii="仿宋_GB2312" w:hAnsi="仿宋_GB2312" w:eastAsia="仿宋_GB2312" w:cs="仿宋_GB2312"/>
          <w:b/>
          <w:bCs/>
          <w:color w:val="auto"/>
          <w:sz w:val="28"/>
          <w:szCs w:val="28"/>
        </w:rPr>
        <w:t>格式2</w:t>
      </w:r>
      <w:bookmarkEnd w:id="66"/>
      <w:bookmarkEnd w:id="67"/>
    </w:p>
    <w:p>
      <w:pPr>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color w:val="auto"/>
          <w:sz w:val="32"/>
        </w:rPr>
        <mc:AlternateContent>
          <mc:Choice Requires="wps">
            <w:drawing>
              <wp:anchor distT="0" distB="0" distL="114300" distR="114300" simplePos="0" relativeHeight="251663360" behindDoc="0" locked="0" layoutInCell="1" allowOverlap="1">
                <wp:simplePos x="0" y="0"/>
                <wp:positionH relativeFrom="column">
                  <wp:posOffset>3878580</wp:posOffset>
                </wp:positionH>
                <wp:positionV relativeFrom="paragraph">
                  <wp:posOffset>361315</wp:posOffset>
                </wp:positionV>
                <wp:extent cx="1253490" cy="563245"/>
                <wp:effectExtent l="5080" t="4445" r="17780" b="22860"/>
                <wp:wrapNone/>
                <wp:docPr id="2" name="文本框 2"/>
                <wp:cNvGraphicFramePr/>
                <a:graphic xmlns:a="http://schemas.openxmlformats.org/drawingml/2006/main">
                  <a:graphicData uri="http://schemas.microsoft.com/office/word/2010/wordprocessingShape">
                    <wps:wsp>
                      <wps:cNvSpPr txBox="1"/>
                      <wps:spPr>
                        <a:xfrm>
                          <a:off x="0" y="0"/>
                          <a:ext cx="1253490" cy="5632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仿宋_GB2312" w:hAnsi="仿宋_GB2312" w:eastAsia="仿宋_GB2312" w:cs="仿宋_GB2312"/>
                                <w:sz w:val="32"/>
                                <w:szCs w:val="32"/>
                              </w:rPr>
                            </w:pPr>
                            <w:r>
                              <w:rPr>
                                <w:rFonts w:hint="eastAsia" w:ascii="仿宋_GB2312" w:hAnsi="仿宋_GB2312" w:eastAsia="仿宋_GB2312" w:cs="仿宋_GB2312"/>
                                <w:sz w:val="32"/>
                                <w:szCs w:val="32"/>
                              </w:rPr>
                              <w:t>正本/副本</w:t>
                            </w:r>
                          </w:p>
                        </w:txbxContent>
                      </wps:txbx>
                      <wps:bodyPr upright="1"/>
                    </wps:wsp>
                  </a:graphicData>
                </a:graphic>
              </wp:anchor>
            </w:drawing>
          </mc:Choice>
          <mc:Fallback>
            <w:pict>
              <v:shape id="_x0000_s1026" o:spid="_x0000_s1026" o:spt="202" type="#_x0000_t202" style="position:absolute;left:0pt;margin-left:305.4pt;margin-top:28.45pt;height:44.35pt;width:98.7pt;z-index:251663360;mso-width-relative:page;mso-height-relative:page;" fillcolor="#FFFFFF" filled="t" stroked="t" coordsize="21600,21600" o:gfxdata="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1XXs+2QAAAAoBAAAPAAAAAAAA&#10;AAEAIAAAACIAAABkcnMvZG93bnJldi54bWxQSwECFAAUAAAACACHTuJA6Ns0ShECAABEBAAADgAA&#10;AAAAAAABACAAAAAoAQAAZHJzL2Uyb0RvYy54bWxQSwUGAAAAAAYABgBZAQAAqwUAAAAA&#10;">
                <v:fill on="t" focussize="0,0"/>
                <v:stroke color="#000000" joinstyle="miter"/>
                <v:imagedata o:title=""/>
                <o:lock v:ext="edit" aspectratio="f"/>
                <v:textbox>
                  <w:txbxContent>
                    <w:p>
                      <w:pPr>
                        <w:rPr>
                          <w:rFonts w:ascii="仿宋_GB2312" w:hAnsi="仿宋_GB2312" w:eastAsia="仿宋_GB2312" w:cs="仿宋_GB2312"/>
                          <w:sz w:val="32"/>
                          <w:szCs w:val="32"/>
                        </w:rPr>
                      </w:pPr>
                      <w:r>
                        <w:rPr>
                          <w:rFonts w:hint="eastAsia" w:ascii="仿宋_GB2312" w:hAnsi="仿宋_GB2312" w:eastAsia="仿宋_GB2312" w:cs="仿宋_GB2312"/>
                          <w:sz w:val="32"/>
                          <w:szCs w:val="32"/>
                        </w:rPr>
                        <w:t>正本/副本</w:t>
                      </w:r>
                    </w:p>
                  </w:txbxContent>
                </v:textbox>
              </v:shape>
            </w:pict>
          </mc:Fallback>
        </mc:AlternateContent>
      </w:r>
      <w:r>
        <w:rPr>
          <w:rFonts w:hint="eastAsia" w:ascii="仿宋_GB2312" w:hAnsi="仿宋_GB2312" w:eastAsia="仿宋_GB2312" w:cs="仿宋_GB2312"/>
          <w:b/>
          <w:bCs/>
          <w:color w:val="auto"/>
          <w:sz w:val="32"/>
          <w:szCs w:val="32"/>
        </w:rPr>
        <w:t>响应文件的封皮</w:t>
      </w:r>
    </w:p>
    <w:p>
      <w:pPr>
        <w:rPr>
          <w:rFonts w:hint="eastAsia" w:ascii="仿宋_GB2312" w:hAnsi="仿宋_GB2312" w:eastAsia="仿宋_GB2312" w:cs="仿宋_GB2312"/>
          <w:color w:val="auto"/>
        </w:rPr>
      </w:pPr>
    </w:p>
    <w:p>
      <w:pPr>
        <w:rPr>
          <w:rFonts w:hint="eastAsia" w:ascii="仿宋_GB2312" w:hAnsi="仿宋_GB2312" w:eastAsia="仿宋_GB2312" w:cs="仿宋_GB2312"/>
          <w:color w:val="auto"/>
        </w:rPr>
      </w:pPr>
    </w:p>
    <w:p>
      <w:pPr>
        <w:rPr>
          <w:rFonts w:hint="eastAsia" w:ascii="仿宋_GB2312" w:hAnsi="仿宋_GB2312" w:eastAsia="仿宋_GB2312" w:cs="仿宋_GB2312"/>
          <w:color w:val="auto"/>
        </w:rPr>
      </w:pPr>
    </w:p>
    <w:p>
      <w:pPr>
        <w:rPr>
          <w:rFonts w:hint="eastAsia" w:ascii="仿宋_GB2312" w:hAnsi="仿宋_GB2312" w:eastAsia="仿宋_GB2312" w:cs="仿宋_GB2312"/>
          <w:color w:val="auto"/>
        </w:rPr>
      </w:pPr>
    </w:p>
    <w:p>
      <w:pPr>
        <w:rPr>
          <w:rFonts w:hint="eastAsia" w:ascii="仿宋_GB2312" w:hAnsi="仿宋_GB2312" w:eastAsia="仿宋_GB2312" w:cs="仿宋_GB2312"/>
          <w:color w:val="auto"/>
        </w:rPr>
      </w:pPr>
    </w:p>
    <w:p>
      <w:pPr>
        <w:rPr>
          <w:rFonts w:hint="eastAsia" w:ascii="仿宋_GB2312" w:hAnsi="仿宋_GB2312" w:eastAsia="仿宋_GB2312" w:cs="仿宋_GB2312"/>
          <w:color w:val="auto"/>
        </w:rPr>
      </w:pPr>
    </w:p>
    <w:p>
      <w:pPr>
        <w:jc w:val="center"/>
        <w:rPr>
          <w:rFonts w:hint="eastAsia" w:ascii="仿宋_GB2312" w:hAnsi="仿宋_GB2312" w:eastAsia="仿宋_GB2312" w:cs="仿宋_GB2312"/>
          <w:b/>
          <w:bCs/>
          <w:color w:val="auto"/>
          <w:sz w:val="52"/>
          <w:szCs w:val="52"/>
        </w:rPr>
      </w:pPr>
      <w:r>
        <w:rPr>
          <w:rFonts w:hint="eastAsia" w:ascii="仿宋_GB2312" w:hAnsi="仿宋_GB2312" w:eastAsia="仿宋_GB2312" w:cs="仿宋_GB2312"/>
          <w:b/>
          <w:bCs/>
          <w:color w:val="auto"/>
          <w:sz w:val="52"/>
          <w:szCs w:val="52"/>
        </w:rPr>
        <w:t>响  应  文  件</w:t>
      </w:r>
    </w:p>
    <w:p>
      <w:pPr>
        <w:rPr>
          <w:rFonts w:hint="eastAsia" w:ascii="仿宋_GB2312" w:hAnsi="仿宋_GB2312" w:eastAsia="仿宋_GB2312" w:cs="仿宋_GB2312"/>
          <w:color w:val="auto"/>
        </w:rPr>
      </w:pPr>
    </w:p>
    <w:p>
      <w:pPr>
        <w:rPr>
          <w:rFonts w:hint="eastAsia" w:ascii="仿宋_GB2312" w:hAnsi="仿宋_GB2312" w:eastAsia="仿宋_GB2312" w:cs="仿宋_GB2312"/>
          <w:color w:val="auto"/>
        </w:rPr>
      </w:pPr>
    </w:p>
    <w:p>
      <w:pPr>
        <w:rPr>
          <w:rFonts w:hint="eastAsia" w:ascii="仿宋_GB2312" w:hAnsi="仿宋_GB2312" w:eastAsia="仿宋_GB2312" w:cs="仿宋_GB2312"/>
          <w:color w:val="auto"/>
        </w:rPr>
      </w:pPr>
    </w:p>
    <w:p>
      <w:pPr>
        <w:rPr>
          <w:rFonts w:hint="eastAsia" w:ascii="仿宋_GB2312" w:hAnsi="仿宋_GB2312" w:eastAsia="仿宋_GB2312" w:cs="仿宋_GB2312"/>
          <w:color w:val="auto"/>
          <w:sz w:val="28"/>
          <w:szCs w:val="28"/>
        </w:rPr>
      </w:pPr>
    </w:p>
    <w:p>
      <w:pPr>
        <w:rPr>
          <w:rFonts w:hint="eastAsia" w:ascii="仿宋_GB2312" w:hAnsi="仿宋_GB2312" w:eastAsia="仿宋_GB2312" w:cs="仿宋_GB2312"/>
          <w:color w:val="auto"/>
          <w:sz w:val="28"/>
          <w:szCs w:val="28"/>
        </w:rPr>
      </w:pPr>
    </w:p>
    <w:p>
      <w:pPr>
        <w:rPr>
          <w:rFonts w:hint="eastAsia" w:ascii="仿宋_GB2312" w:hAnsi="仿宋_GB2312" w:eastAsia="仿宋_GB2312" w:cs="仿宋_GB2312"/>
          <w:color w:val="auto"/>
          <w:sz w:val="28"/>
          <w:szCs w:val="28"/>
        </w:rPr>
      </w:pPr>
    </w:p>
    <w:p>
      <w:pPr>
        <w:rPr>
          <w:rFonts w:hint="eastAsia" w:ascii="仿宋_GB2312" w:hAnsi="仿宋_GB2312" w:eastAsia="仿宋_GB2312" w:cs="仿宋_GB2312"/>
          <w:color w:val="auto"/>
          <w:sz w:val="28"/>
          <w:szCs w:val="28"/>
        </w:rPr>
      </w:pPr>
    </w:p>
    <w:p>
      <w:pPr>
        <w:rPr>
          <w:rFonts w:hint="eastAsia" w:ascii="仿宋_GB2312" w:hAnsi="仿宋_GB2312" w:eastAsia="仿宋_GB2312" w:cs="仿宋_GB2312"/>
          <w:color w:val="auto"/>
          <w:sz w:val="28"/>
          <w:szCs w:val="28"/>
        </w:rPr>
      </w:pPr>
    </w:p>
    <w:p>
      <w:pPr>
        <w:rPr>
          <w:rFonts w:hint="eastAsia" w:ascii="仿宋_GB2312" w:hAnsi="仿宋_GB2312" w:eastAsia="仿宋_GB2312" w:cs="仿宋_GB2312"/>
          <w:color w:val="auto"/>
          <w:sz w:val="28"/>
          <w:szCs w:val="28"/>
        </w:rPr>
      </w:pPr>
    </w:p>
    <w:p>
      <w:pPr>
        <w:rPr>
          <w:rFonts w:hint="eastAsia" w:ascii="仿宋_GB2312" w:hAnsi="仿宋_GB2312" w:eastAsia="仿宋_GB2312" w:cs="仿宋_GB2312"/>
          <w:color w:val="auto"/>
          <w:sz w:val="28"/>
          <w:szCs w:val="28"/>
        </w:rPr>
      </w:pPr>
    </w:p>
    <w:p>
      <w:pPr>
        <w:rPr>
          <w:rFonts w:hint="eastAsia" w:ascii="仿宋_GB2312" w:hAnsi="仿宋_GB2312" w:eastAsia="仿宋_GB2312" w:cs="仿宋_GB2312"/>
          <w:color w:val="auto"/>
          <w:sz w:val="28"/>
          <w:szCs w:val="28"/>
        </w:rPr>
      </w:pPr>
    </w:p>
    <w:p>
      <w:pP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所响应包号：第  包</w:t>
      </w:r>
    </w:p>
    <w:p>
      <w:pP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项目名称：</w:t>
      </w:r>
    </w:p>
    <w:p>
      <w:pP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项目编号：</w:t>
      </w:r>
    </w:p>
    <w:p>
      <w:pP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供应商名称 ：</w:t>
      </w:r>
    </w:p>
    <w:p>
      <w:pPr>
        <w:widowControl/>
        <w:jc w:val="left"/>
        <w:outlineLvl w:val="1"/>
        <w:rPr>
          <w:rFonts w:hint="eastAsia" w:ascii="仿宋_GB2312" w:hAnsi="仿宋_GB2312" w:eastAsia="仿宋_GB2312" w:cs="仿宋_GB2312"/>
          <w:b/>
          <w:bCs/>
          <w:color w:val="auto"/>
          <w:sz w:val="28"/>
          <w:szCs w:val="28"/>
        </w:rPr>
      </w:pPr>
      <w:r>
        <w:rPr>
          <w:rFonts w:hint="eastAsia" w:ascii="仿宋_GB2312" w:hAnsi="仿宋_GB2312" w:eastAsia="仿宋_GB2312" w:cs="仿宋_GB2312"/>
          <w:color w:val="auto"/>
          <w:sz w:val="28"/>
          <w:szCs w:val="28"/>
        </w:rPr>
        <w:br w:type="page"/>
      </w:r>
      <w:bookmarkStart w:id="68" w:name="_Toc533340151"/>
      <w:bookmarkStart w:id="69" w:name="_Toc4485628"/>
      <w:r>
        <w:rPr>
          <w:rFonts w:hint="eastAsia" w:ascii="仿宋_GB2312" w:hAnsi="仿宋_GB2312" w:eastAsia="仿宋_GB2312" w:cs="仿宋_GB2312"/>
          <w:b/>
          <w:bCs/>
          <w:color w:val="auto"/>
          <w:sz w:val="28"/>
          <w:szCs w:val="28"/>
        </w:rPr>
        <w:t>格式3</w:t>
      </w:r>
      <w:bookmarkEnd w:id="68"/>
      <w:bookmarkEnd w:id="69"/>
    </w:p>
    <w:p>
      <w:pPr>
        <w:spacing w:before="319" w:beforeLines="100" w:after="319" w:afterLines="100" w:line="360" w:lineRule="auto"/>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目  录</w:t>
      </w:r>
    </w:p>
    <w:p>
      <w:pPr>
        <w:rPr>
          <w:rFonts w:hint="eastAsia" w:ascii="仿宋_GB2312" w:hAnsi="仿宋_GB2312" w:eastAsia="仿宋_GB2312" w:cs="仿宋_GB2312"/>
          <w:color w:val="auto"/>
        </w:rPr>
      </w:pPr>
      <w:r>
        <w:rPr>
          <w:rFonts w:hint="eastAsia" w:ascii="仿宋_GB2312" w:hAnsi="仿宋_GB2312" w:eastAsia="仿宋_GB2312" w:cs="仿宋_GB2312"/>
          <w:color w:val="auto"/>
        </w:rPr>
        <w:t>一、资格证明材料</w:t>
      </w:r>
    </w:p>
    <w:p>
      <w:pPr>
        <w:rPr>
          <w:rFonts w:hint="eastAsia" w:ascii="仿宋_GB2312" w:hAnsi="仿宋_GB2312" w:eastAsia="仿宋_GB2312" w:cs="仿宋_GB2312"/>
          <w:color w:val="auto"/>
        </w:rPr>
      </w:pPr>
      <w:r>
        <w:rPr>
          <w:rFonts w:hint="eastAsia" w:ascii="仿宋_GB2312" w:hAnsi="仿宋_GB2312" w:eastAsia="仿宋_GB2312" w:cs="仿宋_GB2312"/>
          <w:color w:val="auto"/>
        </w:rPr>
        <w:t>……</w:t>
      </w:r>
    </w:p>
    <w:p>
      <w:pPr>
        <w:rPr>
          <w:rFonts w:hint="eastAsia" w:ascii="仿宋_GB2312" w:hAnsi="仿宋_GB2312" w:eastAsia="仿宋_GB2312" w:cs="仿宋_GB2312"/>
          <w:color w:val="auto"/>
        </w:rPr>
      </w:pPr>
      <w:r>
        <w:rPr>
          <w:rFonts w:hint="eastAsia" w:ascii="仿宋_GB2312" w:hAnsi="仿宋_GB2312" w:eastAsia="仿宋_GB2312" w:cs="仿宋_GB2312"/>
          <w:color w:val="auto"/>
        </w:rPr>
        <w:t>二、符合性证明材料</w:t>
      </w:r>
    </w:p>
    <w:p>
      <w:pPr>
        <w:rPr>
          <w:rFonts w:hint="eastAsia" w:ascii="仿宋_GB2312" w:hAnsi="仿宋_GB2312" w:eastAsia="仿宋_GB2312" w:cs="仿宋_GB2312"/>
          <w:color w:val="auto"/>
        </w:rPr>
      </w:pPr>
      <w:r>
        <w:rPr>
          <w:rFonts w:hint="eastAsia" w:ascii="仿宋_GB2312" w:hAnsi="仿宋_GB2312" w:eastAsia="仿宋_GB2312" w:cs="仿宋_GB2312"/>
          <w:color w:val="auto"/>
        </w:rPr>
        <w:t>……</w:t>
      </w:r>
    </w:p>
    <w:p>
      <w:pPr>
        <w:rPr>
          <w:rFonts w:hint="eastAsia" w:ascii="仿宋_GB2312" w:hAnsi="仿宋_GB2312" w:eastAsia="仿宋_GB2312" w:cs="仿宋_GB2312"/>
          <w:color w:val="auto"/>
        </w:rPr>
      </w:pPr>
      <w:r>
        <w:rPr>
          <w:rFonts w:hint="eastAsia" w:ascii="仿宋_GB2312" w:hAnsi="仿宋_GB2312" w:eastAsia="仿宋_GB2312" w:cs="仿宋_GB2312"/>
          <w:color w:val="auto"/>
        </w:rPr>
        <w:t>三、其它材料</w:t>
      </w:r>
    </w:p>
    <w:p>
      <w:pP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w:t>
      </w:r>
    </w:p>
    <w:p>
      <w:pPr>
        <w:rPr>
          <w:rFonts w:hint="eastAsia" w:ascii="仿宋_GB2312" w:hAnsi="仿宋_GB2312" w:eastAsia="仿宋_GB2312" w:cs="仿宋_GB2312"/>
          <w:color w:val="auto"/>
          <w:szCs w:val="21"/>
        </w:rPr>
      </w:pPr>
    </w:p>
    <w:p>
      <w:pPr>
        <w:rPr>
          <w:rFonts w:hint="eastAsia" w:ascii="仿宋_GB2312" w:hAnsi="仿宋_GB2312" w:eastAsia="仿宋_GB2312" w:cs="仿宋_GB2312"/>
          <w:color w:val="auto"/>
          <w:szCs w:val="21"/>
        </w:rPr>
      </w:pPr>
    </w:p>
    <w:p>
      <w:pPr>
        <w:rPr>
          <w:rFonts w:hint="eastAsia" w:ascii="仿宋_GB2312" w:hAnsi="仿宋_GB2312" w:eastAsia="仿宋_GB2312" w:cs="仿宋_GB2312"/>
          <w:color w:val="auto"/>
          <w:szCs w:val="21"/>
        </w:rPr>
      </w:pPr>
    </w:p>
    <w:p>
      <w:pPr>
        <w:adjustRightInd w:val="0"/>
        <w:snapToGrid w:val="0"/>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我单位的响应文件由资格证明材料、符合性证明材料和其它材料三部分组成，在此加盖单位公章并由法定代表人（或非法人组织负责人）或其授权委托人签字，保证响应文件中所有材料真实、有效。</w:t>
      </w:r>
    </w:p>
    <w:p>
      <w:pPr>
        <w:rPr>
          <w:rFonts w:hint="eastAsia" w:ascii="仿宋_GB2312" w:hAnsi="仿宋_GB2312" w:eastAsia="仿宋_GB2312" w:cs="仿宋_GB2312"/>
          <w:color w:val="auto"/>
        </w:rPr>
      </w:pPr>
    </w:p>
    <w:p>
      <w:pPr>
        <w:rPr>
          <w:rFonts w:hint="eastAsia" w:ascii="仿宋_GB2312" w:hAnsi="仿宋_GB2312" w:eastAsia="仿宋_GB2312" w:cs="仿宋_GB2312"/>
          <w:color w:val="auto"/>
        </w:rPr>
      </w:pPr>
    </w:p>
    <w:p>
      <w:pPr>
        <w:rPr>
          <w:rFonts w:hint="eastAsia" w:ascii="仿宋_GB2312" w:hAnsi="仿宋_GB2312" w:eastAsia="仿宋_GB2312" w:cs="仿宋_GB2312"/>
          <w:color w:val="auto"/>
        </w:rPr>
      </w:pPr>
    </w:p>
    <w:p>
      <w:pPr>
        <w:spacing w:line="480" w:lineRule="auto"/>
        <w:rPr>
          <w:rFonts w:hint="eastAsia" w:ascii="仿宋_GB2312" w:hAnsi="仿宋_GB2312" w:eastAsia="仿宋_GB2312" w:cs="仿宋_GB2312"/>
          <w:color w:val="auto"/>
        </w:rPr>
      </w:pPr>
      <w:r>
        <w:rPr>
          <w:rFonts w:hint="eastAsia" w:ascii="仿宋_GB2312" w:hAnsi="仿宋_GB2312" w:eastAsia="仿宋_GB2312" w:cs="仿宋_GB2312"/>
          <w:color w:val="auto"/>
        </w:rPr>
        <w:t>供应商名称</w:t>
      </w:r>
      <w:r>
        <w:rPr>
          <w:rFonts w:hint="eastAsia" w:ascii="仿宋_GB2312" w:hAnsi="仿宋_GB2312" w:eastAsia="仿宋_GB2312" w:cs="仿宋_GB2312"/>
          <w:color w:val="auto"/>
          <w:u w:val="single"/>
        </w:rPr>
        <w:t>（加盖单位公章）</w:t>
      </w:r>
      <w:r>
        <w:rPr>
          <w:rFonts w:hint="eastAsia" w:ascii="仿宋_GB2312" w:hAnsi="仿宋_GB2312" w:eastAsia="仿宋_GB2312" w:cs="仿宋_GB2312"/>
          <w:color w:val="auto"/>
        </w:rPr>
        <w:t xml:space="preserve">：           </w:t>
      </w:r>
    </w:p>
    <w:p>
      <w:pPr>
        <w:spacing w:line="480" w:lineRule="auto"/>
        <w:rPr>
          <w:rFonts w:hint="eastAsia" w:ascii="仿宋_GB2312" w:hAnsi="仿宋_GB2312" w:eastAsia="仿宋_GB2312" w:cs="仿宋_GB2312"/>
          <w:color w:val="auto"/>
        </w:rPr>
      </w:pPr>
      <w:r>
        <w:rPr>
          <w:rFonts w:hint="eastAsia" w:ascii="仿宋_GB2312" w:hAnsi="仿宋_GB2312" w:eastAsia="仿宋_GB2312" w:cs="仿宋_GB2312"/>
          <w:color w:val="auto"/>
        </w:rPr>
        <w:t>法定代表人（或</w:t>
      </w:r>
      <w:r>
        <w:rPr>
          <w:rFonts w:hint="eastAsia" w:ascii="仿宋_GB2312" w:hAnsi="仿宋_GB2312" w:eastAsia="仿宋_GB2312" w:cs="仿宋_GB2312"/>
          <w:color w:val="auto"/>
          <w:szCs w:val="21"/>
        </w:rPr>
        <w:t>非法人组织负责人</w:t>
      </w:r>
      <w:r>
        <w:rPr>
          <w:rFonts w:hint="eastAsia" w:ascii="仿宋_GB2312" w:hAnsi="仿宋_GB2312" w:eastAsia="仿宋_GB2312" w:cs="仿宋_GB2312"/>
          <w:color w:val="auto"/>
        </w:rPr>
        <w:t>）</w:t>
      </w:r>
      <w:r>
        <w:rPr>
          <w:rFonts w:hint="eastAsia" w:ascii="仿宋_GB2312" w:hAnsi="仿宋_GB2312" w:eastAsia="仿宋_GB2312" w:cs="仿宋_GB2312"/>
          <w:color w:val="auto"/>
          <w:szCs w:val="21"/>
        </w:rPr>
        <w:t>或</w:t>
      </w:r>
      <w:r>
        <w:rPr>
          <w:rFonts w:hint="eastAsia" w:ascii="仿宋_GB2312" w:hAnsi="仿宋_GB2312" w:eastAsia="仿宋_GB2312" w:cs="仿宋_GB2312"/>
          <w:color w:val="auto"/>
        </w:rPr>
        <w:t xml:space="preserve">其授权委托人： </w:t>
      </w:r>
      <w:r>
        <w:rPr>
          <w:rFonts w:hint="eastAsia" w:ascii="仿宋_GB2312" w:hAnsi="仿宋_GB2312" w:eastAsia="仿宋_GB2312" w:cs="仿宋_GB2312"/>
          <w:color w:val="auto"/>
          <w:u w:val="single"/>
        </w:rPr>
        <w:t xml:space="preserve">          (签字或盖章) </w:t>
      </w:r>
    </w:p>
    <w:p>
      <w:pPr>
        <w:spacing w:line="480" w:lineRule="auto"/>
        <w:rPr>
          <w:rFonts w:hint="eastAsia" w:ascii="仿宋_GB2312" w:hAnsi="仿宋_GB2312" w:eastAsia="仿宋_GB2312" w:cs="仿宋_GB2312"/>
          <w:color w:val="auto"/>
        </w:rPr>
      </w:pPr>
      <w:r>
        <w:rPr>
          <w:rFonts w:hint="eastAsia" w:ascii="仿宋_GB2312" w:hAnsi="仿宋_GB2312" w:eastAsia="仿宋_GB2312" w:cs="仿宋_GB2312"/>
          <w:color w:val="auto"/>
        </w:rPr>
        <w:t>日期：</w:t>
      </w:r>
      <w:r>
        <w:rPr>
          <w:rFonts w:hint="eastAsia" w:ascii="仿宋_GB2312" w:hAnsi="仿宋_GB2312" w:eastAsia="仿宋_GB2312" w:cs="仿宋_GB2312"/>
          <w:color w:val="auto"/>
          <w:u w:val="single"/>
        </w:rPr>
        <w:t xml:space="preserve">             </w:t>
      </w:r>
    </w:p>
    <w:p>
      <w:pPr>
        <w:widowControl/>
        <w:jc w:val="left"/>
        <w:outlineLvl w:val="1"/>
        <w:rPr>
          <w:rFonts w:hint="eastAsia" w:ascii="仿宋_GB2312" w:hAnsi="仿宋_GB2312" w:eastAsia="仿宋_GB2312" w:cs="仿宋_GB2312"/>
          <w:b/>
          <w:bCs/>
          <w:color w:val="auto"/>
          <w:sz w:val="28"/>
          <w:szCs w:val="28"/>
        </w:rPr>
      </w:pPr>
      <w:r>
        <w:rPr>
          <w:rFonts w:hint="eastAsia" w:ascii="仿宋_GB2312" w:hAnsi="仿宋_GB2312" w:eastAsia="仿宋_GB2312" w:cs="仿宋_GB2312"/>
          <w:color w:val="auto"/>
        </w:rPr>
        <w:br w:type="page"/>
      </w:r>
      <w:bookmarkStart w:id="70" w:name="_Toc4485629"/>
      <w:bookmarkStart w:id="71" w:name="_Toc533340152"/>
      <w:r>
        <w:rPr>
          <w:rFonts w:hint="eastAsia" w:ascii="仿宋_GB2312" w:hAnsi="仿宋_GB2312" w:eastAsia="仿宋_GB2312" w:cs="仿宋_GB2312"/>
          <w:b/>
          <w:bCs/>
          <w:color w:val="auto"/>
          <w:sz w:val="28"/>
          <w:szCs w:val="28"/>
        </w:rPr>
        <w:t>格式4</w:t>
      </w:r>
      <w:bookmarkEnd w:id="70"/>
      <w:bookmarkEnd w:id="71"/>
    </w:p>
    <w:p>
      <w:pPr>
        <w:spacing w:before="319" w:beforeLines="100" w:after="319" w:afterLines="100" w:line="360" w:lineRule="auto"/>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法定代表人（或非法人组织负责人）身份证明书</w:t>
      </w:r>
    </w:p>
    <w:p>
      <w:pPr>
        <w:spacing w:line="360" w:lineRule="auto"/>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姓名：</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，性别：</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，出生日期：</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，现任职务：</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，系</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（供应商名称）的法定代表人（或非法人组织负责人）。</w:t>
      </w:r>
    </w:p>
    <w:p>
      <w:pPr>
        <w:ind w:firstLine="420" w:firstLineChars="200"/>
        <w:rPr>
          <w:rFonts w:hint="eastAsia" w:ascii="仿宋_GB2312" w:hAnsi="仿宋_GB2312" w:eastAsia="仿宋_GB2312" w:cs="仿宋_GB2312"/>
          <w:color w:val="auto"/>
          <w:szCs w:val="21"/>
        </w:rPr>
      </w:pPr>
    </w:p>
    <w:p>
      <w:pPr>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特此证明。</w:t>
      </w:r>
    </w:p>
    <w:p>
      <w:pPr>
        <w:rPr>
          <w:rFonts w:hint="eastAsia" w:ascii="仿宋_GB2312" w:hAnsi="仿宋_GB2312" w:eastAsia="仿宋_GB2312" w:cs="仿宋_GB2312"/>
          <w:color w:val="auto"/>
          <w:szCs w:val="21"/>
        </w:rPr>
      </w:pPr>
    </w:p>
    <w:p>
      <w:pPr>
        <w:rPr>
          <w:rFonts w:hint="eastAsia" w:ascii="仿宋_GB2312" w:hAnsi="仿宋_GB2312" w:eastAsia="仿宋_GB2312" w:cs="仿宋_GB2312"/>
          <w:color w:val="auto"/>
          <w:szCs w:val="21"/>
        </w:rPr>
      </w:pPr>
    </w:p>
    <w:p>
      <w:pPr>
        <w:rPr>
          <w:rFonts w:hint="eastAsia" w:ascii="仿宋_GB2312" w:hAnsi="仿宋_GB2312" w:eastAsia="仿宋_GB2312" w:cs="仿宋_GB2312"/>
          <w:color w:val="auto"/>
          <w:szCs w:val="21"/>
        </w:rPr>
      </w:pP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0" w:hRule="atLeast"/>
          <w:jc w:val="center"/>
        </w:trPr>
        <w:tc>
          <w:tcPr>
            <w:tcW w:w="8228" w:type="dxa"/>
            <w:noWrap w:val="0"/>
            <w:vAlign w:val="top"/>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（※法定代表人（或非法人组织负责人）身份证正、反面复印件※）</w:t>
            </w:r>
          </w:p>
        </w:tc>
      </w:tr>
    </w:tbl>
    <w:p>
      <w:pPr>
        <w:rPr>
          <w:rFonts w:hint="eastAsia" w:ascii="仿宋_GB2312" w:hAnsi="仿宋_GB2312" w:eastAsia="仿宋_GB2312" w:cs="仿宋_GB2312"/>
          <w:color w:val="auto"/>
          <w:szCs w:val="21"/>
        </w:rPr>
      </w:pPr>
    </w:p>
    <w:p>
      <w:pPr>
        <w:rPr>
          <w:rFonts w:hint="eastAsia" w:ascii="仿宋_GB2312" w:hAnsi="仿宋_GB2312" w:eastAsia="仿宋_GB2312" w:cs="仿宋_GB2312"/>
          <w:color w:val="auto"/>
          <w:szCs w:val="21"/>
        </w:rPr>
      </w:pPr>
    </w:p>
    <w:p>
      <w:pPr>
        <w:rPr>
          <w:rFonts w:hint="eastAsia" w:ascii="仿宋_GB2312" w:hAnsi="仿宋_GB2312" w:eastAsia="仿宋_GB2312" w:cs="仿宋_GB2312"/>
          <w:color w:val="auto"/>
          <w:szCs w:val="21"/>
        </w:rPr>
      </w:pPr>
    </w:p>
    <w:p>
      <w:pPr>
        <w:rPr>
          <w:rFonts w:hint="eastAsia" w:ascii="仿宋_GB2312" w:hAnsi="仿宋_GB2312" w:eastAsia="仿宋_GB2312" w:cs="仿宋_GB2312"/>
          <w:color w:val="auto"/>
          <w:szCs w:val="21"/>
        </w:rPr>
      </w:pPr>
    </w:p>
    <w:p>
      <w:pPr>
        <w:rPr>
          <w:rFonts w:hint="eastAsia" w:ascii="仿宋_GB2312" w:hAnsi="仿宋_GB2312" w:eastAsia="仿宋_GB2312" w:cs="仿宋_GB2312"/>
          <w:color w:val="auto"/>
          <w:szCs w:val="21"/>
        </w:rPr>
      </w:pPr>
    </w:p>
    <w:p>
      <w:pPr>
        <w:rPr>
          <w:rFonts w:hint="eastAsia" w:ascii="仿宋_GB2312" w:hAnsi="仿宋_GB2312" w:eastAsia="仿宋_GB2312" w:cs="仿宋_GB2312"/>
          <w:color w:val="auto"/>
          <w:szCs w:val="21"/>
        </w:rPr>
      </w:pPr>
    </w:p>
    <w:p>
      <w:pPr>
        <w:rPr>
          <w:rFonts w:hint="eastAsia" w:ascii="仿宋_GB2312" w:hAnsi="仿宋_GB2312" w:eastAsia="仿宋_GB2312" w:cs="仿宋_GB2312"/>
          <w:color w:val="auto"/>
          <w:szCs w:val="21"/>
        </w:rPr>
      </w:pPr>
    </w:p>
    <w:p>
      <w:pPr>
        <w:rPr>
          <w:rFonts w:hint="eastAsia" w:ascii="仿宋_GB2312" w:hAnsi="仿宋_GB2312" w:eastAsia="仿宋_GB2312" w:cs="仿宋_GB2312"/>
          <w:color w:val="auto"/>
          <w:szCs w:val="21"/>
        </w:rPr>
      </w:pPr>
    </w:p>
    <w:p>
      <w:pPr>
        <w:spacing w:line="480" w:lineRule="auto"/>
        <w:rPr>
          <w:rFonts w:hint="eastAsia" w:ascii="仿宋_GB2312" w:hAnsi="仿宋_GB2312" w:eastAsia="仿宋_GB2312" w:cs="仿宋_GB2312"/>
          <w:color w:val="auto"/>
        </w:rPr>
      </w:pPr>
      <w:r>
        <w:rPr>
          <w:rFonts w:hint="eastAsia" w:ascii="仿宋_GB2312" w:hAnsi="仿宋_GB2312" w:eastAsia="仿宋_GB2312" w:cs="仿宋_GB2312"/>
          <w:color w:val="auto"/>
        </w:rPr>
        <w:t>供应商名称（加盖单位公章）：</w:t>
      </w:r>
      <w:r>
        <w:rPr>
          <w:rFonts w:hint="eastAsia" w:ascii="仿宋_GB2312" w:hAnsi="仿宋_GB2312" w:eastAsia="仿宋_GB2312" w:cs="仿宋_GB2312"/>
          <w:color w:val="auto"/>
          <w:u w:val="single"/>
        </w:rPr>
        <w:t xml:space="preserve">           </w:t>
      </w:r>
    </w:p>
    <w:p>
      <w:pPr>
        <w:spacing w:line="480" w:lineRule="auto"/>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日期： </w:t>
      </w:r>
      <w:r>
        <w:rPr>
          <w:rFonts w:hint="eastAsia" w:ascii="仿宋_GB2312" w:hAnsi="仿宋_GB2312" w:eastAsia="仿宋_GB2312" w:cs="仿宋_GB2312"/>
          <w:color w:val="auto"/>
          <w:u w:val="single"/>
        </w:rPr>
        <w:t xml:space="preserve">             </w:t>
      </w:r>
    </w:p>
    <w:p>
      <w:pPr>
        <w:widowControl/>
        <w:jc w:val="left"/>
        <w:outlineLvl w:val="1"/>
        <w:rPr>
          <w:rFonts w:hint="eastAsia" w:ascii="仿宋_GB2312" w:hAnsi="仿宋_GB2312" w:eastAsia="仿宋_GB2312" w:cs="仿宋_GB2312"/>
          <w:b/>
          <w:bCs/>
          <w:color w:val="auto"/>
          <w:sz w:val="28"/>
          <w:szCs w:val="28"/>
        </w:rPr>
      </w:pPr>
      <w:r>
        <w:rPr>
          <w:rFonts w:hint="eastAsia" w:ascii="仿宋_GB2312" w:hAnsi="仿宋_GB2312" w:eastAsia="仿宋_GB2312" w:cs="仿宋_GB2312"/>
          <w:color w:val="auto"/>
          <w:szCs w:val="21"/>
        </w:rPr>
        <w:br w:type="page"/>
      </w:r>
      <w:bookmarkStart w:id="72" w:name="_Toc533340153"/>
      <w:bookmarkStart w:id="73" w:name="_Toc4485630"/>
      <w:r>
        <w:rPr>
          <w:rFonts w:hint="eastAsia" w:ascii="仿宋_GB2312" w:hAnsi="仿宋_GB2312" w:eastAsia="仿宋_GB2312" w:cs="仿宋_GB2312"/>
          <w:b/>
          <w:bCs/>
          <w:color w:val="auto"/>
          <w:sz w:val="28"/>
          <w:szCs w:val="28"/>
        </w:rPr>
        <w:t>格式5</w:t>
      </w:r>
      <w:bookmarkEnd w:id="72"/>
      <w:bookmarkEnd w:id="73"/>
    </w:p>
    <w:p>
      <w:pPr>
        <w:spacing w:before="319" w:beforeLines="100" w:after="319" w:afterLines="100" w:line="360" w:lineRule="auto"/>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法定代表人（或非法人组织负责人）授权委托书</w:t>
      </w:r>
    </w:p>
    <w:p>
      <w:pPr>
        <w:spacing w:line="360" w:lineRule="auto"/>
        <w:ind w:firstLine="420" w:firstLineChars="200"/>
        <w:rPr>
          <w:rFonts w:hint="eastAsia" w:ascii="仿宋_GB2312" w:hAnsi="仿宋_GB2312" w:eastAsia="仿宋_GB2312" w:cs="仿宋_GB2312"/>
          <w:color w:val="auto"/>
          <w:szCs w:val="21"/>
          <w:u w:val="single"/>
        </w:rPr>
      </w:pPr>
      <w:r>
        <w:rPr>
          <w:rFonts w:hint="eastAsia" w:ascii="仿宋_GB2312" w:hAnsi="仿宋_GB2312" w:eastAsia="仿宋_GB2312" w:cs="仿宋_GB2312"/>
          <w:color w:val="auto"/>
          <w:szCs w:val="21"/>
        </w:rPr>
        <w:t>单位名称：</w:t>
      </w:r>
      <w:r>
        <w:rPr>
          <w:rFonts w:hint="eastAsia" w:ascii="仿宋_GB2312" w:hAnsi="仿宋_GB2312" w:eastAsia="仿宋_GB2312" w:cs="仿宋_GB2312"/>
          <w:color w:val="auto"/>
          <w:szCs w:val="21"/>
          <w:u w:val="single"/>
        </w:rPr>
        <w:t xml:space="preserve">           </w:t>
      </w:r>
    </w:p>
    <w:p>
      <w:pPr>
        <w:spacing w:line="360" w:lineRule="auto"/>
        <w:ind w:firstLine="420" w:firstLineChars="200"/>
        <w:rPr>
          <w:rFonts w:hint="eastAsia" w:ascii="仿宋_GB2312" w:hAnsi="仿宋_GB2312" w:eastAsia="仿宋_GB2312" w:cs="仿宋_GB2312"/>
          <w:color w:val="auto"/>
          <w:szCs w:val="21"/>
          <w:u w:val="single"/>
        </w:rPr>
      </w:pPr>
      <w:r>
        <w:rPr>
          <w:rFonts w:hint="eastAsia" w:ascii="仿宋_GB2312" w:hAnsi="仿宋_GB2312" w:eastAsia="仿宋_GB2312" w:cs="仿宋_GB2312"/>
          <w:color w:val="auto"/>
          <w:szCs w:val="21"/>
        </w:rPr>
        <w:t>法定代表人（或非法人组织负责人）姓名：</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 xml:space="preserve"> 身份证号码：</w:t>
      </w:r>
      <w:r>
        <w:rPr>
          <w:rFonts w:hint="eastAsia" w:ascii="仿宋_GB2312" w:hAnsi="仿宋_GB2312" w:eastAsia="仿宋_GB2312" w:cs="仿宋_GB2312"/>
          <w:color w:val="auto"/>
          <w:szCs w:val="21"/>
          <w:u w:val="single"/>
        </w:rPr>
        <w:t xml:space="preserve">         </w:t>
      </w:r>
    </w:p>
    <w:p>
      <w:pPr>
        <w:spacing w:line="360" w:lineRule="auto"/>
        <w:ind w:firstLine="420" w:firstLineChars="200"/>
        <w:rPr>
          <w:rFonts w:hint="eastAsia" w:ascii="仿宋_GB2312" w:hAnsi="仿宋_GB2312" w:eastAsia="仿宋_GB2312" w:cs="仿宋_GB2312"/>
          <w:color w:val="auto"/>
          <w:szCs w:val="21"/>
          <w:u w:val="single"/>
        </w:rPr>
      </w:pPr>
      <w:r>
        <w:rPr>
          <w:rFonts w:hint="eastAsia" w:ascii="仿宋_GB2312" w:hAnsi="仿宋_GB2312" w:eastAsia="仿宋_GB2312" w:cs="仿宋_GB2312"/>
          <w:color w:val="auto"/>
          <w:szCs w:val="21"/>
        </w:rPr>
        <w:t>住所地：</w:t>
      </w:r>
      <w:r>
        <w:rPr>
          <w:rFonts w:hint="eastAsia" w:ascii="仿宋_GB2312" w:hAnsi="仿宋_GB2312" w:eastAsia="仿宋_GB2312" w:cs="仿宋_GB2312"/>
          <w:color w:val="auto"/>
          <w:szCs w:val="21"/>
          <w:u w:val="single"/>
        </w:rPr>
        <w:t xml:space="preserve">                       </w:t>
      </w:r>
    </w:p>
    <w:p>
      <w:pPr>
        <w:spacing w:line="360" w:lineRule="auto"/>
        <w:ind w:firstLine="420" w:firstLineChars="200"/>
        <w:rPr>
          <w:rFonts w:hint="eastAsia" w:ascii="仿宋_GB2312" w:hAnsi="仿宋_GB2312" w:eastAsia="仿宋_GB2312" w:cs="仿宋_GB2312"/>
          <w:color w:val="auto"/>
          <w:szCs w:val="21"/>
          <w:u w:val="single"/>
        </w:rPr>
      </w:pPr>
      <w:r>
        <w:rPr>
          <w:rFonts w:hint="eastAsia" w:ascii="仿宋_GB2312" w:hAnsi="仿宋_GB2312" w:eastAsia="仿宋_GB2312" w:cs="仿宋_GB2312"/>
          <w:color w:val="auto"/>
        </w:rPr>
        <w:t>授权委托人姓名</w:t>
      </w:r>
      <w:r>
        <w:rPr>
          <w:rFonts w:hint="eastAsia" w:ascii="仿宋_GB2312" w:hAnsi="仿宋_GB2312" w:eastAsia="仿宋_GB2312" w:cs="仿宋_GB2312"/>
          <w:color w:val="auto"/>
          <w:szCs w:val="21"/>
        </w:rPr>
        <w:t>：</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 xml:space="preserve">                身份证号码：</w:t>
      </w:r>
      <w:r>
        <w:rPr>
          <w:rFonts w:hint="eastAsia" w:ascii="仿宋_GB2312" w:hAnsi="仿宋_GB2312" w:eastAsia="仿宋_GB2312" w:cs="仿宋_GB2312"/>
          <w:color w:val="auto"/>
          <w:szCs w:val="21"/>
          <w:u w:val="single"/>
        </w:rPr>
        <w:t xml:space="preserve">         </w:t>
      </w:r>
    </w:p>
    <w:p>
      <w:pPr>
        <w:spacing w:line="360" w:lineRule="auto"/>
        <w:ind w:firstLine="420" w:firstLineChars="200"/>
        <w:rPr>
          <w:rFonts w:hint="eastAsia" w:ascii="仿宋_GB2312" w:hAnsi="仿宋_GB2312" w:eastAsia="仿宋_GB2312" w:cs="仿宋_GB2312"/>
          <w:color w:val="auto"/>
          <w:szCs w:val="21"/>
          <w:u w:val="single"/>
        </w:rPr>
      </w:pPr>
      <w:r>
        <w:rPr>
          <w:rFonts w:hint="eastAsia" w:ascii="仿宋_GB2312" w:hAnsi="仿宋_GB2312" w:eastAsia="仿宋_GB2312" w:cs="仿宋_GB2312"/>
          <w:color w:val="auto"/>
          <w:szCs w:val="21"/>
        </w:rPr>
        <w:t>工作单位：</w:t>
      </w:r>
      <w:r>
        <w:rPr>
          <w:rFonts w:hint="eastAsia" w:ascii="仿宋_GB2312" w:hAnsi="仿宋_GB2312" w:eastAsia="仿宋_GB2312" w:cs="仿宋_GB2312"/>
          <w:color w:val="auto"/>
          <w:szCs w:val="21"/>
          <w:u w:val="single"/>
        </w:rPr>
        <w:t xml:space="preserve">                    </w:t>
      </w:r>
    </w:p>
    <w:p>
      <w:pPr>
        <w:spacing w:line="360" w:lineRule="auto"/>
        <w:ind w:firstLine="420" w:firstLineChars="200"/>
        <w:rPr>
          <w:rFonts w:hint="eastAsia" w:ascii="仿宋_GB2312" w:hAnsi="仿宋_GB2312" w:eastAsia="仿宋_GB2312" w:cs="仿宋_GB2312"/>
          <w:color w:val="auto"/>
          <w:szCs w:val="21"/>
          <w:u w:val="single"/>
        </w:rPr>
      </w:pPr>
      <w:r>
        <w:rPr>
          <w:rFonts w:hint="eastAsia" w:ascii="仿宋_GB2312" w:hAnsi="仿宋_GB2312" w:eastAsia="仿宋_GB2312" w:cs="仿宋_GB2312"/>
          <w:color w:val="auto"/>
          <w:szCs w:val="21"/>
        </w:rPr>
        <w:t>住址：</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 xml:space="preserve">                电话：</w:t>
      </w:r>
      <w:r>
        <w:rPr>
          <w:rFonts w:hint="eastAsia" w:ascii="仿宋_GB2312" w:hAnsi="仿宋_GB2312" w:eastAsia="仿宋_GB2312" w:cs="仿宋_GB2312"/>
          <w:color w:val="auto"/>
          <w:szCs w:val="21"/>
          <w:u w:val="single"/>
        </w:rPr>
        <w:t xml:space="preserve">               </w:t>
      </w:r>
    </w:p>
    <w:p>
      <w:pPr>
        <w:spacing w:line="360" w:lineRule="auto"/>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现委托</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就</w:t>
      </w:r>
      <w:r>
        <w:rPr>
          <w:rFonts w:hint="eastAsia" w:ascii="仿宋_GB2312" w:hAnsi="仿宋_GB2312" w:eastAsia="仿宋_GB2312" w:cs="仿宋_GB2312"/>
          <w:color w:val="auto"/>
          <w:szCs w:val="21"/>
          <w:u w:val="single"/>
        </w:rPr>
        <w:t>（项目编号、项目名称、包号）</w:t>
      </w:r>
      <w:r>
        <w:rPr>
          <w:rFonts w:hint="eastAsia" w:ascii="仿宋_GB2312" w:hAnsi="仿宋_GB2312" w:eastAsia="仿宋_GB2312" w:cs="仿宋_GB2312"/>
          <w:color w:val="auto"/>
          <w:szCs w:val="21"/>
        </w:rPr>
        <w:t>政府采购活动，以我单位名义处理一切与之有关的事务。</w:t>
      </w:r>
    </w:p>
    <w:p>
      <w:pPr>
        <w:spacing w:line="360" w:lineRule="auto"/>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本授权书于</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年</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月</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日签字或盖章</w:t>
      </w:r>
      <w:r>
        <w:rPr>
          <w:rFonts w:hint="eastAsia" w:ascii="仿宋_GB2312" w:hAnsi="仿宋_GB2312" w:eastAsia="仿宋_GB2312" w:cs="仿宋_GB2312"/>
          <w:b/>
          <w:color w:val="auto"/>
          <w:szCs w:val="21"/>
        </w:rPr>
        <w:t>生效，无转委托，</w:t>
      </w:r>
      <w:r>
        <w:rPr>
          <w:rFonts w:hint="eastAsia" w:ascii="仿宋_GB2312" w:hAnsi="仿宋_GB2312" w:eastAsia="仿宋_GB2312" w:cs="仿宋_GB2312"/>
          <w:color w:val="auto"/>
          <w:szCs w:val="21"/>
        </w:rPr>
        <w:t>特此声明。</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0" w:hRule="atLeast"/>
          <w:jc w:val="center"/>
        </w:trPr>
        <w:tc>
          <w:tcPr>
            <w:tcW w:w="8228" w:type="dxa"/>
            <w:noWrap w:val="0"/>
            <w:vAlign w:val="top"/>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w:t>
            </w:r>
            <w:r>
              <w:rPr>
                <w:rFonts w:hint="eastAsia" w:ascii="仿宋_GB2312" w:hAnsi="仿宋_GB2312" w:eastAsia="仿宋_GB2312" w:cs="仿宋_GB2312"/>
                <w:color w:val="auto"/>
              </w:rPr>
              <w:t>授权委托人</w:t>
            </w:r>
            <w:r>
              <w:rPr>
                <w:rFonts w:hint="eastAsia" w:ascii="仿宋_GB2312" w:hAnsi="仿宋_GB2312" w:eastAsia="仿宋_GB2312" w:cs="仿宋_GB2312"/>
                <w:color w:val="auto"/>
                <w:szCs w:val="21"/>
              </w:rPr>
              <w:t>身份证正、反面复印件※）</w:t>
            </w:r>
          </w:p>
        </w:tc>
      </w:tr>
    </w:tbl>
    <w:p>
      <w:pPr>
        <w:spacing w:line="360" w:lineRule="auto"/>
        <w:rPr>
          <w:rFonts w:hint="eastAsia" w:ascii="仿宋_GB2312" w:hAnsi="仿宋_GB2312" w:eastAsia="仿宋_GB2312" w:cs="仿宋_GB2312"/>
          <w:color w:val="auto"/>
          <w:szCs w:val="21"/>
        </w:rPr>
      </w:pPr>
    </w:p>
    <w:p>
      <w:pPr>
        <w:spacing w:line="360" w:lineRule="auto"/>
        <w:rPr>
          <w:rFonts w:hint="eastAsia" w:ascii="仿宋_GB2312" w:hAnsi="仿宋_GB2312" w:eastAsia="仿宋_GB2312" w:cs="仿宋_GB2312"/>
          <w:color w:val="auto"/>
          <w:szCs w:val="21"/>
        </w:rPr>
      </w:pPr>
    </w:p>
    <w:p>
      <w:pPr>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委托人（加盖单位公章）：</w:t>
      </w:r>
      <w:r>
        <w:rPr>
          <w:rFonts w:hint="eastAsia" w:ascii="仿宋_GB2312" w:hAnsi="仿宋_GB2312" w:eastAsia="仿宋_GB2312" w:cs="仿宋_GB2312"/>
          <w:color w:val="auto"/>
          <w:szCs w:val="21"/>
          <w:u w:val="single"/>
        </w:rPr>
        <w:t xml:space="preserve">          </w:t>
      </w:r>
    </w:p>
    <w:p>
      <w:pPr>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法定代表人（或非法人组织负责人）（签字或盖章）：</w:t>
      </w:r>
      <w:r>
        <w:rPr>
          <w:rFonts w:hint="eastAsia" w:ascii="仿宋_GB2312" w:hAnsi="仿宋_GB2312" w:eastAsia="仿宋_GB2312" w:cs="仿宋_GB2312"/>
          <w:color w:val="auto"/>
          <w:szCs w:val="21"/>
          <w:u w:val="single"/>
        </w:rPr>
        <w:t xml:space="preserve">               </w:t>
      </w:r>
    </w:p>
    <w:p>
      <w:pPr>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rPr>
        <w:t>授权委托人</w:t>
      </w:r>
      <w:r>
        <w:rPr>
          <w:rFonts w:hint="eastAsia" w:ascii="仿宋_GB2312" w:hAnsi="仿宋_GB2312" w:eastAsia="仿宋_GB2312" w:cs="仿宋_GB2312"/>
          <w:color w:val="auto"/>
          <w:szCs w:val="21"/>
        </w:rPr>
        <w:t>：（签字或盖章）</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 xml:space="preserve"> </w:t>
      </w:r>
    </w:p>
    <w:p>
      <w:pPr>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详细通讯地址：</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 xml:space="preserve">      邮政编码 ：</w:t>
      </w:r>
      <w:r>
        <w:rPr>
          <w:rFonts w:hint="eastAsia" w:ascii="仿宋_GB2312" w:hAnsi="仿宋_GB2312" w:eastAsia="仿宋_GB2312" w:cs="仿宋_GB2312"/>
          <w:color w:val="auto"/>
          <w:szCs w:val="21"/>
          <w:u w:val="single"/>
        </w:rPr>
        <w:t xml:space="preserve">              </w:t>
      </w:r>
    </w:p>
    <w:p>
      <w:pPr>
        <w:spacing w:line="360" w:lineRule="auto"/>
        <w:rPr>
          <w:rFonts w:hint="eastAsia" w:ascii="仿宋_GB2312" w:hAnsi="仿宋_GB2312" w:eastAsia="仿宋_GB2312" w:cs="仿宋_GB2312"/>
          <w:color w:val="auto"/>
          <w:szCs w:val="21"/>
          <w:u w:val="single"/>
        </w:rPr>
      </w:pPr>
      <w:r>
        <w:rPr>
          <w:rFonts w:hint="eastAsia" w:ascii="仿宋_GB2312" w:hAnsi="仿宋_GB2312" w:eastAsia="仿宋_GB2312" w:cs="仿宋_GB2312"/>
          <w:color w:val="auto"/>
          <w:szCs w:val="21"/>
        </w:rPr>
        <w:t>传        真：</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 xml:space="preserve">      电    话：</w:t>
      </w:r>
      <w:r>
        <w:rPr>
          <w:rFonts w:hint="eastAsia" w:ascii="仿宋_GB2312" w:hAnsi="仿宋_GB2312" w:eastAsia="仿宋_GB2312" w:cs="仿宋_GB2312"/>
          <w:color w:val="auto"/>
          <w:szCs w:val="21"/>
          <w:u w:val="single"/>
        </w:rPr>
        <w:t xml:space="preserve">              </w:t>
      </w:r>
    </w:p>
    <w:p>
      <w:pPr>
        <w:spacing w:line="360" w:lineRule="auto"/>
        <w:jc w:val="left"/>
        <w:rPr>
          <w:rFonts w:hint="eastAsia" w:ascii="仿宋_GB2312" w:hAnsi="仿宋_GB2312" w:eastAsia="仿宋_GB2312" w:cs="仿宋_GB2312"/>
          <w:color w:val="auto"/>
          <w:szCs w:val="21"/>
          <w:u w:val="single"/>
        </w:rPr>
      </w:pPr>
      <w:r>
        <w:rPr>
          <w:rFonts w:hint="eastAsia" w:ascii="仿宋_GB2312" w:hAnsi="仿宋_GB2312" w:eastAsia="仿宋_GB2312" w:cs="仿宋_GB2312"/>
          <w:color w:val="auto"/>
          <w:szCs w:val="21"/>
        </w:rPr>
        <w:t>日        期：</w:t>
      </w:r>
      <w:r>
        <w:rPr>
          <w:rFonts w:hint="eastAsia" w:ascii="仿宋_GB2312" w:hAnsi="仿宋_GB2312" w:eastAsia="仿宋_GB2312" w:cs="仿宋_GB2312"/>
          <w:color w:val="auto"/>
          <w:szCs w:val="21"/>
          <w:u w:val="single"/>
        </w:rPr>
        <w:t xml:space="preserve">                </w:t>
      </w:r>
    </w:p>
    <w:p>
      <w:pPr>
        <w:pStyle w:val="3"/>
        <w:adjustRightInd w:val="0"/>
        <w:snapToGrid w:val="0"/>
        <w:spacing w:before="0" w:after="0" w:line="240" w:lineRule="auto"/>
        <w:jc w:val="left"/>
        <w:rPr>
          <w:rFonts w:hint="eastAsia" w:ascii="仿宋_GB2312" w:hAnsi="仿宋_GB2312" w:eastAsia="仿宋_GB2312" w:cs="仿宋_GB2312"/>
          <w:color w:val="auto"/>
          <w:szCs w:val="28"/>
        </w:rPr>
      </w:pPr>
      <w:r>
        <w:rPr>
          <w:rFonts w:hint="eastAsia" w:ascii="仿宋_GB2312" w:hAnsi="仿宋_GB2312" w:eastAsia="仿宋_GB2312" w:cs="仿宋_GB2312"/>
          <w:color w:val="auto"/>
          <w:szCs w:val="21"/>
          <w:u w:val="single"/>
        </w:rPr>
        <w:br w:type="page"/>
      </w:r>
      <w:bookmarkStart w:id="74" w:name="_Toc533340154"/>
      <w:bookmarkStart w:id="75" w:name="_Toc4485631"/>
      <w:r>
        <w:rPr>
          <w:rFonts w:hint="eastAsia" w:ascii="仿宋_GB2312" w:hAnsi="仿宋_GB2312" w:eastAsia="仿宋_GB2312" w:cs="仿宋_GB2312"/>
          <w:color w:val="auto"/>
          <w:sz w:val="28"/>
        </w:rPr>
        <w:t>格式6</w:t>
      </w:r>
    </w:p>
    <w:p>
      <w:pPr>
        <w:spacing w:before="319" w:beforeLines="100" w:after="319" w:afterLines="100" w:line="360" w:lineRule="auto"/>
        <w:ind w:right="-21" w:rightChars="-10"/>
        <w:jc w:val="center"/>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具有良好的商业信誉和健全的财务会计制度的承诺函</w:t>
      </w:r>
    </w:p>
    <w:p>
      <w:pPr>
        <w:spacing w:before="319" w:beforeLines="100" w:after="319" w:afterLines="100" w:line="480" w:lineRule="exact"/>
        <w:ind w:right="630" w:rightChars="300"/>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（格式自拟）</w:t>
      </w:r>
    </w:p>
    <w:p>
      <w:pPr>
        <w:adjustRightInd w:val="0"/>
        <w:snapToGrid w:val="0"/>
        <w:spacing w:line="360" w:lineRule="auto"/>
        <w:ind w:right="105" w:rightChars="50" w:firstLine="476" w:firstLineChars="227"/>
        <w:jc w:val="left"/>
        <w:rPr>
          <w:rFonts w:hint="eastAsia" w:ascii="仿宋_GB2312" w:hAnsi="仿宋_GB2312" w:eastAsia="仿宋_GB2312" w:cs="仿宋_GB2312"/>
          <w:color w:val="auto"/>
          <w:szCs w:val="21"/>
        </w:rPr>
      </w:pPr>
    </w:p>
    <w:p>
      <w:pPr>
        <w:adjustRightInd w:val="0"/>
        <w:snapToGrid w:val="0"/>
        <w:spacing w:line="360" w:lineRule="auto"/>
        <w:ind w:right="105" w:rightChars="50" w:firstLine="476" w:firstLineChars="227"/>
        <w:jc w:val="left"/>
        <w:rPr>
          <w:rFonts w:hint="eastAsia" w:ascii="仿宋_GB2312" w:hAnsi="仿宋_GB2312" w:eastAsia="仿宋_GB2312" w:cs="仿宋_GB2312"/>
          <w:color w:val="auto"/>
          <w:szCs w:val="21"/>
        </w:rPr>
      </w:pPr>
    </w:p>
    <w:p>
      <w:pPr>
        <w:adjustRightInd w:val="0"/>
        <w:snapToGrid w:val="0"/>
        <w:spacing w:line="360" w:lineRule="auto"/>
        <w:ind w:right="105" w:rightChars="50" w:firstLine="476" w:firstLineChars="227"/>
        <w:jc w:val="left"/>
        <w:rPr>
          <w:rFonts w:hint="eastAsia" w:ascii="仿宋_GB2312" w:hAnsi="仿宋_GB2312" w:eastAsia="仿宋_GB2312" w:cs="仿宋_GB2312"/>
          <w:color w:val="auto"/>
          <w:szCs w:val="21"/>
        </w:rPr>
      </w:pPr>
    </w:p>
    <w:p>
      <w:pPr>
        <w:adjustRightInd w:val="0"/>
        <w:snapToGrid w:val="0"/>
        <w:spacing w:line="360" w:lineRule="auto"/>
        <w:ind w:right="105" w:rightChars="50" w:firstLine="476" w:firstLineChars="227"/>
        <w:jc w:val="left"/>
        <w:rPr>
          <w:rFonts w:hint="eastAsia" w:ascii="仿宋_GB2312" w:hAnsi="仿宋_GB2312" w:eastAsia="仿宋_GB2312" w:cs="仿宋_GB2312"/>
          <w:color w:val="auto"/>
          <w:szCs w:val="21"/>
        </w:rPr>
      </w:pPr>
    </w:p>
    <w:p>
      <w:pPr>
        <w:adjustRightInd w:val="0"/>
        <w:snapToGrid w:val="0"/>
        <w:spacing w:line="360" w:lineRule="auto"/>
        <w:ind w:right="105" w:rightChars="50" w:firstLine="476" w:firstLineChars="227"/>
        <w:jc w:val="left"/>
        <w:rPr>
          <w:rFonts w:hint="eastAsia" w:ascii="仿宋_GB2312" w:hAnsi="仿宋_GB2312" w:eastAsia="仿宋_GB2312" w:cs="仿宋_GB2312"/>
          <w:color w:val="auto"/>
          <w:szCs w:val="21"/>
        </w:rPr>
      </w:pPr>
    </w:p>
    <w:p>
      <w:pPr>
        <w:adjustRightInd w:val="0"/>
        <w:snapToGrid w:val="0"/>
        <w:spacing w:line="360" w:lineRule="auto"/>
        <w:ind w:right="105" w:rightChars="50" w:firstLine="476" w:firstLineChars="227"/>
        <w:jc w:val="left"/>
        <w:rPr>
          <w:rFonts w:hint="eastAsia" w:ascii="仿宋_GB2312" w:hAnsi="仿宋_GB2312" w:eastAsia="仿宋_GB2312" w:cs="仿宋_GB2312"/>
          <w:color w:val="auto"/>
          <w:szCs w:val="21"/>
        </w:rPr>
      </w:pPr>
    </w:p>
    <w:p>
      <w:pPr>
        <w:adjustRightInd w:val="0"/>
        <w:snapToGrid w:val="0"/>
        <w:spacing w:line="360" w:lineRule="auto"/>
        <w:ind w:right="105" w:rightChars="50" w:firstLine="476" w:firstLineChars="227"/>
        <w:jc w:val="left"/>
        <w:rPr>
          <w:rFonts w:hint="eastAsia" w:ascii="仿宋_GB2312" w:hAnsi="仿宋_GB2312" w:eastAsia="仿宋_GB2312" w:cs="仿宋_GB2312"/>
          <w:color w:val="auto"/>
          <w:szCs w:val="21"/>
        </w:rPr>
      </w:pPr>
    </w:p>
    <w:p>
      <w:pPr>
        <w:adjustRightInd w:val="0"/>
        <w:snapToGrid w:val="0"/>
        <w:spacing w:line="360" w:lineRule="auto"/>
        <w:ind w:right="105" w:rightChars="50" w:firstLine="476" w:firstLineChars="227"/>
        <w:jc w:val="left"/>
        <w:rPr>
          <w:rFonts w:hint="eastAsia" w:ascii="仿宋_GB2312" w:hAnsi="仿宋_GB2312" w:eastAsia="仿宋_GB2312" w:cs="仿宋_GB2312"/>
          <w:color w:val="auto"/>
          <w:szCs w:val="21"/>
        </w:rPr>
      </w:pPr>
    </w:p>
    <w:p>
      <w:pPr>
        <w:adjustRightInd w:val="0"/>
        <w:snapToGrid w:val="0"/>
        <w:spacing w:line="360" w:lineRule="auto"/>
        <w:ind w:right="105" w:rightChars="50" w:firstLine="476" w:firstLineChars="227"/>
        <w:jc w:val="left"/>
        <w:rPr>
          <w:rFonts w:hint="eastAsia" w:ascii="仿宋_GB2312" w:hAnsi="仿宋_GB2312" w:eastAsia="仿宋_GB2312" w:cs="仿宋_GB2312"/>
          <w:color w:val="auto"/>
          <w:szCs w:val="21"/>
        </w:rPr>
      </w:pPr>
    </w:p>
    <w:p>
      <w:pPr>
        <w:snapToGrid w:val="0"/>
        <w:spacing w:line="480" w:lineRule="auto"/>
        <w:rPr>
          <w:rFonts w:hint="eastAsia" w:ascii="仿宋_GB2312" w:hAnsi="仿宋_GB2312" w:eastAsia="仿宋_GB2312" w:cs="仿宋_GB2312"/>
          <w:color w:val="auto"/>
        </w:rPr>
      </w:pPr>
      <w:r>
        <w:rPr>
          <w:rFonts w:hint="eastAsia" w:ascii="仿宋_GB2312" w:hAnsi="仿宋_GB2312" w:eastAsia="仿宋_GB2312" w:cs="仿宋_GB2312"/>
          <w:color w:val="auto"/>
        </w:rPr>
        <w:t>供应商名称（加盖单位公章）：</w:t>
      </w:r>
      <w:r>
        <w:rPr>
          <w:rFonts w:hint="eastAsia" w:ascii="仿宋_GB2312" w:hAnsi="仿宋_GB2312" w:eastAsia="仿宋_GB2312" w:cs="仿宋_GB2312"/>
          <w:color w:val="auto"/>
          <w:u w:val="single"/>
        </w:rPr>
        <w:t xml:space="preserve">           </w:t>
      </w:r>
    </w:p>
    <w:p>
      <w:pPr>
        <w:snapToGrid w:val="0"/>
        <w:spacing w:line="480" w:lineRule="auto"/>
        <w:rPr>
          <w:rFonts w:hint="eastAsia" w:ascii="仿宋_GB2312" w:hAnsi="仿宋_GB2312" w:eastAsia="仿宋_GB2312" w:cs="仿宋_GB2312"/>
          <w:color w:val="auto"/>
        </w:rPr>
      </w:pPr>
      <w:r>
        <w:rPr>
          <w:rFonts w:hint="eastAsia" w:ascii="仿宋_GB2312" w:hAnsi="仿宋_GB2312" w:eastAsia="仿宋_GB2312" w:cs="仿宋_GB2312"/>
          <w:color w:val="auto"/>
        </w:rPr>
        <w:t>法定代表人（或</w:t>
      </w:r>
      <w:r>
        <w:rPr>
          <w:rFonts w:hint="eastAsia" w:ascii="仿宋_GB2312" w:hAnsi="仿宋_GB2312" w:eastAsia="仿宋_GB2312" w:cs="仿宋_GB2312"/>
          <w:color w:val="auto"/>
          <w:szCs w:val="21"/>
        </w:rPr>
        <w:t>非法人组织负责人）或</w:t>
      </w:r>
      <w:r>
        <w:rPr>
          <w:rFonts w:hint="eastAsia" w:ascii="仿宋_GB2312" w:hAnsi="仿宋_GB2312" w:eastAsia="仿宋_GB2312" w:cs="仿宋_GB2312"/>
          <w:color w:val="auto"/>
        </w:rPr>
        <w:t>其授权委托人(签字或盖章)：</w:t>
      </w:r>
      <w:r>
        <w:rPr>
          <w:rFonts w:hint="eastAsia" w:ascii="仿宋_GB2312" w:hAnsi="仿宋_GB2312" w:eastAsia="仿宋_GB2312" w:cs="仿宋_GB2312"/>
          <w:color w:val="auto"/>
          <w:u w:val="single"/>
        </w:rPr>
        <w:t xml:space="preserve">           </w:t>
      </w:r>
    </w:p>
    <w:p>
      <w:pPr>
        <w:adjustRightInd w:val="0"/>
        <w:snapToGrid w:val="0"/>
        <w:spacing w:line="360" w:lineRule="auto"/>
        <w:ind w:right="105" w:rightChars="50"/>
        <w:jc w:val="left"/>
        <w:rPr>
          <w:rFonts w:hint="eastAsia" w:ascii="仿宋_GB2312" w:hAnsi="仿宋_GB2312" w:eastAsia="仿宋_GB2312" w:cs="仿宋_GB2312"/>
          <w:color w:val="auto"/>
          <w:u w:val="single"/>
        </w:rPr>
      </w:pPr>
      <w:r>
        <w:rPr>
          <w:rFonts w:hint="eastAsia" w:ascii="仿宋_GB2312" w:hAnsi="仿宋_GB2312" w:eastAsia="仿宋_GB2312" w:cs="仿宋_GB2312"/>
          <w:color w:val="auto"/>
        </w:rPr>
        <w:t>日期：</w:t>
      </w:r>
      <w:r>
        <w:rPr>
          <w:rFonts w:hint="eastAsia" w:ascii="仿宋_GB2312" w:hAnsi="仿宋_GB2312" w:eastAsia="仿宋_GB2312" w:cs="仿宋_GB2312"/>
          <w:color w:val="auto"/>
          <w:u w:val="single"/>
        </w:rPr>
        <w:t xml:space="preserve">                </w:t>
      </w:r>
    </w:p>
    <w:p>
      <w:pPr>
        <w:adjustRightInd w:val="0"/>
        <w:snapToGrid w:val="0"/>
        <w:spacing w:line="360" w:lineRule="auto"/>
        <w:ind w:right="105" w:rightChars="50"/>
        <w:jc w:val="left"/>
        <w:rPr>
          <w:rFonts w:hint="eastAsia" w:ascii="仿宋_GB2312" w:hAnsi="仿宋_GB2312" w:eastAsia="仿宋_GB2312" w:cs="仿宋_GB2312"/>
          <w:color w:val="auto"/>
          <w:u w:val="single"/>
        </w:rPr>
      </w:pPr>
    </w:p>
    <w:p>
      <w:pPr>
        <w:widowControl/>
        <w:jc w:val="left"/>
        <w:outlineLvl w:val="1"/>
        <w:rPr>
          <w:rFonts w:hint="eastAsia" w:ascii="仿宋_GB2312" w:hAnsi="仿宋_GB2312" w:eastAsia="仿宋_GB2312" w:cs="仿宋_GB2312"/>
          <w:b/>
          <w:bCs/>
          <w:color w:val="auto"/>
          <w:sz w:val="28"/>
          <w:szCs w:val="28"/>
        </w:rPr>
      </w:pPr>
      <w:r>
        <w:rPr>
          <w:rFonts w:hint="eastAsia" w:ascii="仿宋_GB2312" w:hAnsi="仿宋_GB2312" w:eastAsia="仿宋_GB2312" w:cs="仿宋_GB2312"/>
          <w:color w:val="auto"/>
          <w:szCs w:val="21"/>
          <w:u w:val="single"/>
        </w:rPr>
        <w:br w:type="page"/>
      </w:r>
      <w:r>
        <w:rPr>
          <w:rFonts w:hint="eastAsia" w:ascii="仿宋_GB2312" w:hAnsi="仿宋_GB2312" w:eastAsia="仿宋_GB2312" w:cs="仿宋_GB2312"/>
          <w:b/>
          <w:bCs/>
          <w:color w:val="auto"/>
          <w:sz w:val="28"/>
          <w:szCs w:val="28"/>
        </w:rPr>
        <w:t>格式7</w:t>
      </w:r>
      <w:bookmarkEnd w:id="74"/>
      <w:bookmarkEnd w:id="75"/>
    </w:p>
    <w:p>
      <w:pPr>
        <w:spacing w:before="319" w:beforeLines="100" w:after="319" w:afterLines="100" w:line="360" w:lineRule="auto"/>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具备履行合同所必需的设备和专业技术能力声明函</w:t>
      </w:r>
    </w:p>
    <w:p>
      <w:pPr>
        <w:spacing w:before="319" w:beforeLines="100" w:after="319" w:afterLines="100" w:line="480" w:lineRule="exact"/>
        <w:ind w:right="630" w:rightChars="300"/>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（格式自拟）</w:t>
      </w:r>
    </w:p>
    <w:p>
      <w:pPr>
        <w:spacing w:before="319" w:beforeLines="100" w:after="319" w:afterLines="100" w:line="480" w:lineRule="exact"/>
        <w:ind w:right="630" w:rightChars="300"/>
        <w:jc w:val="center"/>
        <w:rPr>
          <w:rFonts w:hint="eastAsia" w:ascii="仿宋_GB2312" w:hAnsi="仿宋_GB2312" w:eastAsia="仿宋_GB2312" w:cs="仿宋_GB2312"/>
          <w:b/>
          <w:color w:val="auto"/>
          <w:sz w:val="28"/>
          <w:szCs w:val="28"/>
        </w:rPr>
      </w:pPr>
    </w:p>
    <w:p>
      <w:pPr>
        <w:spacing w:before="319" w:beforeLines="100" w:after="319" w:afterLines="100" w:line="480" w:lineRule="exact"/>
        <w:ind w:right="630" w:rightChars="300"/>
        <w:jc w:val="center"/>
        <w:rPr>
          <w:rFonts w:hint="eastAsia" w:ascii="仿宋_GB2312" w:hAnsi="仿宋_GB2312" w:eastAsia="仿宋_GB2312" w:cs="仿宋_GB2312"/>
          <w:b/>
          <w:color w:val="auto"/>
          <w:sz w:val="28"/>
          <w:szCs w:val="28"/>
        </w:rPr>
      </w:pPr>
    </w:p>
    <w:p>
      <w:pPr>
        <w:spacing w:before="319" w:beforeLines="100" w:after="319" w:afterLines="100" w:line="480" w:lineRule="exact"/>
        <w:ind w:right="630" w:rightChars="300"/>
        <w:jc w:val="center"/>
        <w:rPr>
          <w:rFonts w:hint="eastAsia" w:ascii="仿宋_GB2312" w:hAnsi="仿宋_GB2312" w:eastAsia="仿宋_GB2312" w:cs="仿宋_GB2312"/>
          <w:b/>
          <w:color w:val="auto"/>
          <w:sz w:val="28"/>
          <w:szCs w:val="28"/>
        </w:rPr>
      </w:pPr>
    </w:p>
    <w:p>
      <w:pPr>
        <w:spacing w:before="319" w:beforeLines="100" w:after="319" w:afterLines="100" w:line="480" w:lineRule="exact"/>
        <w:ind w:right="630" w:rightChars="300"/>
        <w:jc w:val="center"/>
        <w:rPr>
          <w:rFonts w:hint="eastAsia" w:ascii="仿宋_GB2312" w:hAnsi="仿宋_GB2312" w:eastAsia="仿宋_GB2312" w:cs="仿宋_GB2312"/>
          <w:b/>
          <w:color w:val="auto"/>
          <w:sz w:val="28"/>
          <w:szCs w:val="28"/>
        </w:rPr>
      </w:pPr>
    </w:p>
    <w:p>
      <w:pPr>
        <w:spacing w:line="480" w:lineRule="auto"/>
        <w:rPr>
          <w:rFonts w:hint="eastAsia" w:ascii="仿宋_GB2312" w:hAnsi="仿宋_GB2312" w:eastAsia="仿宋_GB2312" w:cs="仿宋_GB2312"/>
          <w:color w:val="auto"/>
        </w:rPr>
      </w:pPr>
      <w:r>
        <w:rPr>
          <w:rFonts w:hint="eastAsia" w:ascii="仿宋_GB2312" w:hAnsi="仿宋_GB2312" w:eastAsia="仿宋_GB2312" w:cs="仿宋_GB2312"/>
          <w:color w:val="auto"/>
        </w:rPr>
        <w:t>供应商名称（加盖单位公章）：</w:t>
      </w:r>
      <w:r>
        <w:rPr>
          <w:rFonts w:hint="eastAsia" w:ascii="仿宋_GB2312" w:hAnsi="仿宋_GB2312" w:eastAsia="仿宋_GB2312" w:cs="仿宋_GB2312"/>
          <w:color w:val="auto"/>
          <w:u w:val="single"/>
        </w:rPr>
        <w:t xml:space="preserve">           </w:t>
      </w:r>
    </w:p>
    <w:p>
      <w:pPr>
        <w:spacing w:line="480" w:lineRule="auto"/>
        <w:rPr>
          <w:rFonts w:hint="eastAsia" w:ascii="仿宋_GB2312" w:hAnsi="仿宋_GB2312" w:eastAsia="仿宋_GB2312" w:cs="仿宋_GB2312"/>
          <w:color w:val="auto"/>
        </w:rPr>
      </w:pPr>
      <w:r>
        <w:rPr>
          <w:rFonts w:hint="eastAsia" w:ascii="仿宋_GB2312" w:hAnsi="仿宋_GB2312" w:eastAsia="仿宋_GB2312" w:cs="仿宋_GB2312"/>
          <w:color w:val="auto"/>
        </w:rPr>
        <w:t>法定代表人（或</w:t>
      </w:r>
      <w:r>
        <w:rPr>
          <w:rFonts w:hint="eastAsia" w:ascii="仿宋_GB2312" w:hAnsi="仿宋_GB2312" w:eastAsia="仿宋_GB2312" w:cs="仿宋_GB2312"/>
          <w:color w:val="auto"/>
          <w:szCs w:val="21"/>
        </w:rPr>
        <w:t>非法人组织负责人</w:t>
      </w:r>
      <w:r>
        <w:rPr>
          <w:rFonts w:hint="eastAsia" w:ascii="仿宋_GB2312" w:hAnsi="仿宋_GB2312" w:eastAsia="仿宋_GB2312" w:cs="仿宋_GB2312"/>
          <w:color w:val="auto"/>
        </w:rPr>
        <w:t>）</w:t>
      </w:r>
      <w:r>
        <w:rPr>
          <w:rFonts w:hint="eastAsia" w:ascii="仿宋_GB2312" w:hAnsi="仿宋_GB2312" w:eastAsia="仿宋_GB2312" w:cs="仿宋_GB2312"/>
          <w:color w:val="auto"/>
          <w:szCs w:val="21"/>
        </w:rPr>
        <w:t>或</w:t>
      </w:r>
      <w:r>
        <w:rPr>
          <w:rFonts w:hint="eastAsia" w:ascii="仿宋_GB2312" w:hAnsi="仿宋_GB2312" w:eastAsia="仿宋_GB2312" w:cs="仿宋_GB2312"/>
          <w:color w:val="auto"/>
        </w:rPr>
        <w:t xml:space="preserve">其授权委托人(签字或盖章)： </w:t>
      </w:r>
      <w:r>
        <w:rPr>
          <w:rFonts w:hint="eastAsia" w:ascii="仿宋_GB2312" w:hAnsi="仿宋_GB2312" w:eastAsia="仿宋_GB2312" w:cs="仿宋_GB2312"/>
          <w:color w:val="auto"/>
          <w:u w:val="single"/>
        </w:rPr>
        <w:t xml:space="preserve">         </w:t>
      </w:r>
    </w:p>
    <w:p>
      <w:pPr>
        <w:spacing w:line="480" w:lineRule="auto"/>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日期： </w:t>
      </w:r>
      <w:r>
        <w:rPr>
          <w:rFonts w:hint="eastAsia" w:ascii="仿宋_GB2312" w:hAnsi="仿宋_GB2312" w:eastAsia="仿宋_GB2312" w:cs="仿宋_GB2312"/>
          <w:color w:val="auto"/>
          <w:u w:val="single"/>
        </w:rPr>
        <w:t xml:space="preserve">             </w:t>
      </w:r>
    </w:p>
    <w:p>
      <w:pPr>
        <w:widowControl/>
        <w:jc w:val="left"/>
        <w:outlineLvl w:val="1"/>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color w:val="auto"/>
          <w:sz w:val="28"/>
          <w:szCs w:val="28"/>
        </w:rPr>
        <w:br w:type="page"/>
      </w:r>
      <w:bookmarkStart w:id="76" w:name="_Toc4485632"/>
      <w:bookmarkStart w:id="77" w:name="_Toc533340155"/>
      <w:r>
        <w:rPr>
          <w:rFonts w:hint="eastAsia" w:ascii="仿宋_GB2312" w:hAnsi="仿宋_GB2312" w:eastAsia="仿宋_GB2312" w:cs="仿宋_GB2312"/>
          <w:b/>
          <w:bCs/>
          <w:color w:val="auto"/>
          <w:sz w:val="28"/>
          <w:szCs w:val="28"/>
        </w:rPr>
        <w:t>格式8</w:t>
      </w:r>
      <w:bookmarkEnd w:id="76"/>
      <w:bookmarkEnd w:id="77"/>
    </w:p>
    <w:p>
      <w:pPr>
        <w:spacing w:before="319" w:beforeLines="100" w:after="319" w:afterLines="100" w:line="360" w:lineRule="auto"/>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 xml:space="preserve"> 参加政府采购活动前3年内在经营活动中没有重大违法记录的书面声明</w:t>
      </w:r>
    </w:p>
    <w:p>
      <w:pPr>
        <w:spacing w:before="159" w:beforeLines="50" w:after="159" w:afterLines="50" w:line="400" w:lineRule="exact"/>
        <w:ind w:right="630" w:rightChars="300"/>
        <w:rPr>
          <w:rFonts w:hint="eastAsia" w:ascii="仿宋_GB2312" w:hAnsi="仿宋_GB2312" w:eastAsia="仿宋_GB2312" w:cs="仿宋_GB2312"/>
          <w:color w:val="auto"/>
          <w:sz w:val="24"/>
        </w:rPr>
      </w:pPr>
    </w:p>
    <w:p>
      <w:pPr>
        <w:spacing w:line="360" w:lineRule="auto"/>
        <w:ind w:right="630" w:rightChars="300"/>
        <w:rPr>
          <w:rFonts w:hint="eastAsia" w:ascii="仿宋_GB2312" w:hAnsi="仿宋_GB2312" w:eastAsia="仿宋_GB2312" w:cs="仿宋_GB2312"/>
          <w:b/>
          <w:color w:val="auto"/>
          <w:szCs w:val="21"/>
        </w:rPr>
      </w:pPr>
      <w:r>
        <w:rPr>
          <w:rFonts w:hint="eastAsia" w:ascii="仿宋_GB2312" w:hAnsi="仿宋_GB2312" w:eastAsia="仿宋_GB2312" w:cs="仿宋_GB2312"/>
          <w:b/>
          <w:color w:val="auto"/>
          <w:szCs w:val="21"/>
          <w:u w:val="single"/>
        </w:rPr>
        <w:t xml:space="preserve">（采购人或采购代理机构名称） </w:t>
      </w:r>
      <w:r>
        <w:rPr>
          <w:rFonts w:hint="eastAsia" w:ascii="仿宋_GB2312" w:hAnsi="仿宋_GB2312" w:eastAsia="仿宋_GB2312" w:cs="仿宋_GB2312"/>
          <w:b/>
          <w:color w:val="auto"/>
          <w:szCs w:val="21"/>
        </w:rPr>
        <w:t xml:space="preserve"> ：</w:t>
      </w:r>
    </w:p>
    <w:p>
      <w:pPr>
        <w:spacing w:line="500" w:lineRule="exact"/>
        <w:ind w:right="-21" w:rightChars="-10" w:firstLine="493" w:firstLineChars="235"/>
        <w:rPr>
          <w:rFonts w:hint="eastAsia" w:ascii="仿宋_GB2312" w:hAnsi="仿宋_GB2312" w:eastAsia="仿宋_GB2312" w:cs="仿宋_GB2312"/>
          <w:color w:val="auto"/>
          <w:szCs w:val="21"/>
        </w:rPr>
      </w:pPr>
      <w:r>
        <w:rPr>
          <w:rFonts w:hint="eastAsia" w:ascii="仿宋_GB2312" w:hAnsi="仿宋_GB2312" w:eastAsia="仿宋_GB2312" w:cs="仿宋_GB2312"/>
          <w:bCs/>
          <w:color w:val="auto"/>
          <w:szCs w:val="21"/>
        </w:rPr>
        <w:t>在本项目提交响应文件截止时间前，</w:t>
      </w:r>
      <w:r>
        <w:rPr>
          <w:rFonts w:hint="eastAsia" w:ascii="仿宋_GB2312" w:hAnsi="仿宋_GB2312" w:eastAsia="仿宋_GB2312" w:cs="仿宋_GB2312"/>
          <w:color w:val="auto"/>
          <w:szCs w:val="21"/>
        </w:rPr>
        <w:t>我单位参加本次政府采购活动前3年内在经营活动中没有因违法经营受到刑事处罚或者责令停产停业、吊销许可证或者执照、较大数额罚款等行政处罚的重大违法记录；通过“信用中国”(网站：www.creditchina.gov.cn/)、“中国政府采购网”（网站www.ccgp.gov.cn）等渠道查询，我单位未被列入失信被执行人、重大税收违法案件当事人名单、政府采购严重违法失信行为记录名单。</w:t>
      </w:r>
    </w:p>
    <w:p>
      <w:pPr>
        <w:tabs>
          <w:tab w:val="left" w:pos="10065"/>
        </w:tabs>
        <w:spacing w:line="500" w:lineRule="exact"/>
        <w:ind w:right="-21" w:rightChars="-10" w:firstLine="371" w:firstLineChars="177"/>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如发现我单位提供的声明函不实时，我单位将按照《政府采购法》有关提供虚假材料的规定，接受处罚。</w:t>
      </w:r>
    </w:p>
    <w:p>
      <w:pPr>
        <w:spacing w:line="500" w:lineRule="exact"/>
        <w:ind w:right="1050" w:rightChars="500"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特此声明。</w:t>
      </w:r>
    </w:p>
    <w:p>
      <w:pPr>
        <w:spacing w:line="500" w:lineRule="exact"/>
        <w:ind w:right="1050" w:rightChars="500" w:firstLine="420" w:firstLineChars="200"/>
        <w:rPr>
          <w:rFonts w:hint="eastAsia" w:ascii="仿宋_GB2312" w:hAnsi="仿宋_GB2312" w:eastAsia="仿宋_GB2312" w:cs="仿宋_GB2312"/>
          <w:color w:val="auto"/>
          <w:szCs w:val="21"/>
        </w:rPr>
      </w:pPr>
    </w:p>
    <w:p>
      <w:pPr>
        <w:spacing w:before="159" w:beforeLines="50" w:after="159" w:afterLines="50" w:line="400" w:lineRule="exact"/>
        <w:ind w:right="1050" w:rightChars="500" w:firstLine="420" w:firstLineChars="200"/>
        <w:rPr>
          <w:rFonts w:hint="eastAsia" w:ascii="仿宋_GB2312" w:hAnsi="仿宋_GB2312" w:eastAsia="仿宋_GB2312" w:cs="仿宋_GB2312"/>
          <w:color w:val="auto"/>
          <w:szCs w:val="21"/>
        </w:rPr>
      </w:pPr>
    </w:p>
    <w:p>
      <w:pPr>
        <w:spacing w:before="159" w:beforeLines="50" w:after="159" w:afterLines="50" w:line="400" w:lineRule="exact"/>
        <w:ind w:right="1050" w:rightChars="500" w:firstLine="420" w:firstLineChars="200"/>
        <w:rPr>
          <w:rFonts w:hint="eastAsia" w:ascii="仿宋_GB2312" w:hAnsi="仿宋_GB2312" w:eastAsia="仿宋_GB2312" w:cs="仿宋_GB2312"/>
          <w:color w:val="auto"/>
          <w:szCs w:val="21"/>
        </w:rPr>
      </w:pPr>
    </w:p>
    <w:p>
      <w:pPr>
        <w:spacing w:line="360" w:lineRule="exact"/>
        <w:ind w:left="1050" w:leftChars="500" w:right="1050" w:rightChars="500" w:firstLine="420" w:firstLineChars="200"/>
        <w:rPr>
          <w:rFonts w:hint="eastAsia" w:ascii="仿宋_GB2312" w:hAnsi="仿宋_GB2312" w:eastAsia="仿宋_GB2312" w:cs="仿宋_GB2312"/>
          <w:color w:val="auto"/>
          <w:szCs w:val="21"/>
        </w:rPr>
      </w:pPr>
    </w:p>
    <w:p>
      <w:pPr>
        <w:spacing w:line="480" w:lineRule="auto"/>
        <w:rPr>
          <w:rFonts w:hint="eastAsia" w:ascii="仿宋_GB2312" w:hAnsi="仿宋_GB2312" w:eastAsia="仿宋_GB2312" w:cs="仿宋_GB2312"/>
          <w:color w:val="auto"/>
        </w:rPr>
      </w:pPr>
      <w:r>
        <w:rPr>
          <w:rFonts w:hint="eastAsia" w:ascii="仿宋_GB2312" w:hAnsi="仿宋_GB2312" w:eastAsia="仿宋_GB2312" w:cs="仿宋_GB2312"/>
          <w:color w:val="auto"/>
        </w:rPr>
        <w:t>供应商名称（加盖单位公章）：</w:t>
      </w:r>
      <w:r>
        <w:rPr>
          <w:rFonts w:hint="eastAsia" w:ascii="仿宋_GB2312" w:hAnsi="仿宋_GB2312" w:eastAsia="仿宋_GB2312" w:cs="仿宋_GB2312"/>
          <w:color w:val="auto"/>
          <w:u w:val="single"/>
        </w:rPr>
        <w:t xml:space="preserve">           </w:t>
      </w:r>
    </w:p>
    <w:p>
      <w:pPr>
        <w:spacing w:line="480" w:lineRule="auto"/>
        <w:rPr>
          <w:rFonts w:hint="eastAsia" w:ascii="仿宋_GB2312" w:hAnsi="仿宋_GB2312" w:eastAsia="仿宋_GB2312" w:cs="仿宋_GB2312"/>
          <w:color w:val="auto"/>
        </w:rPr>
      </w:pPr>
      <w:r>
        <w:rPr>
          <w:rFonts w:hint="eastAsia" w:ascii="仿宋_GB2312" w:hAnsi="仿宋_GB2312" w:eastAsia="仿宋_GB2312" w:cs="仿宋_GB2312"/>
          <w:color w:val="auto"/>
        </w:rPr>
        <w:t>法定代表人（或</w:t>
      </w:r>
      <w:r>
        <w:rPr>
          <w:rFonts w:hint="eastAsia" w:ascii="仿宋_GB2312" w:hAnsi="仿宋_GB2312" w:eastAsia="仿宋_GB2312" w:cs="仿宋_GB2312"/>
          <w:color w:val="auto"/>
          <w:szCs w:val="21"/>
        </w:rPr>
        <w:t>非法人组织负责人</w:t>
      </w:r>
      <w:r>
        <w:rPr>
          <w:rFonts w:hint="eastAsia" w:ascii="仿宋_GB2312" w:hAnsi="仿宋_GB2312" w:eastAsia="仿宋_GB2312" w:cs="仿宋_GB2312"/>
          <w:color w:val="auto"/>
        </w:rPr>
        <w:t>）</w:t>
      </w:r>
      <w:r>
        <w:rPr>
          <w:rFonts w:hint="eastAsia" w:ascii="仿宋_GB2312" w:hAnsi="仿宋_GB2312" w:eastAsia="仿宋_GB2312" w:cs="仿宋_GB2312"/>
          <w:color w:val="auto"/>
          <w:szCs w:val="21"/>
        </w:rPr>
        <w:t>或</w:t>
      </w:r>
      <w:r>
        <w:rPr>
          <w:rFonts w:hint="eastAsia" w:ascii="仿宋_GB2312" w:hAnsi="仿宋_GB2312" w:eastAsia="仿宋_GB2312" w:cs="仿宋_GB2312"/>
          <w:color w:val="auto"/>
        </w:rPr>
        <w:t xml:space="preserve">其授权委托人(签字或盖章)： </w:t>
      </w:r>
      <w:r>
        <w:rPr>
          <w:rFonts w:hint="eastAsia" w:ascii="仿宋_GB2312" w:hAnsi="仿宋_GB2312" w:eastAsia="仿宋_GB2312" w:cs="仿宋_GB2312"/>
          <w:color w:val="auto"/>
          <w:u w:val="single"/>
        </w:rPr>
        <w:t xml:space="preserve">         </w:t>
      </w:r>
    </w:p>
    <w:p>
      <w:pPr>
        <w:spacing w:line="480" w:lineRule="auto"/>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日期： </w:t>
      </w:r>
      <w:r>
        <w:rPr>
          <w:rFonts w:hint="eastAsia" w:ascii="仿宋_GB2312" w:hAnsi="仿宋_GB2312" w:eastAsia="仿宋_GB2312" w:cs="仿宋_GB2312"/>
          <w:color w:val="auto"/>
          <w:u w:val="single"/>
        </w:rPr>
        <w:t xml:space="preserve">             </w:t>
      </w:r>
    </w:p>
    <w:p>
      <w:pPr>
        <w:pStyle w:val="3"/>
        <w:adjustRightInd w:val="0"/>
        <w:snapToGrid w:val="0"/>
        <w:spacing w:line="240" w:lineRule="auto"/>
        <w:jc w:val="left"/>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Cs w:val="21"/>
        </w:rPr>
        <w:br w:type="page"/>
      </w:r>
      <w:bookmarkStart w:id="78" w:name="_Toc533340156"/>
      <w:bookmarkStart w:id="79" w:name="_Toc4485633"/>
      <w:r>
        <w:rPr>
          <w:rFonts w:hint="eastAsia" w:ascii="仿宋_GB2312" w:hAnsi="仿宋_GB2312" w:eastAsia="仿宋_GB2312" w:cs="仿宋_GB2312"/>
          <w:color w:val="auto"/>
          <w:sz w:val="28"/>
          <w:szCs w:val="28"/>
        </w:rPr>
        <w:t>格式</w:t>
      </w:r>
      <w:bookmarkEnd w:id="78"/>
      <w:bookmarkEnd w:id="79"/>
      <w:r>
        <w:rPr>
          <w:rFonts w:hint="eastAsia" w:ascii="仿宋_GB2312" w:hAnsi="仿宋_GB2312" w:eastAsia="仿宋_GB2312" w:cs="仿宋_GB2312"/>
          <w:color w:val="auto"/>
          <w:sz w:val="28"/>
          <w:szCs w:val="28"/>
          <w:lang w:val="en-US" w:eastAsia="zh-CN"/>
        </w:rPr>
        <w:t>9</w:t>
      </w:r>
    </w:p>
    <w:p>
      <w:pPr>
        <w:spacing w:before="319" w:beforeLines="100" w:after="319" w:afterLines="100" w:line="360" w:lineRule="auto"/>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响应函</w:t>
      </w:r>
    </w:p>
    <w:p>
      <w:pPr>
        <w:adjustRightInd w:val="0"/>
        <w:snapToGrid w:val="0"/>
        <w:spacing w:line="360" w:lineRule="auto"/>
        <w:ind w:right="630" w:rightChars="300"/>
        <w:rPr>
          <w:rFonts w:hint="eastAsia" w:ascii="仿宋_GB2312" w:hAnsi="仿宋_GB2312" w:eastAsia="仿宋_GB2312" w:cs="仿宋_GB2312"/>
          <w:color w:val="auto"/>
          <w:szCs w:val="21"/>
          <w:u w:val="single"/>
        </w:rPr>
      </w:pPr>
      <w:r>
        <w:rPr>
          <w:rFonts w:hint="eastAsia" w:ascii="仿宋_GB2312" w:hAnsi="仿宋_GB2312" w:eastAsia="仿宋_GB2312" w:cs="仿宋_GB2312"/>
          <w:color w:val="auto"/>
          <w:szCs w:val="21"/>
          <w:u w:val="single"/>
        </w:rPr>
        <w:t>（采购人或采购代理机构）：</w:t>
      </w:r>
    </w:p>
    <w:p>
      <w:pPr>
        <w:adjustRightInd w:val="0"/>
        <w:snapToGrid w:val="0"/>
        <w:spacing w:line="360" w:lineRule="auto"/>
        <w:ind w:right="-21" w:rightChars="-1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 xml:space="preserve">    根据贵方</w:t>
      </w:r>
      <w:r>
        <w:rPr>
          <w:rFonts w:hint="eastAsia" w:ascii="仿宋_GB2312" w:hAnsi="仿宋_GB2312" w:eastAsia="仿宋_GB2312" w:cs="仿宋_GB2312"/>
          <w:color w:val="auto"/>
          <w:szCs w:val="21"/>
          <w:u w:val="single"/>
        </w:rPr>
        <w:t xml:space="preserve">   (项目名称  )</w:t>
      </w:r>
      <w:r>
        <w:rPr>
          <w:rFonts w:hint="eastAsia" w:ascii="仿宋_GB2312" w:hAnsi="仿宋_GB2312" w:eastAsia="仿宋_GB2312" w:cs="仿宋_GB2312"/>
          <w:color w:val="auto"/>
          <w:szCs w:val="21"/>
        </w:rPr>
        <w:t>项目的</w:t>
      </w:r>
      <w:r>
        <w:rPr>
          <w:rFonts w:hint="eastAsia" w:ascii="仿宋_GB2312" w:hAnsi="仿宋_GB2312" w:eastAsia="仿宋_GB2312" w:cs="仿宋_GB2312"/>
          <w:color w:val="auto"/>
        </w:rPr>
        <w:t>采购公告</w:t>
      </w:r>
      <w:r>
        <w:rPr>
          <w:rFonts w:hint="eastAsia" w:ascii="仿宋_GB2312" w:hAnsi="仿宋_GB2312" w:eastAsia="仿宋_GB2312" w:cs="仿宋_GB2312"/>
          <w:color w:val="auto"/>
          <w:u w:val="single"/>
        </w:rPr>
        <w:t xml:space="preserve">  </w:t>
      </w:r>
      <w:r>
        <w:rPr>
          <w:rFonts w:hint="eastAsia" w:ascii="仿宋_GB2312" w:hAnsi="仿宋_GB2312" w:eastAsia="仿宋_GB2312" w:cs="仿宋_GB2312"/>
          <w:color w:val="auto"/>
          <w:szCs w:val="21"/>
          <w:u w:val="single"/>
        </w:rPr>
        <w:t>(项目编号  )</w:t>
      </w:r>
      <w:r>
        <w:rPr>
          <w:rFonts w:hint="eastAsia" w:ascii="仿宋_GB2312" w:hAnsi="仿宋_GB2312" w:eastAsia="仿宋_GB2312" w:cs="仿宋_GB2312"/>
          <w:color w:val="auto"/>
          <w:szCs w:val="21"/>
        </w:rPr>
        <w:t>,签字代表</w:t>
      </w:r>
      <w:r>
        <w:rPr>
          <w:rFonts w:hint="eastAsia" w:ascii="仿宋_GB2312" w:hAnsi="仿宋_GB2312" w:eastAsia="仿宋_GB2312" w:cs="仿宋_GB2312"/>
          <w:color w:val="auto"/>
          <w:szCs w:val="21"/>
          <w:u w:val="single"/>
        </w:rPr>
        <w:t xml:space="preserve">  (姓名、职务)</w:t>
      </w:r>
      <w:r>
        <w:rPr>
          <w:rFonts w:hint="eastAsia" w:ascii="仿宋_GB2312" w:hAnsi="仿宋_GB2312" w:eastAsia="仿宋_GB2312" w:cs="仿宋_GB2312"/>
          <w:color w:val="auto"/>
          <w:szCs w:val="21"/>
        </w:rPr>
        <w:t>经正式授权并代表供应商</w:t>
      </w:r>
      <w:r>
        <w:rPr>
          <w:rFonts w:hint="eastAsia" w:ascii="仿宋_GB2312" w:hAnsi="仿宋_GB2312" w:eastAsia="仿宋_GB2312" w:cs="仿宋_GB2312"/>
          <w:color w:val="auto"/>
          <w:szCs w:val="21"/>
          <w:u w:val="single"/>
        </w:rPr>
        <w:t>（名称、地址）</w:t>
      </w:r>
      <w:r>
        <w:rPr>
          <w:rFonts w:hint="eastAsia" w:ascii="仿宋_GB2312" w:hAnsi="仿宋_GB2312" w:eastAsia="仿宋_GB2312" w:cs="仿宋_GB2312"/>
          <w:color w:val="auto"/>
          <w:szCs w:val="21"/>
          <w:u w:val="none"/>
        </w:rPr>
        <w:t>线上提交下述文件正本1份</w:t>
      </w:r>
      <w:r>
        <w:rPr>
          <w:rFonts w:hint="eastAsia" w:ascii="仿宋_GB2312" w:hAnsi="仿宋_GB2312" w:eastAsia="仿宋_GB2312" w:cs="仿宋_GB2312"/>
          <w:color w:val="auto"/>
          <w:szCs w:val="21"/>
        </w:rPr>
        <w:t>。</w:t>
      </w:r>
    </w:p>
    <w:p>
      <w:pPr>
        <w:adjustRightInd w:val="0"/>
        <w:snapToGrid w:val="0"/>
        <w:spacing w:line="360" w:lineRule="auto"/>
        <w:ind w:right="-21" w:rightChars="-10"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据此，签字代表宣布同意如下：</w:t>
      </w:r>
    </w:p>
    <w:p>
      <w:pPr>
        <w:adjustRightInd w:val="0"/>
        <w:snapToGrid w:val="0"/>
        <w:spacing w:line="360" w:lineRule="auto"/>
        <w:ind w:right="-21" w:rightChars="-10"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（1）本项目响应总价详见报价一览表。</w:t>
      </w:r>
    </w:p>
    <w:p>
      <w:pPr>
        <w:adjustRightInd w:val="0"/>
        <w:snapToGrid w:val="0"/>
        <w:spacing w:line="360" w:lineRule="auto"/>
        <w:ind w:right="-21" w:rightChars="-10"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（2）本响应有效期为自递交响应文件截止之日起</w:t>
      </w:r>
      <w:r>
        <w:rPr>
          <w:rFonts w:hint="eastAsia" w:ascii="仿宋_GB2312" w:hAnsi="仿宋_GB2312" w:eastAsia="仿宋_GB2312" w:cs="仿宋_GB2312"/>
          <w:color w:val="auto"/>
          <w:szCs w:val="21"/>
          <w:u w:val="single"/>
        </w:rPr>
        <w:t>90</w:t>
      </w:r>
      <w:r>
        <w:rPr>
          <w:rFonts w:hint="eastAsia" w:ascii="仿宋_GB2312" w:hAnsi="仿宋_GB2312" w:eastAsia="仿宋_GB2312" w:cs="仿宋_GB2312"/>
          <w:color w:val="auto"/>
          <w:szCs w:val="21"/>
        </w:rPr>
        <w:t>日历日。</w:t>
      </w:r>
    </w:p>
    <w:p>
      <w:pPr>
        <w:adjustRightInd w:val="0"/>
        <w:snapToGrid w:val="0"/>
        <w:spacing w:line="360" w:lineRule="auto"/>
        <w:ind w:right="-21" w:rightChars="-10"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（3）已详细审查全部采购文件，包括所有补充通知（如果有的话）。</w:t>
      </w:r>
    </w:p>
    <w:p>
      <w:pPr>
        <w:adjustRightInd w:val="0"/>
        <w:snapToGrid w:val="0"/>
        <w:spacing w:line="360" w:lineRule="auto"/>
        <w:ind w:right="-21" w:rightChars="-10"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（4）在规定的磋商时间后，遵守采购文件中有关保证金的规定。</w:t>
      </w:r>
    </w:p>
    <w:p>
      <w:pPr>
        <w:adjustRightInd w:val="0"/>
        <w:snapToGrid w:val="0"/>
        <w:spacing w:line="360" w:lineRule="auto"/>
        <w:ind w:right="-21" w:rightChars="-10"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（5）我方不是为本项目提供整体设计、规范编制或者项目管理、监理、检测等服务的供应商，我方不是采购代理机构的附属机构。</w:t>
      </w:r>
    </w:p>
    <w:p>
      <w:pPr>
        <w:adjustRightInd w:val="0"/>
        <w:snapToGrid w:val="0"/>
        <w:spacing w:line="360" w:lineRule="auto"/>
        <w:ind w:right="-21" w:rightChars="-10"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（6）在领取成交通知书的同时按采购文件规定的形式，向采购代理机构一次性支付采购代理服务费（适用于成交供应商支付采购代理服务费情形）。</w:t>
      </w:r>
    </w:p>
    <w:p>
      <w:pPr>
        <w:adjustRightInd w:val="0"/>
        <w:snapToGrid w:val="0"/>
        <w:spacing w:line="360" w:lineRule="auto"/>
        <w:ind w:right="-21" w:rightChars="-10"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（7）按照贵方要求，提供与其响应有关的一切数据或资料，完全理解贵方不一定接受最低价的响应。</w:t>
      </w:r>
    </w:p>
    <w:p>
      <w:pPr>
        <w:adjustRightInd w:val="0"/>
        <w:snapToGrid w:val="0"/>
        <w:spacing w:line="360" w:lineRule="auto"/>
        <w:ind w:right="-21" w:rightChars="-10"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（8）按照采购文件的规定履行合同责任和义务。</w:t>
      </w:r>
    </w:p>
    <w:p>
      <w:pPr>
        <w:adjustRightInd w:val="0"/>
        <w:snapToGrid w:val="0"/>
        <w:spacing w:line="360" w:lineRule="auto"/>
        <w:ind w:right="-21" w:rightChars="-10"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（9）我方承诺响应文件中的证明材料真实、合法、有效。</w:t>
      </w:r>
    </w:p>
    <w:p>
      <w:pPr>
        <w:tabs>
          <w:tab w:val="left" w:pos="10467"/>
        </w:tabs>
        <w:adjustRightInd w:val="0"/>
        <w:snapToGrid w:val="0"/>
        <w:spacing w:line="360" w:lineRule="auto"/>
        <w:ind w:right="1050" w:rightChars="500"/>
        <w:rPr>
          <w:rFonts w:hint="eastAsia" w:ascii="仿宋_GB2312" w:hAnsi="仿宋_GB2312" w:eastAsia="仿宋_GB2312" w:cs="仿宋_GB2312"/>
          <w:color w:val="auto"/>
          <w:szCs w:val="21"/>
        </w:rPr>
      </w:pPr>
    </w:p>
    <w:p>
      <w:pPr>
        <w:tabs>
          <w:tab w:val="left" w:pos="10467"/>
        </w:tabs>
        <w:adjustRightInd w:val="0"/>
        <w:snapToGrid w:val="0"/>
        <w:spacing w:line="360" w:lineRule="auto"/>
        <w:ind w:right="1050" w:rightChars="500"/>
        <w:rPr>
          <w:rFonts w:hint="eastAsia" w:ascii="仿宋_GB2312" w:hAnsi="仿宋_GB2312" w:eastAsia="仿宋_GB2312" w:cs="仿宋_GB2312"/>
          <w:color w:val="auto"/>
          <w:szCs w:val="21"/>
        </w:rPr>
      </w:pPr>
    </w:p>
    <w:p>
      <w:pPr>
        <w:tabs>
          <w:tab w:val="left" w:pos="10467"/>
        </w:tabs>
        <w:adjustRightInd w:val="0"/>
        <w:snapToGrid w:val="0"/>
        <w:spacing w:line="360" w:lineRule="auto"/>
        <w:ind w:right="1050" w:rightChars="500"/>
        <w:rPr>
          <w:rFonts w:hint="eastAsia" w:ascii="仿宋_GB2312" w:hAnsi="仿宋_GB2312" w:eastAsia="仿宋_GB2312" w:cs="仿宋_GB2312"/>
          <w:color w:val="auto"/>
          <w:szCs w:val="21"/>
        </w:rPr>
      </w:pPr>
    </w:p>
    <w:p>
      <w:pPr>
        <w:tabs>
          <w:tab w:val="left" w:pos="10467"/>
        </w:tabs>
        <w:adjustRightInd w:val="0"/>
        <w:snapToGrid w:val="0"/>
        <w:spacing w:line="360" w:lineRule="auto"/>
        <w:ind w:right="1050" w:rightChars="5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与本项目有关的一切往来通讯请寄</w:t>
      </w:r>
    </w:p>
    <w:p>
      <w:pPr>
        <w:tabs>
          <w:tab w:val="left" w:pos="10467"/>
        </w:tabs>
        <w:adjustRightInd w:val="0"/>
        <w:snapToGrid w:val="0"/>
        <w:spacing w:line="360" w:lineRule="auto"/>
        <w:ind w:right="-21" w:rightChars="-10"/>
        <w:rPr>
          <w:rFonts w:hint="eastAsia" w:ascii="仿宋_GB2312" w:hAnsi="仿宋_GB2312" w:eastAsia="仿宋_GB2312" w:cs="仿宋_GB2312"/>
          <w:color w:val="auto"/>
          <w:szCs w:val="21"/>
          <w:u w:val="single"/>
        </w:rPr>
      </w:pPr>
      <w:r>
        <w:rPr>
          <w:rFonts w:hint="eastAsia" w:ascii="仿宋_GB2312" w:hAnsi="仿宋_GB2312" w:eastAsia="仿宋_GB2312" w:cs="仿宋_GB2312"/>
          <w:color w:val="auto"/>
          <w:szCs w:val="21"/>
        </w:rPr>
        <w:t>地    址：</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 xml:space="preserve">     传    真：</w:t>
      </w:r>
      <w:r>
        <w:rPr>
          <w:rFonts w:hint="eastAsia" w:ascii="仿宋_GB2312" w:hAnsi="仿宋_GB2312" w:eastAsia="仿宋_GB2312" w:cs="仿宋_GB2312"/>
          <w:color w:val="auto"/>
          <w:szCs w:val="21"/>
          <w:u w:val="single"/>
        </w:rPr>
        <w:t xml:space="preserve">                     </w:t>
      </w:r>
    </w:p>
    <w:p>
      <w:pPr>
        <w:tabs>
          <w:tab w:val="left" w:pos="10467"/>
        </w:tabs>
        <w:adjustRightInd w:val="0"/>
        <w:snapToGrid w:val="0"/>
        <w:spacing w:line="360" w:lineRule="auto"/>
        <w:ind w:right="-21" w:rightChars="-1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电    话：</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 xml:space="preserve">     电子邮件：</w:t>
      </w:r>
      <w:r>
        <w:rPr>
          <w:rFonts w:hint="eastAsia" w:ascii="仿宋_GB2312" w:hAnsi="仿宋_GB2312" w:eastAsia="仿宋_GB2312" w:cs="仿宋_GB2312"/>
          <w:color w:val="auto"/>
          <w:szCs w:val="21"/>
          <w:u w:val="single"/>
        </w:rPr>
        <w:t xml:space="preserve">                     </w:t>
      </w:r>
    </w:p>
    <w:p>
      <w:pPr>
        <w:tabs>
          <w:tab w:val="left" w:pos="10467"/>
        </w:tabs>
        <w:adjustRightInd w:val="0"/>
        <w:snapToGrid w:val="0"/>
        <w:spacing w:line="360" w:lineRule="auto"/>
        <w:ind w:right="260" w:rightChars="124"/>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法定代表人（非法人组织负责人）或其授权委托人</w:t>
      </w:r>
      <w:r>
        <w:rPr>
          <w:rFonts w:hint="eastAsia" w:ascii="仿宋_GB2312" w:hAnsi="仿宋_GB2312" w:eastAsia="仿宋_GB2312" w:cs="仿宋_GB2312"/>
          <w:color w:val="auto"/>
        </w:rPr>
        <w:t>(签字或盖章)</w:t>
      </w:r>
      <w:r>
        <w:rPr>
          <w:rFonts w:hint="eastAsia" w:ascii="仿宋_GB2312" w:hAnsi="仿宋_GB2312" w:eastAsia="仿宋_GB2312" w:cs="仿宋_GB2312"/>
          <w:color w:val="auto"/>
          <w:szCs w:val="21"/>
        </w:rPr>
        <w:t>：</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 xml:space="preserve"> </w:t>
      </w:r>
    </w:p>
    <w:p>
      <w:pPr>
        <w:tabs>
          <w:tab w:val="left" w:pos="10467"/>
        </w:tabs>
        <w:adjustRightInd w:val="0"/>
        <w:snapToGrid w:val="0"/>
        <w:spacing w:line="360" w:lineRule="auto"/>
        <w:ind w:right="260" w:rightChars="124"/>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供应商名称（加盖单位公章）：</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 xml:space="preserve"> </w:t>
      </w:r>
    </w:p>
    <w:p>
      <w:pPr>
        <w:tabs>
          <w:tab w:val="left" w:pos="10467"/>
        </w:tabs>
        <w:adjustRightInd w:val="0"/>
        <w:snapToGrid w:val="0"/>
        <w:spacing w:line="360" w:lineRule="auto"/>
        <w:ind w:right="260" w:rightChars="124"/>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供应商开户银行（全称）：</w:t>
      </w:r>
      <w:r>
        <w:rPr>
          <w:rFonts w:hint="eastAsia" w:ascii="仿宋_GB2312" w:hAnsi="仿宋_GB2312" w:eastAsia="仿宋_GB2312" w:cs="仿宋_GB2312"/>
          <w:color w:val="auto"/>
          <w:szCs w:val="21"/>
          <w:u w:val="single"/>
        </w:rPr>
        <w:t xml:space="preserve">         </w:t>
      </w:r>
    </w:p>
    <w:p>
      <w:pPr>
        <w:tabs>
          <w:tab w:val="left" w:pos="10467"/>
        </w:tabs>
        <w:adjustRightInd w:val="0"/>
        <w:snapToGrid w:val="0"/>
        <w:spacing w:line="360" w:lineRule="auto"/>
        <w:ind w:right="260" w:rightChars="124"/>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供应商银行帐号：</w:t>
      </w:r>
      <w:r>
        <w:rPr>
          <w:rFonts w:hint="eastAsia" w:ascii="仿宋_GB2312" w:hAnsi="仿宋_GB2312" w:eastAsia="仿宋_GB2312" w:cs="仿宋_GB2312"/>
          <w:color w:val="auto"/>
          <w:szCs w:val="21"/>
          <w:u w:val="single"/>
        </w:rPr>
        <w:t xml:space="preserve">                 </w:t>
      </w:r>
    </w:p>
    <w:p>
      <w:pPr>
        <w:adjustRightInd w:val="0"/>
        <w:snapToGrid w:val="0"/>
        <w:spacing w:line="360" w:lineRule="auto"/>
        <w:ind w:right="1050" w:rightChars="5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日    期：</w:t>
      </w:r>
      <w:r>
        <w:rPr>
          <w:rFonts w:hint="eastAsia" w:ascii="仿宋_GB2312" w:hAnsi="仿宋_GB2312" w:eastAsia="仿宋_GB2312" w:cs="仿宋_GB2312"/>
          <w:color w:val="auto"/>
          <w:szCs w:val="21"/>
          <w:u w:val="single"/>
        </w:rPr>
        <w:t xml:space="preserve">                       </w:t>
      </w:r>
    </w:p>
    <w:p>
      <w:pPr>
        <w:tabs>
          <w:tab w:val="left" w:pos="10467"/>
        </w:tabs>
        <w:adjustRightInd w:val="0"/>
        <w:snapToGrid w:val="0"/>
        <w:spacing w:line="360" w:lineRule="auto"/>
        <w:ind w:right="1050" w:rightChars="500"/>
        <w:rPr>
          <w:rFonts w:hint="eastAsia" w:ascii="仿宋_GB2312" w:hAnsi="仿宋_GB2312" w:eastAsia="仿宋_GB2312" w:cs="仿宋_GB2312"/>
          <w:color w:val="auto"/>
          <w:szCs w:val="21"/>
        </w:rPr>
      </w:pPr>
    </w:p>
    <w:p>
      <w:pPr>
        <w:pStyle w:val="3"/>
        <w:adjustRightInd w:val="0"/>
        <w:snapToGrid w:val="0"/>
        <w:spacing w:line="240" w:lineRule="auto"/>
        <w:jc w:val="left"/>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Cs w:val="21"/>
        </w:rPr>
        <w:br w:type="page"/>
      </w:r>
      <w:bookmarkStart w:id="80" w:name="_Toc533340158"/>
      <w:bookmarkStart w:id="81" w:name="_Toc4485634"/>
      <w:r>
        <w:rPr>
          <w:rFonts w:hint="eastAsia" w:ascii="仿宋_GB2312" w:hAnsi="仿宋_GB2312" w:eastAsia="仿宋_GB2312" w:cs="仿宋_GB2312"/>
          <w:color w:val="auto"/>
          <w:sz w:val="28"/>
          <w:szCs w:val="28"/>
        </w:rPr>
        <w:t>格式1</w:t>
      </w:r>
      <w:bookmarkEnd w:id="80"/>
      <w:bookmarkEnd w:id="81"/>
      <w:r>
        <w:rPr>
          <w:rFonts w:hint="eastAsia" w:ascii="仿宋_GB2312" w:hAnsi="仿宋_GB2312" w:eastAsia="仿宋_GB2312" w:cs="仿宋_GB2312"/>
          <w:color w:val="auto"/>
          <w:sz w:val="28"/>
          <w:szCs w:val="28"/>
          <w:lang w:val="en-US" w:eastAsia="zh-CN"/>
        </w:rPr>
        <w:t>0</w:t>
      </w:r>
    </w:p>
    <w:p>
      <w:pPr>
        <w:spacing w:before="319" w:beforeLines="100" w:after="319" w:afterLines="100" w:line="360" w:lineRule="auto"/>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报价一览表</w:t>
      </w:r>
    </w:p>
    <w:p>
      <w:pPr>
        <w:adjustRightInd w:val="0"/>
        <w:snapToGrid w:val="0"/>
        <w:spacing w:line="360" w:lineRule="auto"/>
        <w:ind w:right="105" w:rightChars="50"/>
        <w:jc w:val="left"/>
        <w:rPr>
          <w:rFonts w:hint="eastAsia"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包号：                                                      报价单位：</w:t>
      </w:r>
    </w:p>
    <w:tbl>
      <w:tblPr>
        <w:tblStyle w:val="28"/>
        <w:tblW w:w="8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1718"/>
        <w:gridCol w:w="1515"/>
        <w:gridCol w:w="1588"/>
        <w:gridCol w:w="1449"/>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1485" w:type="dxa"/>
            <w:noWrap w:val="0"/>
            <w:vAlign w:val="center"/>
          </w:tcPr>
          <w:p>
            <w:pPr>
              <w:adjustRightInd w:val="0"/>
              <w:snapToGrid w:val="0"/>
              <w:ind w:left="-82" w:leftChars="-39" w:right="-46" w:rightChars="-22"/>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服务名称</w:t>
            </w:r>
          </w:p>
        </w:tc>
        <w:tc>
          <w:tcPr>
            <w:tcW w:w="1718" w:type="dxa"/>
            <w:noWrap w:val="0"/>
            <w:vAlign w:val="center"/>
          </w:tcPr>
          <w:p>
            <w:pPr>
              <w:adjustRightInd w:val="0"/>
              <w:snapToGrid w:val="0"/>
              <w:ind w:left="-82" w:leftChars="-39" w:right="-46" w:rightChars="-22"/>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响应总价</w:t>
            </w:r>
          </w:p>
        </w:tc>
        <w:tc>
          <w:tcPr>
            <w:tcW w:w="1515" w:type="dxa"/>
            <w:noWrap w:val="0"/>
            <w:vAlign w:val="center"/>
          </w:tcPr>
          <w:p>
            <w:pPr>
              <w:adjustRightInd w:val="0"/>
              <w:snapToGrid w:val="0"/>
              <w:ind w:left="-82" w:leftChars="-39" w:right="-46" w:rightChars="-22"/>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磋商保证金</w:t>
            </w:r>
          </w:p>
        </w:tc>
        <w:tc>
          <w:tcPr>
            <w:tcW w:w="1588" w:type="dxa"/>
            <w:noWrap w:val="0"/>
            <w:vAlign w:val="center"/>
          </w:tcPr>
          <w:p>
            <w:pPr>
              <w:adjustRightInd w:val="0"/>
              <w:snapToGrid w:val="0"/>
              <w:ind w:left="-82" w:leftChars="-39" w:right="-46" w:rightChars="-22"/>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履约期限</w:t>
            </w:r>
          </w:p>
        </w:tc>
        <w:tc>
          <w:tcPr>
            <w:tcW w:w="1449" w:type="dxa"/>
            <w:noWrap w:val="0"/>
            <w:vAlign w:val="center"/>
          </w:tcPr>
          <w:p>
            <w:pPr>
              <w:adjustRightInd w:val="0"/>
              <w:snapToGrid w:val="0"/>
              <w:ind w:left="-82" w:leftChars="-39" w:right="-46" w:rightChars="-22"/>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履约地点</w:t>
            </w:r>
          </w:p>
        </w:tc>
        <w:tc>
          <w:tcPr>
            <w:tcW w:w="1100" w:type="dxa"/>
            <w:noWrap w:val="0"/>
            <w:vAlign w:val="center"/>
          </w:tcPr>
          <w:p>
            <w:pPr>
              <w:adjustRightInd w:val="0"/>
              <w:snapToGrid w:val="0"/>
              <w:ind w:left="-82" w:leftChars="-39" w:right="-46" w:rightChars="-22"/>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jc w:val="center"/>
        </w:trPr>
        <w:tc>
          <w:tcPr>
            <w:tcW w:w="1485" w:type="dxa"/>
            <w:noWrap w:val="0"/>
            <w:vAlign w:val="center"/>
          </w:tcPr>
          <w:p>
            <w:pPr>
              <w:adjustRightInd w:val="0"/>
              <w:snapToGrid w:val="0"/>
              <w:ind w:left="-82" w:leftChars="-39" w:right="-46" w:rightChars="-22"/>
              <w:jc w:val="center"/>
              <w:rPr>
                <w:rFonts w:hint="eastAsia" w:ascii="仿宋_GB2312" w:hAnsi="仿宋_GB2312" w:eastAsia="仿宋_GB2312" w:cs="仿宋_GB2312"/>
                <w:color w:val="auto"/>
                <w:szCs w:val="21"/>
              </w:rPr>
            </w:pPr>
          </w:p>
        </w:tc>
        <w:tc>
          <w:tcPr>
            <w:tcW w:w="1718" w:type="dxa"/>
            <w:noWrap w:val="0"/>
            <w:vAlign w:val="center"/>
          </w:tcPr>
          <w:p>
            <w:pPr>
              <w:adjustRightInd w:val="0"/>
              <w:snapToGrid w:val="0"/>
              <w:ind w:left="-82" w:leftChars="-39" w:right="-46" w:rightChars="-22"/>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小写：</w:t>
            </w:r>
          </w:p>
          <w:p>
            <w:pPr>
              <w:adjustRightInd w:val="0"/>
              <w:snapToGrid w:val="0"/>
              <w:ind w:left="-82" w:leftChars="-39" w:right="-46" w:rightChars="-22"/>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大写：</w:t>
            </w:r>
          </w:p>
        </w:tc>
        <w:tc>
          <w:tcPr>
            <w:tcW w:w="1515" w:type="dxa"/>
            <w:noWrap w:val="0"/>
            <w:vAlign w:val="center"/>
          </w:tcPr>
          <w:p>
            <w:pPr>
              <w:adjustRightInd w:val="0"/>
              <w:snapToGrid w:val="0"/>
              <w:ind w:left="-82" w:leftChars="-39" w:right="-46" w:rightChars="-22"/>
              <w:jc w:val="center"/>
              <w:rPr>
                <w:rFonts w:hint="eastAsia" w:ascii="仿宋_GB2312" w:hAnsi="仿宋_GB2312" w:eastAsia="仿宋_GB2312" w:cs="仿宋_GB2312"/>
                <w:color w:val="auto"/>
                <w:szCs w:val="21"/>
              </w:rPr>
            </w:pPr>
          </w:p>
        </w:tc>
        <w:tc>
          <w:tcPr>
            <w:tcW w:w="1588" w:type="dxa"/>
            <w:noWrap w:val="0"/>
            <w:vAlign w:val="center"/>
          </w:tcPr>
          <w:p>
            <w:pPr>
              <w:adjustRightInd w:val="0"/>
              <w:snapToGrid w:val="0"/>
              <w:ind w:left="-82" w:leftChars="-39" w:right="-46" w:rightChars="-22"/>
              <w:jc w:val="center"/>
              <w:rPr>
                <w:rFonts w:hint="eastAsia" w:ascii="仿宋_GB2312" w:hAnsi="仿宋_GB2312" w:eastAsia="仿宋_GB2312" w:cs="仿宋_GB2312"/>
                <w:color w:val="auto"/>
                <w:szCs w:val="21"/>
              </w:rPr>
            </w:pPr>
          </w:p>
        </w:tc>
        <w:tc>
          <w:tcPr>
            <w:tcW w:w="1449" w:type="dxa"/>
            <w:noWrap w:val="0"/>
            <w:vAlign w:val="center"/>
          </w:tcPr>
          <w:p>
            <w:pPr>
              <w:adjustRightInd w:val="0"/>
              <w:snapToGrid w:val="0"/>
              <w:ind w:left="-82" w:leftChars="-39" w:right="-46" w:rightChars="-22"/>
              <w:jc w:val="center"/>
              <w:rPr>
                <w:rFonts w:hint="eastAsia" w:ascii="仿宋_GB2312" w:hAnsi="仿宋_GB2312" w:eastAsia="仿宋_GB2312" w:cs="仿宋_GB2312"/>
                <w:color w:val="auto"/>
                <w:szCs w:val="21"/>
              </w:rPr>
            </w:pPr>
          </w:p>
        </w:tc>
        <w:tc>
          <w:tcPr>
            <w:tcW w:w="1100" w:type="dxa"/>
            <w:noWrap w:val="0"/>
            <w:vAlign w:val="center"/>
          </w:tcPr>
          <w:p>
            <w:pPr>
              <w:adjustRightInd w:val="0"/>
              <w:snapToGrid w:val="0"/>
              <w:ind w:left="-82" w:leftChars="-39" w:right="-46" w:rightChars="-22"/>
              <w:jc w:val="center"/>
              <w:rPr>
                <w:rFonts w:hint="eastAsia" w:ascii="仿宋_GB2312" w:hAnsi="仿宋_GB2312" w:eastAsia="仿宋_GB2312" w:cs="仿宋_GB2312"/>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3203" w:type="dxa"/>
            <w:gridSpan w:val="2"/>
            <w:noWrap w:val="0"/>
            <w:vAlign w:val="center"/>
          </w:tcPr>
          <w:p>
            <w:pPr>
              <w:adjustRightInd w:val="0"/>
              <w:snapToGrid w:val="0"/>
              <w:ind w:right="-107" w:rightChars="-51"/>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最后报价</w:t>
            </w:r>
          </w:p>
        </w:tc>
        <w:tc>
          <w:tcPr>
            <w:tcW w:w="5652" w:type="dxa"/>
            <w:gridSpan w:val="4"/>
            <w:noWrap w:val="0"/>
            <w:vAlign w:val="center"/>
          </w:tcPr>
          <w:p>
            <w:pPr>
              <w:adjustRightInd w:val="0"/>
              <w:snapToGrid w:val="0"/>
              <w:ind w:right="-107" w:rightChars="-51"/>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现场填报</w:t>
            </w:r>
          </w:p>
        </w:tc>
      </w:tr>
    </w:tbl>
    <w:p>
      <w:pPr>
        <w:adjustRightInd w:val="0"/>
        <w:snapToGrid w:val="0"/>
        <w:spacing w:line="360" w:lineRule="auto"/>
        <w:ind w:right="105" w:rightChars="50"/>
        <w:jc w:val="left"/>
        <w:rPr>
          <w:rFonts w:hint="eastAsia" w:ascii="仿宋_GB2312" w:hAnsi="仿宋_GB2312" w:eastAsia="仿宋_GB2312" w:cs="仿宋_GB2312"/>
          <w:color w:val="auto"/>
          <w:szCs w:val="21"/>
        </w:rPr>
      </w:pPr>
    </w:p>
    <w:p>
      <w:pPr>
        <w:adjustRightInd w:val="0"/>
        <w:snapToGrid w:val="0"/>
        <w:spacing w:line="360" w:lineRule="auto"/>
        <w:ind w:right="105" w:rightChars="50"/>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注：1、此表中，响应总价应和服务价格明细表的总价相一致。</w:t>
      </w:r>
    </w:p>
    <w:p>
      <w:pPr>
        <w:adjustRightInd w:val="0"/>
        <w:snapToGrid w:val="0"/>
        <w:spacing w:line="360" w:lineRule="auto"/>
        <w:ind w:right="105" w:rightChars="50" w:firstLine="420" w:firstLineChars="200"/>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2、供应商应按磋商小组要求，在规定时间内提交最后报价（现场填报）。</w:t>
      </w:r>
    </w:p>
    <w:p>
      <w:pPr>
        <w:adjustRightInd w:val="0"/>
        <w:snapToGrid w:val="0"/>
        <w:spacing w:line="360" w:lineRule="auto"/>
        <w:ind w:right="105" w:rightChars="50"/>
        <w:jc w:val="left"/>
        <w:rPr>
          <w:rFonts w:hint="eastAsia" w:ascii="仿宋_GB2312" w:hAnsi="仿宋_GB2312" w:eastAsia="仿宋_GB2312" w:cs="仿宋_GB2312"/>
          <w:color w:val="auto"/>
          <w:szCs w:val="21"/>
        </w:rPr>
      </w:pPr>
    </w:p>
    <w:p>
      <w:pPr>
        <w:adjustRightInd w:val="0"/>
        <w:snapToGrid w:val="0"/>
        <w:spacing w:line="360" w:lineRule="auto"/>
        <w:ind w:right="105" w:rightChars="50"/>
        <w:jc w:val="left"/>
        <w:rPr>
          <w:rFonts w:hint="eastAsia" w:ascii="仿宋_GB2312" w:hAnsi="仿宋_GB2312" w:eastAsia="仿宋_GB2312" w:cs="仿宋_GB2312"/>
          <w:color w:val="auto"/>
          <w:szCs w:val="21"/>
        </w:rPr>
      </w:pPr>
    </w:p>
    <w:p>
      <w:pPr>
        <w:adjustRightInd w:val="0"/>
        <w:snapToGrid w:val="0"/>
        <w:spacing w:line="360" w:lineRule="auto"/>
        <w:ind w:right="105" w:rightChars="50"/>
        <w:jc w:val="left"/>
        <w:rPr>
          <w:rFonts w:hint="eastAsia" w:ascii="仿宋_GB2312" w:hAnsi="仿宋_GB2312" w:eastAsia="仿宋_GB2312" w:cs="仿宋_GB2312"/>
          <w:color w:val="auto"/>
          <w:szCs w:val="21"/>
        </w:rPr>
      </w:pPr>
    </w:p>
    <w:p>
      <w:pPr>
        <w:adjustRightInd w:val="0"/>
        <w:snapToGrid w:val="0"/>
        <w:spacing w:line="360" w:lineRule="auto"/>
        <w:ind w:right="105" w:rightChars="50"/>
        <w:jc w:val="left"/>
        <w:rPr>
          <w:rFonts w:hint="eastAsia" w:ascii="仿宋_GB2312" w:hAnsi="仿宋_GB2312" w:eastAsia="仿宋_GB2312" w:cs="仿宋_GB2312"/>
          <w:color w:val="auto"/>
          <w:szCs w:val="21"/>
        </w:rPr>
      </w:pPr>
    </w:p>
    <w:p>
      <w:pPr>
        <w:adjustRightInd w:val="0"/>
        <w:snapToGrid w:val="0"/>
        <w:spacing w:line="480" w:lineRule="auto"/>
        <w:ind w:right="105" w:rightChars="50"/>
        <w:jc w:val="left"/>
        <w:rPr>
          <w:rFonts w:hint="eastAsia" w:ascii="仿宋_GB2312" w:hAnsi="仿宋_GB2312" w:eastAsia="仿宋_GB2312" w:cs="仿宋_GB2312"/>
          <w:color w:val="auto"/>
          <w:szCs w:val="21"/>
          <w:u w:val="single"/>
        </w:rPr>
      </w:pPr>
      <w:r>
        <w:rPr>
          <w:rFonts w:hint="eastAsia" w:ascii="仿宋_GB2312" w:hAnsi="仿宋_GB2312" w:eastAsia="仿宋_GB2312" w:cs="仿宋_GB2312"/>
          <w:color w:val="auto"/>
          <w:szCs w:val="21"/>
        </w:rPr>
        <w:t>供应商(加盖单位公章):</w:t>
      </w:r>
      <w:r>
        <w:rPr>
          <w:rFonts w:hint="eastAsia" w:ascii="仿宋_GB2312" w:hAnsi="仿宋_GB2312" w:eastAsia="仿宋_GB2312" w:cs="仿宋_GB2312"/>
          <w:color w:val="auto"/>
          <w:szCs w:val="21"/>
          <w:u w:val="single"/>
        </w:rPr>
        <w:t xml:space="preserve">               </w:t>
      </w:r>
    </w:p>
    <w:p>
      <w:pPr>
        <w:adjustRightInd w:val="0"/>
        <w:snapToGrid w:val="0"/>
        <w:spacing w:line="480" w:lineRule="auto"/>
        <w:ind w:right="105" w:rightChars="50"/>
        <w:jc w:val="left"/>
        <w:rPr>
          <w:rFonts w:hint="eastAsia" w:ascii="仿宋_GB2312" w:hAnsi="仿宋_GB2312" w:eastAsia="仿宋_GB2312" w:cs="仿宋_GB2312"/>
          <w:color w:val="auto"/>
          <w:szCs w:val="21"/>
          <w:u w:val="single"/>
        </w:rPr>
      </w:pPr>
      <w:r>
        <w:rPr>
          <w:rFonts w:hint="eastAsia" w:ascii="仿宋_GB2312" w:hAnsi="仿宋_GB2312" w:eastAsia="仿宋_GB2312" w:cs="仿宋_GB2312"/>
          <w:color w:val="auto"/>
          <w:szCs w:val="21"/>
        </w:rPr>
        <w:t>法定代表人（或非法人组织负责人）或其</w:t>
      </w:r>
      <w:r>
        <w:rPr>
          <w:rFonts w:hint="eastAsia" w:ascii="仿宋_GB2312" w:hAnsi="仿宋_GB2312" w:eastAsia="仿宋_GB2312" w:cs="仿宋_GB2312"/>
          <w:color w:val="auto"/>
        </w:rPr>
        <w:t>授权委托人(签字或盖章)</w:t>
      </w:r>
      <w:r>
        <w:rPr>
          <w:rFonts w:hint="eastAsia" w:ascii="仿宋_GB2312" w:hAnsi="仿宋_GB2312" w:eastAsia="仿宋_GB2312" w:cs="仿宋_GB2312"/>
          <w:color w:val="auto"/>
          <w:szCs w:val="21"/>
        </w:rPr>
        <w:t>:</w:t>
      </w:r>
      <w:r>
        <w:rPr>
          <w:rFonts w:hint="eastAsia" w:ascii="仿宋_GB2312" w:hAnsi="仿宋_GB2312" w:eastAsia="仿宋_GB2312" w:cs="仿宋_GB2312"/>
          <w:color w:val="auto"/>
          <w:szCs w:val="21"/>
          <w:u w:val="single"/>
        </w:rPr>
        <w:t xml:space="preserve">               </w:t>
      </w:r>
    </w:p>
    <w:p>
      <w:pPr>
        <w:adjustRightInd w:val="0"/>
        <w:snapToGrid w:val="0"/>
        <w:spacing w:line="480" w:lineRule="auto"/>
        <w:ind w:right="105" w:rightChars="50"/>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日期:</w:t>
      </w:r>
      <w:r>
        <w:rPr>
          <w:rFonts w:hint="eastAsia" w:ascii="仿宋_GB2312" w:hAnsi="仿宋_GB2312" w:eastAsia="仿宋_GB2312" w:cs="仿宋_GB2312"/>
          <w:color w:val="auto"/>
          <w:szCs w:val="21"/>
          <w:u w:val="single"/>
        </w:rPr>
        <w:t xml:space="preserve">                     </w:t>
      </w:r>
    </w:p>
    <w:p>
      <w:pPr>
        <w:adjustRightInd w:val="0"/>
        <w:snapToGrid w:val="0"/>
        <w:spacing w:line="360" w:lineRule="auto"/>
        <w:ind w:right="105" w:rightChars="50"/>
        <w:jc w:val="left"/>
        <w:rPr>
          <w:rFonts w:hint="eastAsia" w:ascii="仿宋_GB2312" w:hAnsi="仿宋_GB2312" w:eastAsia="仿宋_GB2312" w:cs="仿宋_GB2312"/>
          <w:color w:val="auto"/>
          <w:szCs w:val="21"/>
        </w:rPr>
      </w:pPr>
    </w:p>
    <w:p>
      <w:pPr>
        <w:widowControl/>
        <w:jc w:val="left"/>
        <w:outlineLvl w:val="1"/>
        <w:rPr>
          <w:rFonts w:hint="eastAsia" w:ascii="仿宋_GB2312" w:hAnsi="仿宋_GB2312" w:eastAsia="仿宋_GB2312" w:cs="仿宋_GB2312"/>
          <w:b/>
          <w:bCs/>
          <w:color w:val="auto"/>
          <w:sz w:val="28"/>
          <w:szCs w:val="28"/>
          <w:lang w:eastAsia="zh-CN"/>
        </w:rPr>
      </w:pPr>
      <w:r>
        <w:rPr>
          <w:rFonts w:hint="eastAsia" w:ascii="仿宋_GB2312" w:hAnsi="仿宋_GB2312" w:eastAsia="仿宋_GB2312" w:cs="仿宋_GB2312"/>
          <w:color w:val="auto"/>
          <w:szCs w:val="21"/>
        </w:rPr>
        <w:br w:type="page"/>
      </w:r>
      <w:bookmarkStart w:id="82" w:name="_Toc4485635"/>
      <w:bookmarkStart w:id="83" w:name="_Toc533340159"/>
      <w:r>
        <w:rPr>
          <w:rFonts w:hint="eastAsia" w:ascii="仿宋_GB2312" w:hAnsi="仿宋_GB2312" w:eastAsia="仿宋_GB2312" w:cs="仿宋_GB2312"/>
          <w:b/>
          <w:bCs/>
          <w:color w:val="auto"/>
          <w:sz w:val="28"/>
          <w:szCs w:val="28"/>
        </w:rPr>
        <w:t>格式1</w:t>
      </w:r>
      <w:bookmarkEnd w:id="82"/>
      <w:bookmarkEnd w:id="83"/>
      <w:r>
        <w:rPr>
          <w:rFonts w:hint="eastAsia" w:ascii="仿宋_GB2312" w:hAnsi="仿宋_GB2312" w:eastAsia="仿宋_GB2312" w:cs="仿宋_GB2312"/>
          <w:b/>
          <w:bCs/>
          <w:color w:val="auto"/>
          <w:sz w:val="28"/>
          <w:szCs w:val="28"/>
          <w:lang w:val="en-US" w:eastAsia="zh-CN"/>
        </w:rPr>
        <w:t>1</w:t>
      </w:r>
    </w:p>
    <w:p>
      <w:pPr>
        <w:adjustRightInd w:val="0"/>
        <w:snapToGrid w:val="0"/>
        <w:spacing w:before="319" w:beforeLines="100" w:after="319" w:afterLines="100" w:line="360" w:lineRule="auto"/>
        <w:jc w:val="center"/>
        <w:outlineLvl w:val="9"/>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已标价工程量清单</w:t>
      </w:r>
    </w:p>
    <w:p>
      <w:pPr>
        <w:pStyle w:val="3"/>
        <w:adjustRightInd w:val="0"/>
        <w:snapToGrid w:val="0"/>
        <w:spacing w:before="120" w:after="0" w:line="240" w:lineRule="auto"/>
        <w:jc w:val="left"/>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b w:val="0"/>
          <w:color w:val="auto"/>
          <w:sz w:val="28"/>
          <w:szCs w:val="28"/>
        </w:rPr>
        <w:object>
          <v:shape id="_x0000_i1025" o:spt="75" type="#_x0000_t75" style="height:141.75pt;width:141.75pt;" o:ole="t" filled="f" o:preferrelative="t" stroked="f" coordsize="21600,21600">
            <v:path/>
            <v:fill on="f" focussize="0,0"/>
            <v:stroke on="f"/>
            <v:imagedata r:id="rId11" o:title=""/>
            <o:lock v:ext="edit" aspectratio="t"/>
            <w10:wrap type="none"/>
            <w10:anchorlock/>
          </v:shape>
          <o:OLEObject Type="Embed" ProgID="Paint.Picture" ShapeID="_x0000_i1025" DrawAspect="Content" ObjectID="_1468075725" r:id="rId10">
            <o:LockedField>false</o:LockedField>
          </o:OLEObject>
        </w:object>
      </w:r>
      <w:r>
        <w:rPr>
          <w:rFonts w:hint="eastAsia" w:ascii="仿宋_GB2312" w:hAnsi="仿宋_GB2312" w:eastAsia="仿宋_GB2312" w:cs="仿宋_GB2312"/>
          <w:b w:val="0"/>
          <w:color w:val="auto"/>
          <w:sz w:val="28"/>
          <w:szCs w:val="28"/>
        </w:rPr>
        <w:object>
          <v:shape id="_x0000_i1026" o:spt="75" type="#_x0000_t75" style="height:66pt;width:72.75pt;" o:ole="t" filled="f" o:preferrelative="t" stroked="f" coordsize="21600,21600">
            <v:path/>
            <v:fill on="f" focussize="0,0"/>
            <v:stroke on="f"/>
            <v:imagedata r:id="rId13" o:title=""/>
            <o:lock v:ext="edit" aspectratio="t"/>
            <w10:wrap type="none"/>
            <w10:anchorlock/>
          </v:shape>
          <o:OLEObject Type="Embed" ProgID="Package" ShapeID="_x0000_i1026" DrawAspect="Icon" ObjectID="_1468075726" r:id="rId12">
            <o:LockedField>false</o:LockedField>
          </o:OLEObject>
        </w:object>
      </w:r>
      <w:r>
        <w:rPr>
          <w:rFonts w:hint="eastAsia" w:ascii="仿宋_GB2312" w:hAnsi="仿宋_GB2312" w:eastAsia="仿宋_GB2312" w:cs="仿宋_GB2312"/>
          <w:b w:val="0"/>
          <w:color w:val="auto"/>
          <w:sz w:val="28"/>
          <w:szCs w:val="28"/>
        </w:rPr>
        <w:br w:type="page"/>
      </w:r>
      <w:r>
        <w:rPr>
          <w:rFonts w:hint="eastAsia" w:ascii="仿宋_GB2312" w:hAnsi="仿宋_GB2312" w:eastAsia="仿宋_GB2312" w:cs="仿宋_GB2312"/>
          <w:color w:val="auto"/>
          <w:sz w:val="28"/>
          <w:szCs w:val="28"/>
        </w:rPr>
        <w:t>格式1</w:t>
      </w:r>
      <w:r>
        <w:rPr>
          <w:rFonts w:hint="eastAsia" w:ascii="仿宋_GB2312" w:hAnsi="仿宋_GB2312" w:eastAsia="仿宋_GB2312" w:cs="仿宋_GB2312"/>
          <w:color w:val="auto"/>
          <w:sz w:val="28"/>
          <w:szCs w:val="28"/>
          <w:lang w:val="en-US" w:eastAsia="zh-CN"/>
        </w:rPr>
        <w:t>2</w:t>
      </w:r>
    </w:p>
    <w:p>
      <w:pPr>
        <w:spacing w:before="319" w:beforeLines="100" w:after="319" w:afterLines="100" w:line="360" w:lineRule="auto"/>
        <w:jc w:val="center"/>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b/>
          <w:bCs/>
          <w:color w:val="auto"/>
          <w:sz w:val="32"/>
          <w:szCs w:val="32"/>
          <w:lang w:eastAsia="zh-CN"/>
        </w:rPr>
        <w:t>项目需求响应表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0"/>
        <w:gridCol w:w="2529"/>
        <w:gridCol w:w="1335"/>
        <w:gridCol w:w="1305"/>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9000" w:type="dxa"/>
            <w:gridSpan w:val="5"/>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right="105" w:rightChars="50"/>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包号/序号：</w:t>
            </w:r>
          </w:p>
          <w:p>
            <w:pPr>
              <w:tabs>
                <w:tab w:val="left" w:pos="0"/>
              </w:tabs>
              <w:adjustRightInd w:val="0"/>
              <w:snapToGrid w:val="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服务内容: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trPr>
        <w:tc>
          <w:tcPr>
            <w:tcW w:w="263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采购文件要求</w:t>
            </w:r>
          </w:p>
          <w:p>
            <w:pPr>
              <w:ind w:hanging="1"/>
              <w:rPr>
                <w:rFonts w:hint="eastAsia" w:ascii="仿宋_GB2312" w:hAnsi="仿宋_GB2312" w:eastAsia="仿宋_GB2312" w:cs="仿宋_GB2312"/>
                <w:b/>
                <w:color w:val="auto"/>
                <w:szCs w:val="21"/>
              </w:rPr>
            </w:pPr>
            <w:r>
              <w:rPr>
                <w:rFonts w:hint="eastAsia" w:ascii="仿宋_GB2312" w:hAnsi="仿宋_GB2312" w:eastAsia="仿宋_GB2312" w:cs="仿宋_GB2312"/>
                <w:b/>
                <w:color w:val="auto"/>
                <w:sz w:val="18"/>
                <w:szCs w:val="18"/>
              </w:rPr>
              <w:t>重要提示：实质性要求及重要指标用★标注（“★”必须标注在序号前），★标注项不得负偏离，如果负偏离，则响应文件无效。</w:t>
            </w:r>
          </w:p>
        </w:tc>
        <w:tc>
          <w:tcPr>
            <w:tcW w:w="252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响应文件</w:t>
            </w:r>
          </w:p>
          <w:p>
            <w:pPr>
              <w:tabs>
                <w:tab w:val="left" w:pos="0"/>
              </w:tabs>
              <w:spacing w:line="240" w:lineRule="exact"/>
              <w:jc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szCs w:val="21"/>
              </w:rPr>
              <w:t>响应内容</w:t>
            </w:r>
          </w:p>
        </w:tc>
        <w:tc>
          <w:tcPr>
            <w:tcW w:w="1335"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40" w:lineRule="exact"/>
              <w:jc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szCs w:val="21"/>
              </w:rPr>
              <w:t>偏离程度</w:t>
            </w:r>
          </w:p>
        </w:tc>
        <w:tc>
          <w:tcPr>
            <w:tcW w:w="1305"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40" w:lineRule="exact"/>
              <w:jc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szCs w:val="21"/>
              </w:rPr>
              <w:t>偏离说明</w:t>
            </w: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40" w:lineRule="exact"/>
              <w:jc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szCs w:val="21"/>
              </w:rPr>
              <w:t>证明资料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2" w:hRule="atLeast"/>
        </w:trPr>
        <w:tc>
          <w:tcPr>
            <w:tcW w:w="263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hanging="1"/>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按</w:t>
            </w:r>
            <w:r>
              <w:rPr>
                <w:rFonts w:hint="eastAsia" w:ascii="仿宋_GB2312" w:hAnsi="仿宋_GB2312" w:eastAsia="仿宋_GB2312" w:cs="仿宋_GB2312"/>
                <w:color w:val="auto"/>
                <w:szCs w:val="21"/>
                <w:lang w:eastAsia="zh-CN"/>
              </w:rPr>
              <w:t>项目需求</w:t>
            </w:r>
            <w:r>
              <w:rPr>
                <w:rFonts w:hint="eastAsia" w:ascii="仿宋_GB2312" w:hAnsi="仿宋_GB2312" w:eastAsia="仿宋_GB2312" w:cs="仿宋_GB2312"/>
                <w:color w:val="auto"/>
                <w:szCs w:val="21"/>
              </w:rPr>
              <w:t>填写</w:t>
            </w:r>
          </w:p>
        </w:tc>
        <w:tc>
          <w:tcPr>
            <w:tcW w:w="2529" w:type="dxa"/>
            <w:tcBorders>
              <w:top w:val="single" w:color="auto" w:sz="4" w:space="0"/>
              <w:left w:val="single" w:color="auto" w:sz="4" w:space="0"/>
              <w:bottom w:val="single" w:color="auto" w:sz="4" w:space="0"/>
              <w:right w:val="single" w:color="auto" w:sz="4" w:space="0"/>
            </w:tcBorders>
            <w:noWrap w:val="0"/>
            <w:vAlign w:val="center"/>
          </w:tcPr>
          <w:p>
            <w:pPr>
              <w:tabs>
                <w:tab w:val="left" w:pos="0"/>
              </w:tabs>
              <w:adjustRightInd w:val="0"/>
              <w:snapToGrid w:val="0"/>
              <w:jc w:val="center"/>
              <w:rPr>
                <w:rFonts w:hint="eastAsia" w:ascii="仿宋_GB2312" w:hAnsi="仿宋_GB2312" w:eastAsia="仿宋_GB2312" w:cs="仿宋_GB2312"/>
                <w:color w:val="auto"/>
                <w:kern w:val="0"/>
                <w:szCs w:val="21"/>
              </w:rPr>
            </w:pPr>
          </w:p>
        </w:tc>
        <w:tc>
          <w:tcPr>
            <w:tcW w:w="1335"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40" w:lineRule="exact"/>
              <w:jc w:val="center"/>
              <w:rPr>
                <w:rFonts w:hint="eastAsia" w:ascii="仿宋_GB2312" w:hAnsi="仿宋_GB2312" w:eastAsia="仿宋_GB2312" w:cs="仿宋_GB2312"/>
                <w:color w:val="auto"/>
                <w:kern w:val="0"/>
                <w:szCs w:val="21"/>
              </w:rPr>
            </w:pPr>
          </w:p>
        </w:tc>
        <w:tc>
          <w:tcPr>
            <w:tcW w:w="1305"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40" w:lineRule="exact"/>
              <w:jc w:val="center"/>
              <w:rPr>
                <w:rFonts w:hint="eastAsia" w:ascii="仿宋_GB2312" w:hAnsi="仿宋_GB2312" w:eastAsia="仿宋_GB2312" w:cs="仿宋_GB2312"/>
                <w:color w:val="auto"/>
                <w:kern w:val="0"/>
                <w:szCs w:val="21"/>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40" w:lineRule="exact"/>
              <w:jc w:val="center"/>
              <w:rPr>
                <w:rFonts w:hint="eastAsia" w:ascii="仿宋_GB2312" w:hAnsi="仿宋_GB2312" w:eastAsia="仿宋_GB2312" w:cs="仿宋_GB2312"/>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263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hanging="1"/>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其它</w:t>
            </w:r>
          </w:p>
        </w:tc>
        <w:tc>
          <w:tcPr>
            <w:tcW w:w="2529" w:type="dxa"/>
            <w:tcBorders>
              <w:top w:val="single" w:color="auto" w:sz="4" w:space="0"/>
              <w:left w:val="single" w:color="auto" w:sz="4" w:space="0"/>
              <w:bottom w:val="single" w:color="auto" w:sz="4" w:space="0"/>
              <w:right w:val="single" w:color="auto" w:sz="4" w:space="0"/>
            </w:tcBorders>
            <w:noWrap w:val="0"/>
            <w:vAlign w:val="center"/>
          </w:tcPr>
          <w:p>
            <w:pPr>
              <w:tabs>
                <w:tab w:val="left" w:pos="0"/>
              </w:tabs>
              <w:adjustRightInd w:val="0"/>
              <w:snapToGrid w:val="0"/>
              <w:jc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szCs w:val="21"/>
              </w:rPr>
              <w:t>采购单位未提供需求而供应商认为需说明及补充的内容在此填列</w:t>
            </w:r>
          </w:p>
        </w:tc>
        <w:tc>
          <w:tcPr>
            <w:tcW w:w="1335"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40" w:lineRule="exact"/>
              <w:jc w:val="center"/>
              <w:rPr>
                <w:rFonts w:hint="eastAsia" w:ascii="仿宋_GB2312" w:hAnsi="仿宋_GB2312" w:eastAsia="仿宋_GB2312" w:cs="仿宋_GB2312"/>
                <w:color w:val="auto"/>
                <w:kern w:val="0"/>
                <w:szCs w:val="21"/>
              </w:rPr>
            </w:pPr>
          </w:p>
        </w:tc>
        <w:tc>
          <w:tcPr>
            <w:tcW w:w="1305"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40" w:lineRule="exact"/>
              <w:jc w:val="center"/>
              <w:rPr>
                <w:rFonts w:hint="eastAsia" w:ascii="仿宋_GB2312" w:hAnsi="仿宋_GB2312" w:eastAsia="仿宋_GB2312" w:cs="仿宋_GB2312"/>
                <w:color w:val="auto"/>
                <w:kern w:val="0"/>
                <w:szCs w:val="21"/>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40" w:lineRule="exact"/>
              <w:jc w:val="center"/>
              <w:rPr>
                <w:rFonts w:hint="eastAsia" w:ascii="仿宋_GB2312" w:hAnsi="仿宋_GB2312" w:eastAsia="仿宋_GB2312" w:cs="仿宋_GB2312"/>
                <w:color w:val="auto"/>
                <w:kern w:val="0"/>
                <w:szCs w:val="21"/>
              </w:rPr>
            </w:pPr>
          </w:p>
        </w:tc>
      </w:tr>
    </w:tbl>
    <w:p>
      <w:pPr>
        <w:adjustRightInd w:val="0"/>
        <w:snapToGrid w:val="0"/>
        <w:spacing w:line="360" w:lineRule="auto"/>
        <w:ind w:right="105" w:rightChars="50" w:firstLine="479" w:firstLineChars="227"/>
        <w:jc w:val="left"/>
        <w:rPr>
          <w:rFonts w:hint="eastAsia" w:ascii="仿宋_GB2312" w:hAnsi="仿宋_GB2312" w:eastAsia="仿宋_GB2312" w:cs="仿宋_GB2312"/>
          <w:color w:val="auto"/>
          <w:szCs w:val="21"/>
        </w:rPr>
      </w:pPr>
      <w:r>
        <w:rPr>
          <w:rFonts w:hint="eastAsia" w:ascii="仿宋_GB2312" w:hAnsi="仿宋_GB2312" w:eastAsia="仿宋_GB2312" w:cs="仿宋_GB2312"/>
          <w:b/>
          <w:color w:val="auto"/>
          <w:szCs w:val="21"/>
        </w:rPr>
        <w:t>填表说明：</w:t>
      </w:r>
    </w:p>
    <w:p>
      <w:pPr>
        <w:adjustRightInd w:val="0"/>
        <w:snapToGrid w:val="0"/>
        <w:spacing w:line="360" w:lineRule="auto"/>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1．“响应文件响应内容”一栏由供应商填写。</w:t>
      </w:r>
    </w:p>
    <w:p>
      <w:pPr>
        <w:adjustRightInd w:val="0"/>
        <w:snapToGrid w:val="0"/>
        <w:spacing w:line="360" w:lineRule="auto"/>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2．“偏离程度”一栏根据“响应文件响应内容”与采购文件逐项对照的结果填写。偏离必须用 “正偏离、负偏离或无偏离”三个名称中的一种进行标注。</w:t>
      </w:r>
    </w:p>
    <w:p>
      <w:pPr>
        <w:adjustRightInd w:val="0"/>
        <w:snapToGrid w:val="0"/>
        <w:spacing w:line="360" w:lineRule="auto"/>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3．“偏离说明”一栏由供应商对偏离的情况做详细说明。</w:t>
      </w:r>
    </w:p>
    <w:p>
      <w:pPr>
        <w:adjustRightInd w:val="0"/>
        <w:snapToGrid w:val="0"/>
        <w:spacing w:line="360" w:lineRule="auto"/>
        <w:ind w:right="105" w:rightChars="50" w:firstLine="476" w:firstLineChars="227"/>
        <w:jc w:val="left"/>
        <w:rPr>
          <w:rFonts w:hint="eastAsia" w:ascii="仿宋_GB2312" w:hAnsi="仿宋_GB2312" w:eastAsia="仿宋_GB2312" w:cs="仿宋_GB2312"/>
          <w:color w:val="auto"/>
          <w:szCs w:val="21"/>
        </w:rPr>
      </w:pPr>
    </w:p>
    <w:p>
      <w:pPr>
        <w:adjustRightInd w:val="0"/>
        <w:snapToGrid w:val="0"/>
        <w:spacing w:line="360" w:lineRule="auto"/>
        <w:ind w:right="105" w:rightChars="50" w:firstLine="476" w:firstLineChars="227"/>
        <w:jc w:val="left"/>
        <w:rPr>
          <w:rFonts w:hint="eastAsia" w:ascii="仿宋_GB2312" w:hAnsi="仿宋_GB2312" w:eastAsia="仿宋_GB2312" w:cs="仿宋_GB2312"/>
          <w:color w:val="auto"/>
          <w:szCs w:val="21"/>
        </w:rPr>
      </w:pPr>
    </w:p>
    <w:p>
      <w:pPr>
        <w:adjustRightInd w:val="0"/>
        <w:snapToGrid w:val="0"/>
        <w:spacing w:line="360" w:lineRule="auto"/>
        <w:ind w:right="105" w:rightChars="50" w:firstLine="476" w:firstLineChars="227"/>
        <w:jc w:val="left"/>
        <w:rPr>
          <w:rFonts w:hint="eastAsia" w:ascii="仿宋_GB2312" w:hAnsi="仿宋_GB2312" w:eastAsia="仿宋_GB2312" w:cs="仿宋_GB2312"/>
          <w:color w:val="auto"/>
          <w:szCs w:val="21"/>
        </w:rPr>
      </w:pPr>
    </w:p>
    <w:p>
      <w:pPr>
        <w:adjustRightInd w:val="0"/>
        <w:snapToGrid w:val="0"/>
        <w:spacing w:line="480" w:lineRule="auto"/>
        <w:ind w:right="105" w:rightChars="50"/>
        <w:jc w:val="left"/>
        <w:rPr>
          <w:rFonts w:hint="eastAsia" w:ascii="仿宋_GB2312" w:hAnsi="仿宋_GB2312" w:eastAsia="仿宋_GB2312" w:cs="仿宋_GB2312"/>
          <w:color w:val="auto"/>
          <w:szCs w:val="21"/>
          <w:u w:val="single"/>
        </w:rPr>
      </w:pPr>
      <w:r>
        <w:rPr>
          <w:rFonts w:hint="eastAsia" w:ascii="仿宋_GB2312" w:hAnsi="仿宋_GB2312" w:eastAsia="仿宋_GB2312" w:cs="仿宋_GB2312"/>
          <w:color w:val="auto"/>
          <w:szCs w:val="21"/>
        </w:rPr>
        <w:t>供应商(加盖单位公章):</w:t>
      </w:r>
      <w:r>
        <w:rPr>
          <w:rFonts w:hint="eastAsia" w:ascii="仿宋_GB2312" w:hAnsi="仿宋_GB2312" w:eastAsia="仿宋_GB2312" w:cs="仿宋_GB2312"/>
          <w:color w:val="auto"/>
          <w:szCs w:val="21"/>
          <w:u w:val="single"/>
        </w:rPr>
        <w:t xml:space="preserve">               </w:t>
      </w:r>
    </w:p>
    <w:p>
      <w:pPr>
        <w:adjustRightInd w:val="0"/>
        <w:snapToGrid w:val="0"/>
        <w:spacing w:line="480" w:lineRule="auto"/>
        <w:ind w:right="105" w:rightChars="50"/>
        <w:jc w:val="left"/>
        <w:rPr>
          <w:rFonts w:hint="eastAsia" w:ascii="仿宋_GB2312" w:hAnsi="仿宋_GB2312" w:eastAsia="仿宋_GB2312" w:cs="仿宋_GB2312"/>
          <w:color w:val="auto"/>
          <w:szCs w:val="21"/>
          <w:u w:val="single"/>
        </w:rPr>
      </w:pPr>
      <w:r>
        <w:rPr>
          <w:rFonts w:hint="eastAsia" w:ascii="仿宋_GB2312" w:hAnsi="仿宋_GB2312" w:eastAsia="仿宋_GB2312" w:cs="仿宋_GB2312"/>
          <w:color w:val="auto"/>
          <w:szCs w:val="21"/>
        </w:rPr>
        <w:t>法定代表人（或非法人组织负责人）或其授权委托人</w:t>
      </w:r>
      <w:r>
        <w:rPr>
          <w:rFonts w:hint="eastAsia" w:ascii="仿宋_GB2312" w:hAnsi="仿宋_GB2312" w:eastAsia="仿宋_GB2312" w:cs="仿宋_GB2312"/>
          <w:color w:val="auto"/>
        </w:rPr>
        <w:t>(签字或盖章)</w:t>
      </w:r>
      <w:r>
        <w:rPr>
          <w:rFonts w:hint="eastAsia" w:ascii="仿宋_GB2312" w:hAnsi="仿宋_GB2312" w:eastAsia="仿宋_GB2312" w:cs="仿宋_GB2312"/>
          <w:color w:val="auto"/>
          <w:szCs w:val="21"/>
        </w:rPr>
        <w:t>:</w:t>
      </w:r>
      <w:r>
        <w:rPr>
          <w:rFonts w:hint="eastAsia" w:ascii="仿宋_GB2312" w:hAnsi="仿宋_GB2312" w:eastAsia="仿宋_GB2312" w:cs="仿宋_GB2312"/>
          <w:color w:val="auto"/>
          <w:szCs w:val="21"/>
          <w:u w:val="single"/>
        </w:rPr>
        <w:t xml:space="preserve">               </w:t>
      </w:r>
    </w:p>
    <w:p>
      <w:pPr>
        <w:adjustRightInd w:val="0"/>
        <w:snapToGrid w:val="0"/>
        <w:spacing w:line="480" w:lineRule="auto"/>
        <w:ind w:right="105" w:rightChars="50"/>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日           期:</w:t>
      </w:r>
      <w:r>
        <w:rPr>
          <w:rFonts w:hint="eastAsia" w:ascii="仿宋_GB2312" w:hAnsi="仿宋_GB2312" w:eastAsia="仿宋_GB2312" w:cs="仿宋_GB2312"/>
          <w:color w:val="auto"/>
          <w:szCs w:val="21"/>
          <w:u w:val="single"/>
        </w:rPr>
        <w:t xml:space="preserve">                     </w:t>
      </w:r>
    </w:p>
    <w:p>
      <w:pPr>
        <w:adjustRightInd w:val="0"/>
        <w:snapToGrid w:val="0"/>
        <w:spacing w:line="360" w:lineRule="auto"/>
        <w:ind w:right="105" w:rightChars="50"/>
        <w:jc w:val="left"/>
        <w:outlineLvl w:val="1"/>
        <w:rPr>
          <w:rFonts w:hint="default"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color w:val="auto"/>
          <w:sz w:val="28"/>
          <w:szCs w:val="28"/>
        </w:rPr>
        <w:br w:type="page"/>
      </w:r>
      <w:bookmarkStart w:id="84" w:name="_Toc4485637"/>
      <w:bookmarkStart w:id="85" w:name="_Toc533340161"/>
      <w:r>
        <w:rPr>
          <w:rFonts w:hint="eastAsia" w:ascii="仿宋_GB2312" w:hAnsi="仿宋_GB2312" w:eastAsia="仿宋_GB2312" w:cs="仿宋_GB2312"/>
          <w:b/>
          <w:bCs/>
          <w:color w:val="auto"/>
          <w:sz w:val="28"/>
          <w:szCs w:val="28"/>
        </w:rPr>
        <w:t>格式</w:t>
      </w:r>
      <w:bookmarkEnd w:id="84"/>
      <w:bookmarkEnd w:id="85"/>
      <w:r>
        <w:rPr>
          <w:rFonts w:hint="eastAsia" w:ascii="仿宋_GB2312" w:hAnsi="仿宋_GB2312" w:eastAsia="仿宋_GB2312" w:cs="仿宋_GB2312"/>
          <w:b/>
          <w:bCs/>
          <w:color w:val="auto"/>
          <w:sz w:val="28"/>
          <w:szCs w:val="28"/>
          <w:lang w:val="en-US" w:eastAsia="zh-CN"/>
        </w:rPr>
        <w:t>13</w:t>
      </w:r>
    </w:p>
    <w:p>
      <w:pPr>
        <w:adjustRightInd w:val="0"/>
        <w:snapToGrid w:val="0"/>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商务条款偏离表</w:t>
      </w:r>
    </w:p>
    <w:p>
      <w:pPr>
        <w:adjustRightInd w:val="0"/>
        <w:snapToGrid w:val="0"/>
        <w:spacing w:line="360" w:lineRule="auto"/>
        <w:ind w:right="105" w:rightChars="50"/>
        <w:jc w:val="left"/>
        <w:rPr>
          <w:rFonts w:hint="eastAsia"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 xml:space="preserve">包号：        </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3"/>
        <w:gridCol w:w="3517"/>
        <w:gridCol w:w="2357"/>
        <w:gridCol w:w="1006"/>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513" w:type="dxa"/>
            <w:noWrap w:val="0"/>
            <w:vAlign w:val="center"/>
          </w:tcPr>
          <w:p>
            <w:pPr>
              <w:adjustRightInd w:val="0"/>
              <w:snapToGrid w:val="0"/>
              <w:ind w:right="-48" w:rightChars="-23"/>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序号</w:t>
            </w:r>
          </w:p>
        </w:tc>
        <w:tc>
          <w:tcPr>
            <w:tcW w:w="3517" w:type="dxa"/>
            <w:noWrap w:val="0"/>
            <w:vAlign w:val="center"/>
          </w:tcPr>
          <w:p>
            <w:pPr>
              <w:adjustRightInd w:val="0"/>
              <w:snapToGrid w:val="0"/>
              <w:ind w:right="-73" w:rightChars="-35"/>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采购文件的商务条款</w:t>
            </w:r>
          </w:p>
          <w:p>
            <w:pPr>
              <w:adjustRightInd w:val="0"/>
              <w:snapToGrid w:val="0"/>
              <w:ind w:right="-73" w:rightChars="-35"/>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w:t>
            </w:r>
            <w:r>
              <w:rPr>
                <w:rFonts w:hint="eastAsia" w:ascii="仿宋_GB2312" w:hAnsi="仿宋_GB2312" w:eastAsia="仿宋_GB2312" w:cs="仿宋_GB2312"/>
                <w:b/>
                <w:color w:val="auto"/>
                <w:sz w:val="18"/>
                <w:szCs w:val="18"/>
              </w:rPr>
              <w:t>实质性要求及重要指标用★标注，★标注项不得负偏离，如果负偏离，则响应文件无效。</w:t>
            </w:r>
            <w:r>
              <w:rPr>
                <w:rFonts w:hint="eastAsia" w:ascii="仿宋_GB2312" w:hAnsi="仿宋_GB2312" w:eastAsia="仿宋_GB2312" w:cs="仿宋_GB2312"/>
                <w:color w:val="auto"/>
                <w:szCs w:val="21"/>
              </w:rPr>
              <w:t>）</w:t>
            </w:r>
          </w:p>
        </w:tc>
        <w:tc>
          <w:tcPr>
            <w:tcW w:w="2357" w:type="dxa"/>
            <w:noWrap w:val="0"/>
            <w:vAlign w:val="center"/>
          </w:tcPr>
          <w:p>
            <w:pPr>
              <w:adjustRightInd w:val="0"/>
              <w:snapToGrid w:val="0"/>
              <w:ind w:right="-107" w:rightChars="-51"/>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响应文件响应内容</w:t>
            </w:r>
          </w:p>
        </w:tc>
        <w:tc>
          <w:tcPr>
            <w:tcW w:w="1006" w:type="dxa"/>
            <w:noWrap w:val="0"/>
            <w:vAlign w:val="center"/>
          </w:tcPr>
          <w:p>
            <w:pPr>
              <w:adjustRightInd w:val="0"/>
              <w:snapToGrid w:val="0"/>
              <w:ind w:right="-107" w:rightChars="-51"/>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偏离程度</w:t>
            </w:r>
          </w:p>
        </w:tc>
        <w:tc>
          <w:tcPr>
            <w:tcW w:w="1100" w:type="dxa"/>
            <w:noWrap w:val="0"/>
            <w:vAlign w:val="center"/>
          </w:tcPr>
          <w:p>
            <w:pPr>
              <w:adjustRightInd w:val="0"/>
              <w:snapToGrid w:val="0"/>
              <w:ind w:right="-107" w:rightChars="-51"/>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513" w:type="dxa"/>
            <w:noWrap w:val="0"/>
            <w:vAlign w:val="center"/>
          </w:tcPr>
          <w:p>
            <w:pPr>
              <w:adjustRightInd w:val="0"/>
              <w:snapToGrid w:val="0"/>
              <w:ind w:right="105" w:rightChars="50"/>
              <w:jc w:val="center"/>
              <w:rPr>
                <w:rFonts w:hint="eastAsia" w:ascii="仿宋_GB2312" w:hAnsi="仿宋_GB2312" w:eastAsia="仿宋_GB2312" w:cs="仿宋_GB2312"/>
                <w:color w:val="auto"/>
                <w:szCs w:val="21"/>
                <w:lang w:val="en-US" w:eastAsia="zh-CN"/>
              </w:rPr>
            </w:pPr>
            <w:r>
              <w:rPr>
                <w:rFonts w:hint="eastAsia" w:ascii="仿宋_GB2312" w:hAnsi="仿宋_GB2312" w:eastAsia="仿宋_GB2312" w:cs="仿宋_GB2312"/>
                <w:color w:val="auto"/>
                <w:szCs w:val="21"/>
                <w:lang w:val="en-US" w:eastAsia="zh-CN"/>
              </w:rPr>
              <w:t>1</w:t>
            </w:r>
          </w:p>
        </w:tc>
        <w:tc>
          <w:tcPr>
            <w:tcW w:w="3517" w:type="dxa"/>
            <w:noWrap w:val="0"/>
            <w:vAlign w:val="center"/>
          </w:tcPr>
          <w:p>
            <w:pPr>
              <w:adjustRightInd w:val="0"/>
              <w:snapToGrid w:val="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履约期限：</w:t>
            </w:r>
            <w:r>
              <w:rPr>
                <w:rFonts w:hint="eastAsia" w:ascii="仿宋_GB2312" w:hAnsi="仿宋_GB2312" w:eastAsia="仿宋_GB2312" w:cs="仿宋_GB2312"/>
                <w:color w:val="auto"/>
                <w:szCs w:val="21"/>
                <w:lang w:eastAsia="zh-CN"/>
              </w:rPr>
              <w:t>自</w:t>
            </w:r>
            <w:r>
              <w:rPr>
                <w:rFonts w:hint="eastAsia" w:ascii="仿宋_GB2312" w:hAnsi="仿宋_GB2312" w:eastAsia="仿宋_GB2312" w:cs="仿宋_GB2312"/>
                <w:color w:val="auto"/>
                <w:szCs w:val="21"/>
              </w:rPr>
              <w:t>签订合同之日起</w:t>
            </w:r>
            <w:r>
              <w:rPr>
                <w:rFonts w:hint="eastAsia" w:ascii="仿宋_GB2312" w:hAnsi="仿宋_GB2312" w:eastAsia="仿宋_GB2312" w:cs="仿宋_GB2312"/>
                <w:color w:val="auto"/>
                <w:szCs w:val="21"/>
                <w:lang w:val="en-US" w:eastAsia="zh-CN"/>
              </w:rPr>
              <w:t>60日历日内</w:t>
            </w:r>
            <w:r>
              <w:rPr>
                <w:rFonts w:hint="eastAsia" w:ascii="仿宋_GB2312" w:hAnsi="仿宋_GB2312" w:eastAsia="仿宋_GB2312" w:cs="仿宋_GB2312"/>
                <w:color w:val="auto"/>
                <w:szCs w:val="21"/>
              </w:rPr>
              <w:t>完工</w:t>
            </w:r>
            <w:r>
              <w:rPr>
                <w:rFonts w:hint="eastAsia" w:ascii="仿宋_GB2312" w:hAnsi="仿宋_GB2312" w:eastAsia="仿宋_GB2312" w:cs="仿宋_GB2312"/>
                <w:color w:val="auto"/>
                <w:szCs w:val="21"/>
                <w:lang w:eastAsia="zh-CN"/>
              </w:rPr>
              <w:t>（具体以甲乙双方实际签订的工期时间为准）</w:t>
            </w:r>
          </w:p>
        </w:tc>
        <w:tc>
          <w:tcPr>
            <w:tcW w:w="2357" w:type="dxa"/>
            <w:noWrap w:val="0"/>
            <w:vAlign w:val="center"/>
          </w:tcPr>
          <w:p>
            <w:pPr>
              <w:adjustRightInd w:val="0"/>
              <w:snapToGrid w:val="0"/>
              <w:ind w:right="105" w:rightChars="50"/>
              <w:jc w:val="center"/>
              <w:rPr>
                <w:rFonts w:hint="eastAsia" w:ascii="仿宋_GB2312" w:hAnsi="仿宋_GB2312" w:eastAsia="仿宋_GB2312" w:cs="仿宋_GB2312"/>
                <w:color w:val="auto"/>
                <w:szCs w:val="21"/>
              </w:rPr>
            </w:pPr>
          </w:p>
        </w:tc>
        <w:tc>
          <w:tcPr>
            <w:tcW w:w="1006" w:type="dxa"/>
            <w:noWrap w:val="0"/>
            <w:vAlign w:val="center"/>
          </w:tcPr>
          <w:p>
            <w:pPr>
              <w:adjustRightInd w:val="0"/>
              <w:snapToGrid w:val="0"/>
              <w:ind w:right="105" w:rightChars="50"/>
              <w:jc w:val="center"/>
              <w:rPr>
                <w:rFonts w:hint="eastAsia" w:ascii="仿宋_GB2312" w:hAnsi="仿宋_GB2312" w:eastAsia="仿宋_GB2312" w:cs="仿宋_GB2312"/>
                <w:color w:val="auto"/>
                <w:szCs w:val="21"/>
              </w:rPr>
            </w:pPr>
          </w:p>
        </w:tc>
        <w:tc>
          <w:tcPr>
            <w:tcW w:w="1100" w:type="dxa"/>
            <w:noWrap w:val="0"/>
            <w:vAlign w:val="center"/>
          </w:tcPr>
          <w:p>
            <w:pPr>
              <w:adjustRightInd w:val="0"/>
              <w:snapToGrid w:val="0"/>
              <w:ind w:right="105" w:rightChars="50"/>
              <w:jc w:val="center"/>
              <w:rPr>
                <w:rFonts w:hint="eastAsia" w:ascii="仿宋_GB2312" w:hAnsi="仿宋_GB2312" w:eastAsia="仿宋_GB2312" w:cs="仿宋_GB2312"/>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513" w:type="dxa"/>
            <w:noWrap w:val="0"/>
            <w:vAlign w:val="center"/>
          </w:tcPr>
          <w:p>
            <w:pPr>
              <w:adjustRightInd w:val="0"/>
              <w:snapToGrid w:val="0"/>
              <w:ind w:right="105" w:rightChars="50"/>
              <w:jc w:val="center"/>
              <w:rPr>
                <w:rFonts w:hint="eastAsia" w:ascii="仿宋_GB2312" w:hAnsi="仿宋_GB2312" w:eastAsia="仿宋_GB2312" w:cs="仿宋_GB2312"/>
                <w:color w:val="auto"/>
                <w:szCs w:val="21"/>
                <w:lang w:val="en-US" w:eastAsia="zh-CN"/>
              </w:rPr>
            </w:pPr>
            <w:r>
              <w:rPr>
                <w:rFonts w:hint="eastAsia" w:ascii="仿宋_GB2312" w:hAnsi="仿宋_GB2312" w:eastAsia="仿宋_GB2312" w:cs="仿宋_GB2312"/>
                <w:color w:val="auto"/>
                <w:szCs w:val="21"/>
                <w:lang w:val="en-US" w:eastAsia="zh-CN"/>
              </w:rPr>
              <w:t>2</w:t>
            </w:r>
          </w:p>
        </w:tc>
        <w:tc>
          <w:tcPr>
            <w:tcW w:w="3517" w:type="dxa"/>
            <w:noWrap w:val="0"/>
            <w:vAlign w:val="center"/>
          </w:tcPr>
          <w:p>
            <w:pPr>
              <w:adjustRightInd w:val="0"/>
              <w:snapToGrid w:val="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履约地点：采购人指定地点</w:t>
            </w:r>
          </w:p>
        </w:tc>
        <w:tc>
          <w:tcPr>
            <w:tcW w:w="2357" w:type="dxa"/>
            <w:noWrap w:val="0"/>
            <w:vAlign w:val="center"/>
          </w:tcPr>
          <w:p>
            <w:pPr>
              <w:adjustRightInd w:val="0"/>
              <w:snapToGrid w:val="0"/>
              <w:ind w:right="105" w:rightChars="50"/>
              <w:jc w:val="center"/>
              <w:rPr>
                <w:rFonts w:hint="eastAsia" w:ascii="仿宋_GB2312" w:hAnsi="仿宋_GB2312" w:eastAsia="仿宋_GB2312" w:cs="仿宋_GB2312"/>
                <w:color w:val="auto"/>
                <w:szCs w:val="21"/>
              </w:rPr>
            </w:pPr>
          </w:p>
        </w:tc>
        <w:tc>
          <w:tcPr>
            <w:tcW w:w="1006" w:type="dxa"/>
            <w:noWrap w:val="0"/>
            <w:vAlign w:val="center"/>
          </w:tcPr>
          <w:p>
            <w:pPr>
              <w:adjustRightInd w:val="0"/>
              <w:snapToGrid w:val="0"/>
              <w:ind w:right="105" w:rightChars="50"/>
              <w:jc w:val="center"/>
              <w:rPr>
                <w:rFonts w:hint="eastAsia" w:ascii="仿宋_GB2312" w:hAnsi="仿宋_GB2312" w:eastAsia="仿宋_GB2312" w:cs="仿宋_GB2312"/>
                <w:color w:val="auto"/>
                <w:szCs w:val="21"/>
              </w:rPr>
            </w:pPr>
          </w:p>
        </w:tc>
        <w:tc>
          <w:tcPr>
            <w:tcW w:w="1100" w:type="dxa"/>
            <w:noWrap w:val="0"/>
            <w:vAlign w:val="center"/>
          </w:tcPr>
          <w:p>
            <w:pPr>
              <w:adjustRightInd w:val="0"/>
              <w:snapToGrid w:val="0"/>
              <w:ind w:right="105" w:rightChars="50"/>
              <w:jc w:val="center"/>
              <w:rPr>
                <w:rFonts w:hint="eastAsia" w:ascii="仿宋_GB2312" w:hAnsi="仿宋_GB2312" w:eastAsia="仿宋_GB2312" w:cs="仿宋_GB2312"/>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513" w:type="dxa"/>
            <w:noWrap w:val="0"/>
            <w:vAlign w:val="center"/>
          </w:tcPr>
          <w:p>
            <w:pPr>
              <w:adjustRightInd w:val="0"/>
              <w:snapToGrid w:val="0"/>
              <w:ind w:right="105" w:rightChars="50"/>
              <w:jc w:val="center"/>
              <w:rPr>
                <w:rFonts w:hint="eastAsia" w:ascii="仿宋_GB2312" w:hAnsi="仿宋_GB2312" w:eastAsia="仿宋_GB2312" w:cs="仿宋_GB2312"/>
                <w:color w:val="auto"/>
                <w:szCs w:val="21"/>
                <w:lang w:val="en-US" w:eastAsia="zh-CN"/>
              </w:rPr>
            </w:pPr>
            <w:r>
              <w:rPr>
                <w:rFonts w:hint="eastAsia" w:ascii="仿宋_GB2312" w:hAnsi="仿宋_GB2312" w:eastAsia="仿宋_GB2312" w:cs="仿宋_GB2312"/>
                <w:color w:val="auto"/>
                <w:szCs w:val="21"/>
                <w:lang w:val="en-US" w:eastAsia="zh-CN"/>
              </w:rPr>
              <w:t>3</w:t>
            </w:r>
          </w:p>
        </w:tc>
        <w:tc>
          <w:tcPr>
            <w:tcW w:w="3517" w:type="dxa"/>
            <w:noWrap w:val="0"/>
            <w:vAlign w:val="center"/>
          </w:tcPr>
          <w:p>
            <w:pPr>
              <w:adjustRightInd w:val="0"/>
              <w:snapToGrid w:val="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付款方式及条件：</w:t>
            </w:r>
            <w:r>
              <w:rPr>
                <w:rFonts w:hint="eastAsia" w:ascii="仿宋_GB2312" w:hAnsi="仿宋_GB2312" w:eastAsia="仿宋_GB2312" w:cs="仿宋_GB2312"/>
                <w:color w:val="auto"/>
                <w:szCs w:val="21"/>
                <w:lang w:eastAsia="zh-CN"/>
              </w:rPr>
              <w:t>工程交工验收合格后支付合同总价的</w:t>
            </w:r>
            <w:r>
              <w:rPr>
                <w:rFonts w:hint="eastAsia" w:ascii="仿宋_GB2312" w:hAnsi="仿宋_GB2312" w:eastAsia="仿宋_GB2312" w:cs="仿宋_GB2312"/>
                <w:color w:val="auto"/>
                <w:szCs w:val="21"/>
                <w:lang w:val="en-US" w:eastAsia="zh-CN"/>
              </w:rPr>
              <w:t>8</w:t>
            </w:r>
            <w:r>
              <w:rPr>
                <w:rFonts w:hint="eastAsia" w:ascii="仿宋_GB2312" w:hAnsi="仿宋_GB2312" w:eastAsia="仿宋_GB2312" w:cs="仿宋_GB2312"/>
                <w:color w:val="auto"/>
                <w:szCs w:val="21"/>
                <w:lang w:eastAsia="zh-CN"/>
              </w:rPr>
              <w:t>0%，工程结算审核后支付至决算总价的97%，其余3%为质量保证金，质保期(一年)满后一次性支付，不计利息。</w:t>
            </w:r>
          </w:p>
        </w:tc>
        <w:tc>
          <w:tcPr>
            <w:tcW w:w="2357" w:type="dxa"/>
            <w:noWrap w:val="0"/>
            <w:vAlign w:val="center"/>
          </w:tcPr>
          <w:p>
            <w:pPr>
              <w:adjustRightInd w:val="0"/>
              <w:snapToGrid w:val="0"/>
              <w:ind w:right="105" w:rightChars="50"/>
              <w:jc w:val="center"/>
              <w:rPr>
                <w:rFonts w:hint="eastAsia" w:ascii="仿宋_GB2312" w:hAnsi="仿宋_GB2312" w:eastAsia="仿宋_GB2312" w:cs="仿宋_GB2312"/>
                <w:color w:val="auto"/>
                <w:szCs w:val="21"/>
              </w:rPr>
            </w:pPr>
          </w:p>
        </w:tc>
        <w:tc>
          <w:tcPr>
            <w:tcW w:w="1006" w:type="dxa"/>
            <w:noWrap w:val="0"/>
            <w:vAlign w:val="center"/>
          </w:tcPr>
          <w:p>
            <w:pPr>
              <w:adjustRightInd w:val="0"/>
              <w:snapToGrid w:val="0"/>
              <w:ind w:right="105" w:rightChars="50"/>
              <w:jc w:val="center"/>
              <w:rPr>
                <w:rFonts w:hint="eastAsia" w:ascii="仿宋_GB2312" w:hAnsi="仿宋_GB2312" w:eastAsia="仿宋_GB2312" w:cs="仿宋_GB2312"/>
                <w:color w:val="auto"/>
                <w:szCs w:val="21"/>
              </w:rPr>
            </w:pPr>
          </w:p>
        </w:tc>
        <w:tc>
          <w:tcPr>
            <w:tcW w:w="1100" w:type="dxa"/>
            <w:noWrap w:val="0"/>
            <w:vAlign w:val="center"/>
          </w:tcPr>
          <w:p>
            <w:pPr>
              <w:adjustRightInd w:val="0"/>
              <w:snapToGrid w:val="0"/>
              <w:ind w:right="105" w:rightChars="50"/>
              <w:jc w:val="center"/>
              <w:rPr>
                <w:rFonts w:hint="eastAsia" w:ascii="仿宋_GB2312" w:hAnsi="仿宋_GB2312" w:eastAsia="仿宋_GB2312" w:cs="仿宋_GB2312"/>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7" w:hRule="atLeast"/>
          <w:jc w:val="center"/>
        </w:trPr>
        <w:tc>
          <w:tcPr>
            <w:tcW w:w="513" w:type="dxa"/>
            <w:noWrap w:val="0"/>
            <w:vAlign w:val="center"/>
          </w:tcPr>
          <w:p>
            <w:pPr>
              <w:adjustRightInd w:val="0"/>
              <w:snapToGrid w:val="0"/>
              <w:ind w:right="105" w:rightChars="50"/>
              <w:jc w:val="center"/>
              <w:rPr>
                <w:rFonts w:hint="eastAsia" w:ascii="仿宋_GB2312" w:hAnsi="仿宋_GB2312" w:eastAsia="仿宋_GB2312" w:cs="仿宋_GB2312"/>
                <w:color w:val="auto"/>
                <w:szCs w:val="21"/>
                <w:lang w:val="en-US" w:eastAsia="zh-CN"/>
              </w:rPr>
            </w:pPr>
            <w:r>
              <w:rPr>
                <w:rFonts w:hint="eastAsia" w:ascii="仿宋_GB2312" w:hAnsi="仿宋_GB2312" w:eastAsia="仿宋_GB2312" w:cs="仿宋_GB2312"/>
                <w:color w:val="auto"/>
                <w:szCs w:val="21"/>
                <w:lang w:val="en-US" w:eastAsia="zh-CN"/>
              </w:rPr>
              <w:t>4</w:t>
            </w:r>
          </w:p>
        </w:tc>
        <w:tc>
          <w:tcPr>
            <w:tcW w:w="3517" w:type="dxa"/>
            <w:noWrap w:val="0"/>
            <w:vAlign w:val="center"/>
          </w:tcPr>
          <w:p>
            <w:pPr>
              <w:adjustRightInd w:val="0"/>
              <w:snapToGrid w:val="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质量标准：合</w:t>
            </w:r>
            <w:r>
              <w:rPr>
                <w:rFonts w:hint="eastAsia" w:ascii="仿宋_GB2312" w:hAnsi="仿宋_GB2312" w:eastAsia="仿宋_GB2312" w:cs="仿宋_GB2312"/>
                <w:color w:val="auto"/>
                <w:szCs w:val="21"/>
                <w:lang w:val="en-US" w:eastAsia="zh-CN"/>
              </w:rPr>
              <w:t xml:space="preserve"> </w:t>
            </w:r>
            <w:r>
              <w:rPr>
                <w:rFonts w:hint="eastAsia" w:ascii="仿宋_GB2312" w:hAnsi="仿宋_GB2312" w:eastAsia="仿宋_GB2312" w:cs="仿宋_GB2312"/>
                <w:color w:val="auto"/>
                <w:szCs w:val="21"/>
              </w:rPr>
              <w:t>格</w:t>
            </w:r>
          </w:p>
        </w:tc>
        <w:tc>
          <w:tcPr>
            <w:tcW w:w="2357" w:type="dxa"/>
            <w:noWrap w:val="0"/>
            <w:vAlign w:val="center"/>
          </w:tcPr>
          <w:p>
            <w:pPr>
              <w:adjustRightInd w:val="0"/>
              <w:snapToGrid w:val="0"/>
              <w:ind w:right="105" w:rightChars="50"/>
              <w:jc w:val="center"/>
              <w:rPr>
                <w:rFonts w:hint="eastAsia" w:ascii="仿宋_GB2312" w:hAnsi="仿宋_GB2312" w:eastAsia="仿宋_GB2312" w:cs="仿宋_GB2312"/>
                <w:color w:val="auto"/>
                <w:szCs w:val="21"/>
              </w:rPr>
            </w:pPr>
          </w:p>
        </w:tc>
        <w:tc>
          <w:tcPr>
            <w:tcW w:w="1006" w:type="dxa"/>
            <w:noWrap w:val="0"/>
            <w:vAlign w:val="center"/>
          </w:tcPr>
          <w:p>
            <w:pPr>
              <w:adjustRightInd w:val="0"/>
              <w:snapToGrid w:val="0"/>
              <w:ind w:right="105" w:rightChars="50"/>
              <w:jc w:val="center"/>
              <w:rPr>
                <w:rFonts w:hint="eastAsia" w:ascii="仿宋_GB2312" w:hAnsi="仿宋_GB2312" w:eastAsia="仿宋_GB2312" w:cs="仿宋_GB2312"/>
                <w:color w:val="auto"/>
                <w:szCs w:val="21"/>
              </w:rPr>
            </w:pPr>
          </w:p>
        </w:tc>
        <w:tc>
          <w:tcPr>
            <w:tcW w:w="1100" w:type="dxa"/>
            <w:noWrap w:val="0"/>
            <w:vAlign w:val="center"/>
          </w:tcPr>
          <w:p>
            <w:pPr>
              <w:adjustRightInd w:val="0"/>
              <w:snapToGrid w:val="0"/>
              <w:ind w:right="105" w:rightChars="50"/>
              <w:jc w:val="center"/>
              <w:rPr>
                <w:rFonts w:hint="eastAsia" w:ascii="仿宋_GB2312" w:hAnsi="仿宋_GB2312" w:eastAsia="仿宋_GB2312" w:cs="仿宋_GB2312"/>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513" w:type="dxa"/>
            <w:noWrap w:val="0"/>
            <w:vAlign w:val="center"/>
          </w:tcPr>
          <w:p>
            <w:pPr>
              <w:adjustRightInd w:val="0"/>
              <w:snapToGrid w:val="0"/>
              <w:ind w:right="105" w:rightChars="50"/>
              <w:jc w:val="center"/>
              <w:rPr>
                <w:rFonts w:hint="eastAsia" w:ascii="仿宋_GB2312" w:hAnsi="仿宋_GB2312" w:eastAsia="仿宋_GB2312" w:cs="仿宋_GB2312"/>
                <w:color w:val="auto"/>
                <w:szCs w:val="21"/>
                <w:lang w:val="en-US" w:eastAsia="zh-CN"/>
              </w:rPr>
            </w:pPr>
            <w:r>
              <w:rPr>
                <w:rFonts w:hint="eastAsia" w:ascii="仿宋_GB2312" w:hAnsi="仿宋_GB2312" w:eastAsia="仿宋_GB2312" w:cs="仿宋_GB2312"/>
                <w:color w:val="auto"/>
                <w:szCs w:val="21"/>
                <w:lang w:val="en-US" w:eastAsia="zh-CN"/>
              </w:rPr>
              <w:t>5</w:t>
            </w:r>
          </w:p>
        </w:tc>
        <w:tc>
          <w:tcPr>
            <w:tcW w:w="3517" w:type="dxa"/>
            <w:noWrap w:val="0"/>
            <w:vAlign w:val="center"/>
          </w:tcPr>
          <w:p>
            <w:pPr>
              <w:adjustRightInd w:val="0"/>
              <w:snapToGrid w:val="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lang w:val="en-US" w:eastAsia="zh-CN"/>
              </w:rPr>
              <w:t>质保期：1年</w:t>
            </w:r>
          </w:p>
        </w:tc>
        <w:tc>
          <w:tcPr>
            <w:tcW w:w="2357" w:type="dxa"/>
            <w:noWrap w:val="0"/>
            <w:vAlign w:val="center"/>
          </w:tcPr>
          <w:p>
            <w:pPr>
              <w:adjustRightInd w:val="0"/>
              <w:snapToGrid w:val="0"/>
              <w:ind w:right="105" w:rightChars="50"/>
              <w:jc w:val="center"/>
              <w:rPr>
                <w:rFonts w:hint="eastAsia" w:ascii="仿宋_GB2312" w:hAnsi="仿宋_GB2312" w:eastAsia="仿宋_GB2312" w:cs="仿宋_GB2312"/>
                <w:color w:val="auto"/>
                <w:szCs w:val="21"/>
              </w:rPr>
            </w:pPr>
          </w:p>
        </w:tc>
        <w:tc>
          <w:tcPr>
            <w:tcW w:w="1006" w:type="dxa"/>
            <w:noWrap w:val="0"/>
            <w:vAlign w:val="center"/>
          </w:tcPr>
          <w:p>
            <w:pPr>
              <w:adjustRightInd w:val="0"/>
              <w:snapToGrid w:val="0"/>
              <w:ind w:right="105" w:rightChars="50"/>
              <w:jc w:val="center"/>
              <w:rPr>
                <w:rFonts w:hint="eastAsia" w:ascii="仿宋_GB2312" w:hAnsi="仿宋_GB2312" w:eastAsia="仿宋_GB2312" w:cs="仿宋_GB2312"/>
                <w:color w:val="auto"/>
                <w:szCs w:val="21"/>
              </w:rPr>
            </w:pPr>
          </w:p>
        </w:tc>
        <w:tc>
          <w:tcPr>
            <w:tcW w:w="1100" w:type="dxa"/>
            <w:noWrap w:val="0"/>
            <w:vAlign w:val="center"/>
          </w:tcPr>
          <w:p>
            <w:pPr>
              <w:adjustRightInd w:val="0"/>
              <w:snapToGrid w:val="0"/>
              <w:ind w:right="105" w:rightChars="50"/>
              <w:jc w:val="center"/>
              <w:rPr>
                <w:rFonts w:hint="eastAsia" w:ascii="仿宋_GB2312" w:hAnsi="仿宋_GB2312" w:eastAsia="仿宋_GB2312" w:cs="仿宋_GB2312"/>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513" w:type="dxa"/>
            <w:noWrap w:val="0"/>
            <w:vAlign w:val="center"/>
          </w:tcPr>
          <w:p>
            <w:pPr>
              <w:adjustRightInd w:val="0"/>
              <w:snapToGrid w:val="0"/>
              <w:ind w:right="105" w:rightChars="50"/>
              <w:jc w:val="center"/>
              <w:rPr>
                <w:rFonts w:hint="eastAsia" w:ascii="仿宋_GB2312" w:hAnsi="仿宋_GB2312" w:eastAsia="仿宋_GB2312" w:cs="仿宋_GB2312"/>
                <w:color w:val="auto"/>
                <w:szCs w:val="21"/>
                <w:lang w:val="en-US" w:eastAsia="zh-CN"/>
              </w:rPr>
            </w:pPr>
            <w:r>
              <w:rPr>
                <w:rFonts w:hint="eastAsia" w:ascii="仿宋_GB2312" w:hAnsi="仿宋_GB2312" w:eastAsia="仿宋_GB2312" w:cs="仿宋_GB2312"/>
                <w:color w:val="auto"/>
                <w:szCs w:val="21"/>
                <w:lang w:val="en-US" w:eastAsia="zh-CN"/>
              </w:rPr>
              <w:t>6</w:t>
            </w:r>
          </w:p>
        </w:tc>
        <w:tc>
          <w:tcPr>
            <w:tcW w:w="3517" w:type="dxa"/>
            <w:noWrap w:val="0"/>
            <w:vAlign w:val="center"/>
          </w:tcPr>
          <w:p>
            <w:pPr>
              <w:adjustRightInd w:val="0"/>
              <w:snapToGrid w:val="0"/>
              <w:ind w:hanging="1"/>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其它</w:t>
            </w:r>
          </w:p>
        </w:tc>
        <w:tc>
          <w:tcPr>
            <w:tcW w:w="2357" w:type="dxa"/>
            <w:noWrap w:val="0"/>
            <w:vAlign w:val="center"/>
          </w:tcPr>
          <w:p>
            <w:pPr>
              <w:adjustRightInd w:val="0"/>
              <w:snapToGrid w:val="0"/>
              <w:ind w:right="105" w:rightChars="50"/>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采购单位未提供需求而供应商认为需说明及补充的内容在此填列</w:t>
            </w:r>
          </w:p>
        </w:tc>
        <w:tc>
          <w:tcPr>
            <w:tcW w:w="1006" w:type="dxa"/>
            <w:noWrap w:val="0"/>
            <w:vAlign w:val="center"/>
          </w:tcPr>
          <w:p>
            <w:pPr>
              <w:adjustRightInd w:val="0"/>
              <w:snapToGrid w:val="0"/>
              <w:ind w:right="105" w:rightChars="50"/>
              <w:jc w:val="center"/>
              <w:rPr>
                <w:rFonts w:hint="eastAsia" w:ascii="仿宋_GB2312" w:hAnsi="仿宋_GB2312" w:eastAsia="仿宋_GB2312" w:cs="仿宋_GB2312"/>
                <w:color w:val="auto"/>
                <w:szCs w:val="21"/>
              </w:rPr>
            </w:pPr>
          </w:p>
        </w:tc>
        <w:tc>
          <w:tcPr>
            <w:tcW w:w="1100" w:type="dxa"/>
            <w:noWrap w:val="0"/>
            <w:vAlign w:val="center"/>
          </w:tcPr>
          <w:p>
            <w:pPr>
              <w:adjustRightInd w:val="0"/>
              <w:snapToGrid w:val="0"/>
              <w:ind w:right="105" w:rightChars="50"/>
              <w:jc w:val="center"/>
              <w:rPr>
                <w:rFonts w:hint="eastAsia" w:ascii="仿宋_GB2312" w:hAnsi="仿宋_GB2312" w:eastAsia="仿宋_GB2312" w:cs="仿宋_GB2312"/>
                <w:color w:val="auto"/>
                <w:szCs w:val="21"/>
              </w:rPr>
            </w:pPr>
          </w:p>
        </w:tc>
      </w:tr>
    </w:tbl>
    <w:p>
      <w:pPr>
        <w:adjustRightInd w:val="0"/>
        <w:snapToGrid w:val="0"/>
        <w:spacing w:line="360" w:lineRule="auto"/>
        <w:ind w:right="105" w:rightChars="50"/>
        <w:jc w:val="left"/>
        <w:rPr>
          <w:rFonts w:hint="eastAsia" w:ascii="仿宋_GB2312" w:hAnsi="仿宋_GB2312" w:eastAsia="仿宋_GB2312" w:cs="仿宋_GB2312"/>
          <w:color w:val="auto"/>
          <w:szCs w:val="21"/>
        </w:rPr>
      </w:pPr>
      <w:r>
        <w:rPr>
          <w:rFonts w:hint="eastAsia" w:ascii="仿宋_GB2312" w:hAnsi="仿宋_GB2312" w:eastAsia="仿宋_GB2312" w:cs="仿宋_GB2312"/>
          <w:b/>
          <w:color w:val="auto"/>
          <w:szCs w:val="21"/>
        </w:rPr>
        <w:t>填表说明：</w:t>
      </w:r>
    </w:p>
    <w:p>
      <w:pPr>
        <w:adjustRightInd w:val="0"/>
        <w:snapToGrid w:val="0"/>
        <w:spacing w:line="360" w:lineRule="auto"/>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1．“响应文件响应内容”一栏由供应商填写。</w:t>
      </w:r>
    </w:p>
    <w:p>
      <w:pPr>
        <w:adjustRightInd w:val="0"/>
        <w:snapToGrid w:val="0"/>
        <w:spacing w:line="360" w:lineRule="auto"/>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2．“偏离程度”一栏根据“响应文件响应内容”与采购文件逐项对照的结果填写。偏离必须用 “正偏离、负偏离或无偏离”三个名称中的一种进行标注。</w:t>
      </w:r>
    </w:p>
    <w:p>
      <w:pPr>
        <w:adjustRightInd w:val="0"/>
        <w:snapToGrid w:val="0"/>
        <w:spacing w:line="360" w:lineRule="auto"/>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3．“偏离说明”一栏由供应商对偏离的情况做详细说明。</w:t>
      </w:r>
    </w:p>
    <w:p>
      <w:pPr>
        <w:adjustRightInd w:val="0"/>
        <w:snapToGrid w:val="0"/>
        <w:spacing w:line="360" w:lineRule="auto"/>
        <w:ind w:right="105" w:rightChars="50" w:firstLine="476" w:firstLineChars="227"/>
        <w:jc w:val="left"/>
        <w:rPr>
          <w:rFonts w:hint="eastAsia" w:ascii="仿宋_GB2312" w:hAnsi="仿宋_GB2312" w:eastAsia="仿宋_GB2312" w:cs="仿宋_GB2312"/>
          <w:color w:val="auto"/>
          <w:szCs w:val="21"/>
        </w:rPr>
      </w:pPr>
    </w:p>
    <w:p>
      <w:pPr>
        <w:adjustRightInd w:val="0"/>
        <w:snapToGrid w:val="0"/>
        <w:spacing w:line="480" w:lineRule="auto"/>
        <w:ind w:right="105" w:rightChars="50"/>
        <w:jc w:val="left"/>
        <w:rPr>
          <w:rFonts w:hint="eastAsia" w:ascii="仿宋_GB2312" w:hAnsi="仿宋_GB2312" w:eastAsia="仿宋_GB2312" w:cs="仿宋_GB2312"/>
          <w:color w:val="auto"/>
          <w:szCs w:val="21"/>
          <w:u w:val="single"/>
        </w:rPr>
      </w:pPr>
      <w:r>
        <w:rPr>
          <w:rFonts w:hint="eastAsia" w:ascii="仿宋_GB2312" w:hAnsi="仿宋_GB2312" w:eastAsia="仿宋_GB2312" w:cs="仿宋_GB2312"/>
          <w:color w:val="auto"/>
          <w:szCs w:val="21"/>
        </w:rPr>
        <w:t>供应商名称(加盖单位公章):</w:t>
      </w:r>
      <w:r>
        <w:rPr>
          <w:rFonts w:hint="eastAsia" w:ascii="仿宋_GB2312" w:hAnsi="仿宋_GB2312" w:eastAsia="仿宋_GB2312" w:cs="仿宋_GB2312"/>
          <w:color w:val="auto"/>
          <w:szCs w:val="21"/>
          <w:u w:val="single"/>
        </w:rPr>
        <w:t xml:space="preserve">               </w:t>
      </w:r>
    </w:p>
    <w:p>
      <w:pPr>
        <w:adjustRightInd w:val="0"/>
        <w:snapToGrid w:val="0"/>
        <w:spacing w:line="480" w:lineRule="auto"/>
        <w:ind w:right="105" w:rightChars="50"/>
        <w:jc w:val="left"/>
        <w:rPr>
          <w:rFonts w:hint="eastAsia" w:ascii="仿宋_GB2312" w:hAnsi="仿宋_GB2312" w:eastAsia="仿宋_GB2312" w:cs="仿宋_GB2312"/>
          <w:color w:val="auto"/>
          <w:szCs w:val="21"/>
          <w:u w:val="single"/>
        </w:rPr>
      </w:pPr>
      <w:r>
        <w:rPr>
          <w:rFonts w:hint="eastAsia" w:ascii="仿宋_GB2312" w:hAnsi="仿宋_GB2312" w:eastAsia="仿宋_GB2312" w:cs="仿宋_GB2312"/>
          <w:color w:val="auto"/>
          <w:szCs w:val="21"/>
        </w:rPr>
        <w:t>法定代表人（或非法人组织负责人）或其授权委托人</w:t>
      </w:r>
      <w:r>
        <w:rPr>
          <w:rFonts w:hint="eastAsia" w:ascii="仿宋_GB2312" w:hAnsi="仿宋_GB2312" w:eastAsia="仿宋_GB2312" w:cs="仿宋_GB2312"/>
          <w:color w:val="auto"/>
        </w:rPr>
        <w:t>(签字或盖章)</w:t>
      </w:r>
      <w:r>
        <w:rPr>
          <w:rFonts w:hint="eastAsia" w:ascii="仿宋_GB2312" w:hAnsi="仿宋_GB2312" w:eastAsia="仿宋_GB2312" w:cs="仿宋_GB2312"/>
          <w:color w:val="auto"/>
          <w:szCs w:val="21"/>
        </w:rPr>
        <w:t>:</w:t>
      </w:r>
      <w:r>
        <w:rPr>
          <w:rFonts w:hint="eastAsia" w:ascii="仿宋_GB2312" w:hAnsi="仿宋_GB2312" w:eastAsia="仿宋_GB2312" w:cs="仿宋_GB2312"/>
          <w:color w:val="auto"/>
          <w:szCs w:val="21"/>
          <w:u w:val="single"/>
        </w:rPr>
        <w:t xml:space="preserve">               </w:t>
      </w:r>
    </w:p>
    <w:p>
      <w:pPr>
        <w:adjustRightInd w:val="0"/>
        <w:snapToGrid w:val="0"/>
        <w:spacing w:line="480" w:lineRule="auto"/>
        <w:ind w:right="105" w:rightChars="50"/>
        <w:jc w:val="left"/>
        <w:rPr>
          <w:rFonts w:hint="eastAsia" w:ascii="仿宋_GB2312" w:hAnsi="仿宋_GB2312" w:eastAsia="仿宋_GB2312" w:cs="仿宋_GB2312"/>
          <w:color w:val="auto"/>
          <w:szCs w:val="21"/>
          <w:u w:val="single"/>
        </w:rPr>
      </w:pPr>
      <w:r>
        <w:rPr>
          <w:rFonts w:hint="eastAsia" w:ascii="仿宋_GB2312" w:hAnsi="仿宋_GB2312" w:eastAsia="仿宋_GB2312" w:cs="仿宋_GB2312"/>
          <w:color w:val="auto"/>
          <w:szCs w:val="21"/>
        </w:rPr>
        <w:t>日期:</w:t>
      </w:r>
      <w:r>
        <w:rPr>
          <w:rFonts w:hint="eastAsia" w:ascii="仿宋_GB2312" w:hAnsi="仿宋_GB2312" w:eastAsia="仿宋_GB2312" w:cs="仿宋_GB2312"/>
          <w:color w:val="auto"/>
          <w:szCs w:val="21"/>
          <w:u w:val="single"/>
        </w:rPr>
        <w:t xml:space="preserve">                               </w:t>
      </w:r>
    </w:p>
    <w:p>
      <w:pPr>
        <w:adjustRightInd w:val="0"/>
        <w:snapToGrid w:val="0"/>
        <w:spacing w:line="480" w:lineRule="auto"/>
        <w:ind w:right="105" w:rightChars="50"/>
        <w:jc w:val="left"/>
        <w:rPr>
          <w:rFonts w:hint="eastAsia" w:ascii="仿宋_GB2312" w:hAnsi="仿宋_GB2312" w:eastAsia="仿宋_GB2312" w:cs="仿宋_GB2312"/>
          <w:color w:val="auto"/>
          <w:szCs w:val="21"/>
          <w:u w:val="single"/>
        </w:rPr>
      </w:pPr>
    </w:p>
    <w:p>
      <w:pPr>
        <w:adjustRightInd w:val="0"/>
        <w:snapToGrid w:val="0"/>
        <w:spacing w:line="480" w:lineRule="auto"/>
        <w:ind w:right="105" w:rightChars="50"/>
        <w:jc w:val="left"/>
        <w:rPr>
          <w:rFonts w:hint="eastAsia" w:ascii="仿宋_GB2312" w:hAnsi="仿宋_GB2312" w:eastAsia="仿宋_GB2312" w:cs="仿宋_GB2312"/>
          <w:color w:val="auto"/>
          <w:szCs w:val="21"/>
          <w:u w:val="single"/>
        </w:rPr>
      </w:pPr>
    </w:p>
    <w:p>
      <w:pPr>
        <w:adjustRightInd w:val="0"/>
        <w:snapToGrid w:val="0"/>
        <w:spacing w:line="480" w:lineRule="auto"/>
        <w:ind w:right="105" w:rightChars="50"/>
        <w:jc w:val="left"/>
        <w:rPr>
          <w:rFonts w:hint="eastAsia" w:ascii="仿宋_GB2312" w:hAnsi="仿宋_GB2312" w:eastAsia="仿宋_GB2312" w:cs="仿宋_GB2312"/>
          <w:color w:val="auto"/>
          <w:szCs w:val="21"/>
          <w:u w:val="single"/>
        </w:rPr>
      </w:pPr>
    </w:p>
    <w:p>
      <w:pPr>
        <w:adjustRightInd w:val="0"/>
        <w:snapToGrid w:val="0"/>
        <w:spacing w:line="480" w:lineRule="auto"/>
        <w:ind w:right="105" w:rightChars="50"/>
        <w:jc w:val="left"/>
        <w:rPr>
          <w:rFonts w:hint="eastAsia" w:ascii="仿宋_GB2312" w:hAnsi="仿宋_GB2312" w:eastAsia="仿宋_GB2312" w:cs="仿宋_GB2312"/>
          <w:color w:val="auto"/>
          <w:szCs w:val="21"/>
          <w:u w:val="single"/>
        </w:rPr>
      </w:pPr>
    </w:p>
    <w:p>
      <w:pPr>
        <w:wordWrap w:val="0"/>
        <w:adjustRightInd w:val="0"/>
        <w:snapToGrid w:val="0"/>
        <w:spacing w:line="360" w:lineRule="auto"/>
        <w:ind w:right="105" w:rightChars="50"/>
        <w:outlineLvl w:val="1"/>
        <w:rPr>
          <w:rFonts w:hint="eastAsia" w:ascii="仿宋_GB2312" w:hAnsi="仿宋_GB2312" w:eastAsia="仿宋_GB2312" w:cs="仿宋_GB2312"/>
          <w:b/>
          <w:bCs/>
          <w:color w:val="auto"/>
          <w:sz w:val="28"/>
          <w:szCs w:val="28"/>
          <w:lang w:eastAsia="zh-CN"/>
        </w:rPr>
      </w:pPr>
      <w:bookmarkStart w:id="86" w:name="_Toc4485638"/>
      <w:bookmarkStart w:id="87" w:name="_Toc533340162"/>
      <w:r>
        <w:rPr>
          <w:rFonts w:hint="eastAsia" w:ascii="仿宋_GB2312" w:hAnsi="仿宋_GB2312" w:eastAsia="仿宋_GB2312" w:cs="仿宋_GB2312"/>
          <w:b/>
          <w:bCs/>
          <w:color w:val="auto"/>
          <w:sz w:val="28"/>
          <w:szCs w:val="28"/>
        </w:rPr>
        <w:t>格式1</w:t>
      </w:r>
      <w:bookmarkEnd w:id="86"/>
      <w:bookmarkEnd w:id="87"/>
      <w:r>
        <w:rPr>
          <w:rFonts w:hint="eastAsia" w:ascii="仿宋_GB2312" w:hAnsi="仿宋_GB2312" w:eastAsia="仿宋_GB2312" w:cs="仿宋_GB2312"/>
          <w:b/>
          <w:bCs/>
          <w:color w:val="auto"/>
          <w:sz w:val="28"/>
          <w:szCs w:val="28"/>
          <w:lang w:val="en-US" w:eastAsia="zh-CN"/>
        </w:rPr>
        <w:t>4</w:t>
      </w:r>
    </w:p>
    <w:p>
      <w:pPr>
        <w:spacing w:before="319" w:beforeLines="100" w:after="319" w:afterLines="100" w:line="360" w:lineRule="auto"/>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供应商关联单位的说明</w:t>
      </w:r>
    </w:p>
    <w:p>
      <w:pPr>
        <w:adjustRightInd w:val="0"/>
        <w:snapToGrid w:val="0"/>
        <w:spacing w:line="360" w:lineRule="auto"/>
        <w:ind w:right="105" w:rightChars="50" w:firstLine="476" w:firstLineChars="227"/>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说明：供应商应当如实披露与本单位存在下列关联关系的单位名称：</w:t>
      </w:r>
    </w:p>
    <w:p>
      <w:pPr>
        <w:adjustRightInd w:val="0"/>
        <w:snapToGrid w:val="0"/>
        <w:spacing w:line="360" w:lineRule="auto"/>
        <w:ind w:right="105" w:rightChars="50" w:firstLine="476" w:firstLineChars="227"/>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（1）与供应商单位法定代表人（或非法人组织负责人）为同一人的其他单位；</w:t>
      </w:r>
    </w:p>
    <w:p>
      <w:pPr>
        <w:adjustRightInd w:val="0"/>
        <w:snapToGrid w:val="0"/>
        <w:spacing w:line="360" w:lineRule="auto"/>
        <w:ind w:right="105" w:rightChars="50" w:firstLine="476" w:firstLineChars="227"/>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（2）与供应商存在直接控股、管理关系的其他单位。</w:t>
      </w:r>
    </w:p>
    <w:p>
      <w:pPr>
        <w:adjustRightInd w:val="0"/>
        <w:snapToGrid w:val="0"/>
        <w:spacing w:line="360" w:lineRule="auto"/>
        <w:ind w:right="105" w:rightChars="50" w:firstLine="476" w:firstLineChars="227"/>
        <w:jc w:val="left"/>
        <w:rPr>
          <w:rFonts w:hint="eastAsia" w:ascii="仿宋_GB2312" w:hAnsi="仿宋_GB2312" w:eastAsia="仿宋_GB2312" w:cs="仿宋_GB2312"/>
          <w:color w:val="auto"/>
          <w:szCs w:val="21"/>
        </w:rPr>
      </w:pPr>
    </w:p>
    <w:p>
      <w:pPr>
        <w:adjustRightInd w:val="0"/>
        <w:snapToGrid w:val="0"/>
        <w:spacing w:line="360" w:lineRule="auto"/>
        <w:ind w:right="105" w:rightChars="50" w:firstLine="476" w:firstLineChars="227"/>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注：若无此情形，写“无”即可</w:t>
      </w:r>
    </w:p>
    <w:p>
      <w:pPr>
        <w:adjustRightInd w:val="0"/>
        <w:snapToGrid w:val="0"/>
        <w:spacing w:line="360" w:lineRule="auto"/>
        <w:ind w:right="105" w:rightChars="50" w:firstLine="476" w:firstLineChars="227"/>
        <w:jc w:val="left"/>
        <w:rPr>
          <w:rFonts w:hint="eastAsia" w:ascii="仿宋_GB2312" w:hAnsi="仿宋_GB2312" w:eastAsia="仿宋_GB2312" w:cs="仿宋_GB2312"/>
          <w:color w:val="auto"/>
          <w:szCs w:val="21"/>
        </w:rPr>
      </w:pPr>
    </w:p>
    <w:p>
      <w:pPr>
        <w:adjustRightInd w:val="0"/>
        <w:snapToGrid w:val="0"/>
        <w:spacing w:line="360" w:lineRule="auto"/>
        <w:ind w:right="105" w:rightChars="50"/>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 xml:space="preserve"> </w:t>
      </w:r>
    </w:p>
    <w:p>
      <w:pPr>
        <w:adjustRightInd w:val="0"/>
        <w:snapToGrid w:val="0"/>
        <w:spacing w:line="360" w:lineRule="auto"/>
        <w:ind w:right="105" w:rightChars="50"/>
        <w:jc w:val="left"/>
        <w:rPr>
          <w:rFonts w:hint="eastAsia" w:ascii="仿宋_GB2312" w:hAnsi="仿宋_GB2312" w:eastAsia="仿宋_GB2312" w:cs="仿宋_GB2312"/>
          <w:color w:val="auto"/>
          <w:szCs w:val="21"/>
        </w:rPr>
      </w:pPr>
    </w:p>
    <w:p>
      <w:pPr>
        <w:adjustRightInd w:val="0"/>
        <w:snapToGrid w:val="0"/>
        <w:spacing w:line="360" w:lineRule="auto"/>
        <w:ind w:right="105" w:rightChars="50"/>
        <w:jc w:val="left"/>
        <w:rPr>
          <w:rFonts w:hint="eastAsia" w:ascii="仿宋_GB2312" w:hAnsi="仿宋_GB2312" w:eastAsia="仿宋_GB2312" w:cs="仿宋_GB2312"/>
          <w:color w:val="auto"/>
          <w:szCs w:val="21"/>
        </w:rPr>
      </w:pPr>
    </w:p>
    <w:p>
      <w:pPr>
        <w:adjustRightInd w:val="0"/>
        <w:snapToGrid w:val="0"/>
        <w:spacing w:line="360" w:lineRule="auto"/>
        <w:ind w:right="105" w:rightChars="50"/>
        <w:jc w:val="left"/>
        <w:rPr>
          <w:rFonts w:hint="eastAsia" w:ascii="仿宋_GB2312" w:hAnsi="仿宋_GB2312" w:eastAsia="仿宋_GB2312" w:cs="仿宋_GB2312"/>
          <w:color w:val="auto"/>
          <w:szCs w:val="21"/>
        </w:rPr>
      </w:pPr>
    </w:p>
    <w:p>
      <w:pPr>
        <w:adjustRightInd w:val="0"/>
        <w:snapToGrid w:val="0"/>
        <w:spacing w:line="360" w:lineRule="auto"/>
        <w:ind w:right="105" w:rightChars="50"/>
        <w:jc w:val="left"/>
        <w:rPr>
          <w:rFonts w:hint="eastAsia" w:ascii="仿宋_GB2312" w:hAnsi="仿宋_GB2312" w:eastAsia="仿宋_GB2312" w:cs="仿宋_GB2312"/>
          <w:color w:val="auto"/>
          <w:szCs w:val="21"/>
        </w:rPr>
      </w:pPr>
    </w:p>
    <w:p>
      <w:pPr>
        <w:adjustRightInd w:val="0"/>
        <w:snapToGrid w:val="0"/>
        <w:spacing w:line="360" w:lineRule="auto"/>
        <w:ind w:right="105" w:rightChars="50"/>
        <w:jc w:val="left"/>
        <w:rPr>
          <w:rFonts w:hint="eastAsia" w:ascii="仿宋_GB2312" w:hAnsi="仿宋_GB2312" w:eastAsia="仿宋_GB2312" w:cs="仿宋_GB2312"/>
          <w:color w:val="auto"/>
          <w:szCs w:val="21"/>
        </w:rPr>
      </w:pPr>
    </w:p>
    <w:p>
      <w:pPr>
        <w:adjustRightInd w:val="0"/>
        <w:snapToGrid w:val="0"/>
        <w:spacing w:line="480" w:lineRule="auto"/>
        <w:ind w:right="105" w:rightChars="50"/>
        <w:jc w:val="left"/>
        <w:rPr>
          <w:rFonts w:hint="eastAsia" w:ascii="仿宋_GB2312" w:hAnsi="仿宋_GB2312" w:eastAsia="仿宋_GB2312" w:cs="仿宋_GB2312"/>
          <w:color w:val="auto"/>
          <w:szCs w:val="21"/>
          <w:u w:val="single"/>
        </w:rPr>
      </w:pPr>
      <w:r>
        <w:rPr>
          <w:rFonts w:hint="eastAsia" w:ascii="仿宋_GB2312" w:hAnsi="仿宋_GB2312" w:eastAsia="仿宋_GB2312" w:cs="仿宋_GB2312"/>
          <w:color w:val="auto"/>
          <w:szCs w:val="21"/>
        </w:rPr>
        <w:t>供应商名称(加盖单位公章):</w:t>
      </w:r>
      <w:r>
        <w:rPr>
          <w:rFonts w:hint="eastAsia" w:ascii="仿宋_GB2312" w:hAnsi="仿宋_GB2312" w:eastAsia="仿宋_GB2312" w:cs="仿宋_GB2312"/>
          <w:color w:val="auto"/>
          <w:szCs w:val="21"/>
          <w:u w:val="single"/>
        </w:rPr>
        <w:t xml:space="preserve">               </w:t>
      </w:r>
    </w:p>
    <w:p>
      <w:pPr>
        <w:adjustRightInd w:val="0"/>
        <w:snapToGrid w:val="0"/>
        <w:spacing w:line="480" w:lineRule="auto"/>
        <w:ind w:right="105" w:rightChars="50"/>
        <w:jc w:val="left"/>
        <w:rPr>
          <w:rFonts w:hint="eastAsia" w:ascii="仿宋_GB2312" w:hAnsi="仿宋_GB2312" w:eastAsia="仿宋_GB2312" w:cs="仿宋_GB2312"/>
          <w:color w:val="auto"/>
          <w:szCs w:val="21"/>
          <w:u w:val="single"/>
        </w:rPr>
      </w:pPr>
      <w:r>
        <w:rPr>
          <w:rFonts w:hint="eastAsia" w:ascii="仿宋_GB2312" w:hAnsi="仿宋_GB2312" w:eastAsia="仿宋_GB2312" w:cs="仿宋_GB2312"/>
          <w:color w:val="auto"/>
          <w:szCs w:val="21"/>
        </w:rPr>
        <w:t>法定代表人（或非法人组织负责人）或其授权委托人</w:t>
      </w:r>
      <w:r>
        <w:rPr>
          <w:rFonts w:hint="eastAsia" w:ascii="仿宋_GB2312" w:hAnsi="仿宋_GB2312" w:eastAsia="仿宋_GB2312" w:cs="仿宋_GB2312"/>
          <w:color w:val="auto"/>
        </w:rPr>
        <w:t>(签字或盖章)</w:t>
      </w:r>
      <w:r>
        <w:rPr>
          <w:rFonts w:hint="eastAsia" w:ascii="仿宋_GB2312" w:hAnsi="仿宋_GB2312" w:eastAsia="仿宋_GB2312" w:cs="仿宋_GB2312"/>
          <w:color w:val="auto"/>
          <w:szCs w:val="21"/>
        </w:rPr>
        <w:t>:</w:t>
      </w:r>
      <w:r>
        <w:rPr>
          <w:rFonts w:hint="eastAsia" w:ascii="仿宋_GB2312" w:hAnsi="仿宋_GB2312" w:eastAsia="仿宋_GB2312" w:cs="仿宋_GB2312"/>
          <w:color w:val="auto"/>
          <w:szCs w:val="21"/>
          <w:u w:val="single"/>
        </w:rPr>
        <w:t xml:space="preserve">               </w:t>
      </w:r>
    </w:p>
    <w:p>
      <w:pPr>
        <w:adjustRightInd w:val="0"/>
        <w:snapToGrid w:val="0"/>
        <w:spacing w:line="480" w:lineRule="auto"/>
        <w:ind w:right="105" w:rightChars="50"/>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日期:</w:t>
      </w:r>
      <w:r>
        <w:rPr>
          <w:rFonts w:hint="eastAsia" w:ascii="仿宋_GB2312" w:hAnsi="仿宋_GB2312" w:eastAsia="仿宋_GB2312" w:cs="仿宋_GB2312"/>
          <w:color w:val="auto"/>
          <w:szCs w:val="21"/>
          <w:u w:val="single"/>
        </w:rPr>
        <w:t xml:space="preserve">                              </w:t>
      </w:r>
    </w:p>
    <w:p>
      <w:pPr>
        <w:spacing w:line="360" w:lineRule="auto"/>
        <w:outlineLvl w:val="1"/>
        <w:rPr>
          <w:rFonts w:hint="eastAsia" w:ascii="仿宋_GB2312" w:hAnsi="仿宋_GB2312" w:eastAsia="仿宋_GB2312" w:cs="仿宋_GB2312"/>
          <w:b/>
          <w:bCs/>
          <w:color w:val="auto"/>
          <w:sz w:val="28"/>
          <w:szCs w:val="28"/>
          <w:lang w:eastAsia="zh-CN"/>
        </w:rPr>
      </w:pPr>
      <w:r>
        <w:rPr>
          <w:rFonts w:hint="eastAsia" w:ascii="仿宋_GB2312" w:hAnsi="仿宋_GB2312" w:eastAsia="仿宋_GB2312" w:cs="仿宋_GB2312"/>
          <w:color w:val="auto"/>
          <w:szCs w:val="21"/>
          <w:u w:val="single"/>
        </w:rPr>
        <w:br w:type="page"/>
      </w:r>
      <w:bookmarkStart w:id="88" w:name="_Toc533340164"/>
      <w:bookmarkStart w:id="89" w:name="_Toc4485640"/>
      <w:r>
        <w:rPr>
          <w:rFonts w:hint="eastAsia" w:ascii="仿宋_GB2312" w:hAnsi="仿宋_GB2312" w:eastAsia="仿宋_GB2312" w:cs="仿宋_GB2312"/>
          <w:b/>
          <w:bCs/>
          <w:color w:val="auto"/>
          <w:sz w:val="28"/>
          <w:szCs w:val="28"/>
        </w:rPr>
        <w:t>格式1</w:t>
      </w:r>
      <w:bookmarkEnd w:id="88"/>
      <w:bookmarkEnd w:id="89"/>
      <w:r>
        <w:rPr>
          <w:rFonts w:hint="eastAsia" w:ascii="仿宋_GB2312" w:hAnsi="仿宋_GB2312" w:eastAsia="仿宋_GB2312" w:cs="仿宋_GB2312"/>
          <w:b/>
          <w:bCs/>
          <w:color w:val="auto"/>
          <w:sz w:val="28"/>
          <w:szCs w:val="28"/>
          <w:lang w:val="en-US" w:eastAsia="zh-CN"/>
        </w:rPr>
        <w:t>5</w:t>
      </w:r>
    </w:p>
    <w:p>
      <w:pPr>
        <w:adjustRightInd w:val="0"/>
        <w:snapToGrid w:val="0"/>
        <w:spacing w:before="319" w:beforeLines="100" w:after="319" w:afterLines="100" w:line="360" w:lineRule="auto"/>
        <w:ind w:right="105" w:rightChars="50"/>
        <w:jc w:val="center"/>
        <w:rPr>
          <w:rFonts w:ascii="仿宋_GB2312" w:hAnsi="仿宋_GB2312" w:eastAsia="仿宋_GB2312" w:cs="仿宋_GB2312"/>
          <w:b/>
          <w:bCs/>
          <w:color w:val="auto"/>
          <w:sz w:val="32"/>
          <w:szCs w:val="32"/>
        </w:rPr>
      </w:pPr>
      <w:bookmarkStart w:id="90" w:name="_Toc4541_WPSOffice_Level2"/>
      <w:bookmarkStart w:id="91" w:name="_Toc19164_WPSOffice_Level2"/>
      <w:r>
        <w:rPr>
          <w:rFonts w:hint="eastAsia" w:ascii="仿宋_GB2312" w:hAnsi="仿宋_GB2312" w:eastAsia="仿宋_GB2312" w:cs="仿宋_GB2312"/>
          <w:b/>
          <w:bCs/>
          <w:color w:val="auto"/>
          <w:sz w:val="32"/>
          <w:szCs w:val="32"/>
        </w:rPr>
        <w:t>中小企业声明函</w:t>
      </w:r>
      <w:bookmarkEnd w:id="90"/>
      <w:bookmarkEnd w:id="91"/>
      <w:r>
        <w:rPr>
          <w:rFonts w:hint="eastAsia" w:ascii="仿宋_GB2312" w:hAnsi="仿宋_GB2312" w:eastAsia="仿宋_GB2312" w:cs="仿宋_GB2312"/>
          <w:b/>
          <w:bCs/>
          <w:color w:val="auto"/>
          <w:sz w:val="32"/>
          <w:szCs w:val="32"/>
        </w:rPr>
        <w:t>（工程、服务）</w:t>
      </w:r>
    </w:p>
    <w:p>
      <w:pPr>
        <w:adjustRightInd w:val="0"/>
        <w:snapToGrid w:val="0"/>
        <w:spacing w:line="480" w:lineRule="auto"/>
        <w:ind w:right="105" w:rightChars="50"/>
        <w:jc w:val="left"/>
        <w:rPr>
          <w:rFonts w:ascii="仿宋_GB2312" w:hAnsi="仿宋_GB2312" w:eastAsia="仿宋_GB2312" w:cs="仿宋_GB2312"/>
          <w:color w:val="auto"/>
          <w:kern w:val="0"/>
          <w:szCs w:val="21"/>
        </w:rPr>
      </w:pPr>
    </w:p>
    <w:p>
      <w:pPr>
        <w:adjustRightInd w:val="0"/>
        <w:snapToGrid w:val="0"/>
        <w:spacing w:line="480" w:lineRule="auto"/>
        <w:ind w:right="105" w:rightChars="50" w:firstLine="420" w:firstLineChars="200"/>
        <w:jc w:val="left"/>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本公司（联合体）郑重声明，根据《政府采购促进中小企业发展管理办法》（财库</w:t>
      </w:r>
      <w:r>
        <w:rPr>
          <w:rFonts w:hint="eastAsia" w:ascii="微软雅黑" w:hAnsi="微软雅黑" w:eastAsia="微软雅黑" w:cs="微软雅黑"/>
          <w:color w:val="auto"/>
          <w:kern w:val="0"/>
          <w:szCs w:val="21"/>
        </w:rPr>
        <w:t>﹝</w:t>
      </w:r>
      <w:r>
        <w:rPr>
          <w:rFonts w:hint="eastAsia" w:ascii="仿宋_GB2312" w:hAnsi="仿宋_GB2312" w:eastAsia="仿宋_GB2312" w:cs="仿宋_GB2312"/>
          <w:color w:val="auto"/>
          <w:kern w:val="0"/>
          <w:szCs w:val="21"/>
        </w:rPr>
        <w:t>2020</w:t>
      </w:r>
      <w:r>
        <w:rPr>
          <w:rFonts w:hint="eastAsia" w:ascii="微软雅黑" w:hAnsi="微软雅黑" w:eastAsia="微软雅黑" w:cs="微软雅黑"/>
          <w:color w:val="auto"/>
          <w:kern w:val="0"/>
          <w:szCs w:val="21"/>
        </w:rPr>
        <w:t>﹞</w:t>
      </w:r>
      <w:r>
        <w:rPr>
          <w:rFonts w:hint="eastAsia" w:ascii="仿宋_GB2312" w:hAnsi="仿宋_GB2312" w:eastAsia="仿宋_GB2312" w:cs="仿宋_GB2312"/>
          <w:color w:val="auto"/>
          <w:kern w:val="0"/>
          <w:szCs w:val="21"/>
        </w:rPr>
        <w:t>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pPr>
        <w:adjustRightInd w:val="0"/>
        <w:snapToGrid w:val="0"/>
        <w:spacing w:line="480" w:lineRule="auto"/>
        <w:ind w:right="105" w:rightChars="50" w:firstLine="420" w:firstLineChars="200"/>
        <w:jc w:val="left"/>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 xml:space="preserve">1.（标的名称），属于（采购文件中明确的所属行业）；承建（承接）企业为（企业名称），从业人员     人，营业收入为万元，资产总额为      万元1，属于（中型企业、小型企业、微型企业）； </w:t>
      </w:r>
    </w:p>
    <w:p>
      <w:pPr>
        <w:adjustRightInd w:val="0"/>
        <w:snapToGrid w:val="0"/>
        <w:spacing w:line="480" w:lineRule="auto"/>
        <w:ind w:right="105" w:rightChars="50"/>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 xml:space="preserve"> </w:t>
      </w:r>
      <w:r>
        <w:rPr>
          <w:rFonts w:ascii="仿宋_GB2312" w:hAnsi="仿宋_GB2312" w:eastAsia="仿宋_GB2312" w:cs="仿宋_GB2312"/>
          <w:color w:val="auto"/>
          <w:kern w:val="0"/>
          <w:szCs w:val="21"/>
        </w:rPr>
        <w:t xml:space="preserve">  </w:t>
      </w:r>
      <w:r>
        <w:rPr>
          <w:rFonts w:hint="eastAsia" w:ascii="仿宋_GB2312" w:hAnsi="仿宋_GB2312" w:eastAsia="仿宋_GB2312" w:cs="仿宋_GB2312"/>
          <w:color w:val="auto"/>
          <w:kern w:val="0"/>
          <w:szCs w:val="21"/>
        </w:rPr>
        <w:t xml:space="preserve"> 2.（标的名称） ，属于（采购文件中明确的所属行业）；承建（承接）企业为（企业名称），从业人员      人，营业收入为         万元，资产总额为    万元，属于（中型企业、小型企业、微型企业）； </w:t>
      </w:r>
    </w:p>
    <w:p>
      <w:pPr>
        <w:adjustRightInd w:val="0"/>
        <w:snapToGrid w:val="0"/>
        <w:spacing w:line="480" w:lineRule="auto"/>
        <w:ind w:right="105" w:rightChars="50" w:firstLine="420" w:firstLineChars="200"/>
        <w:jc w:val="left"/>
        <w:rPr>
          <w:rFonts w:hint="eastAsia" w:ascii="仿宋_GB2312" w:hAnsi="仿宋_GB2312" w:eastAsia="仿宋_GB2312" w:cs="仿宋_GB2312"/>
          <w:color w:val="auto"/>
          <w:kern w:val="0"/>
          <w:szCs w:val="21"/>
        </w:rPr>
      </w:pPr>
      <w:r>
        <w:rPr>
          <w:rFonts w:ascii="仿宋_GB2312" w:hAnsi="仿宋_GB2312" w:eastAsia="仿宋_GB2312" w:cs="仿宋_GB2312"/>
          <w:color w:val="auto"/>
          <w:kern w:val="0"/>
          <w:szCs w:val="21"/>
        </w:rPr>
        <w:t xml:space="preserve">…… </w:t>
      </w:r>
    </w:p>
    <w:p>
      <w:pPr>
        <w:adjustRightInd w:val="0"/>
        <w:snapToGrid w:val="0"/>
        <w:spacing w:line="480" w:lineRule="auto"/>
        <w:ind w:right="105" w:rightChars="50"/>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 xml:space="preserve">     以上企业，不属于大企业的分支机构，不存在控股股东为大企业的情形，也不存在与大企业的负责人为同一人的情形。</w:t>
      </w:r>
    </w:p>
    <w:p>
      <w:pPr>
        <w:adjustRightInd w:val="0"/>
        <w:snapToGrid w:val="0"/>
        <w:spacing w:line="480" w:lineRule="auto"/>
        <w:ind w:right="105" w:rightChars="50" w:firstLine="420" w:firstLineChars="200"/>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本企业对上述声明内容的真实性负责。如有虚假，将依法承担相应责任。</w:t>
      </w:r>
    </w:p>
    <w:p>
      <w:pPr>
        <w:adjustRightInd w:val="0"/>
        <w:snapToGrid w:val="0"/>
        <w:spacing w:line="480" w:lineRule="auto"/>
        <w:ind w:right="105" w:rightChars="50" w:firstLine="420" w:firstLineChars="200"/>
        <w:jc w:val="left"/>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 xml:space="preserve"> </w:t>
      </w:r>
    </w:p>
    <w:p>
      <w:pPr>
        <w:adjustRightInd w:val="0"/>
        <w:snapToGrid w:val="0"/>
        <w:spacing w:line="480" w:lineRule="auto"/>
        <w:ind w:right="105" w:rightChars="50"/>
        <w:jc w:val="right"/>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 xml:space="preserve">企业名称（盖章）：  </w:t>
      </w:r>
    </w:p>
    <w:p>
      <w:pPr>
        <w:adjustRightInd w:val="0"/>
        <w:snapToGrid w:val="0"/>
        <w:spacing w:line="480" w:lineRule="auto"/>
        <w:ind w:right="105" w:rightChars="50"/>
        <w:jc w:val="right"/>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 xml:space="preserve">日 期： </w:t>
      </w:r>
    </w:p>
    <w:p>
      <w:pPr>
        <w:adjustRightInd w:val="0"/>
        <w:snapToGrid w:val="0"/>
        <w:spacing w:line="480" w:lineRule="auto"/>
        <w:ind w:right="105" w:rightChars="50" w:firstLine="420" w:firstLineChars="200"/>
        <w:jc w:val="left"/>
        <w:rPr>
          <w:rFonts w:ascii="仿宋_GB2312" w:hAnsi="仿宋_GB2312" w:eastAsia="仿宋_GB2312" w:cs="仿宋_GB2312"/>
          <w:color w:val="auto"/>
          <w:szCs w:val="21"/>
          <w:u w:val="single"/>
        </w:rPr>
      </w:pPr>
      <w:r>
        <w:rPr>
          <w:rFonts w:hint="eastAsia" w:ascii="仿宋_GB2312" w:hAnsi="仿宋_GB2312" w:eastAsia="仿宋_GB2312" w:cs="仿宋_GB2312"/>
          <w:color w:val="auto"/>
          <w:kern w:val="0"/>
          <w:szCs w:val="21"/>
        </w:rPr>
        <w:t>1从业人员、营业收入、资产总额填报上一年度数据，无上一年度数据的新成立企业可不填报。</w:t>
      </w:r>
    </w:p>
    <w:p>
      <w:pPr>
        <w:pStyle w:val="11"/>
        <w:rPr>
          <w:rFonts w:hint="eastAsia" w:ascii="仿宋" w:hAnsi="仿宋" w:eastAsia="仿宋" w:cs="仿宋"/>
          <w:color w:val="auto"/>
          <w:highlight w:val="none"/>
        </w:rPr>
      </w:pPr>
    </w:p>
    <w:p>
      <w:pPr>
        <w:pStyle w:val="3"/>
        <w:adjustRightInd w:val="0"/>
        <w:snapToGrid w:val="0"/>
        <w:spacing w:before="0" w:after="0" w:line="240" w:lineRule="auto"/>
        <w:jc w:val="left"/>
        <w:rPr>
          <w:rFonts w:hint="eastAsia" w:ascii="仿宋_GB2312" w:hAnsi="仿宋_GB2312" w:eastAsia="仿宋_GB2312" w:cs="仿宋_GB2312"/>
          <w:color w:val="auto"/>
          <w:szCs w:val="28"/>
          <w:lang w:eastAsia="zh-CN"/>
        </w:rPr>
      </w:pPr>
      <w:r>
        <w:rPr>
          <w:rFonts w:hint="eastAsia" w:ascii="仿宋" w:hAnsi="仿宋" w:eastAsia="仿宋" w:cs="仿宋"/>
          <w:color w:val="auto"/>
          <w:highlight w:val="none"/>
        </w:rPr>
        <w:br w:type="page"/>
      </w:r>
      <w:bookmarkStart w:id="92" w:name="_Toc533340166"/>
      <w:bookmarkStart w:id="93" w:name="_Toc4485642"/>
      <w:bookmarkStart w:id="94" w:name="_Toc25502_WPSOffice_Level2"/>
      <w:bookmarkStart w:id="95" w:name="_Toc21675_WPSOffice_Level2"/>
      <w:r>
        <w:rPr>
          <w:rFonts w:hint="eastAsia" w:ascii="仿宋_GB2312" w:hAnsi="仿宋_GB2312" w:eastAsia="仿宋_GB2312" w:cs="仿宋_GB2312"/>
          <w:color w:val="auto"/>
          <w:szCs w:val="28"/>
        </w:rPr>
        <w:t>格式1</w:t>
      </w:r>
      <w:r>
        <w:rPr>
          <w:rFonts w:hint="eastAsia" w:ascii="仿宋_GB2312" w:hAnsi="仿宋_GB2312" w:eastAsia="仿宋_GB2312" w:cs="仿宋_GB2312"/>
          <w:color w:val="auto"/>
          <w:szCs w:val="28"/>
          <w:lang w:val="en-US" w:eastAsia="zh-CN"/>
        </w:rPr>
        <w:t>6</w:t>
      </w:r>
    </w:p>
    <w:bookmarkEnd w:id="92"/>
    <w:bookmarkEnd w:id="93"/>
    <w:p>
      <w:pPr>
        <w:spacing w:before="319" w:beforeLines="100" w:after="319" w:afterLines="100" w:line="360" w:lineRule="auto"/>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残疾人福利性单位声明函</w:t>
      </w:r>
    </w:p>
    <w:p>
      <w:pPr>
        <w:adjustRightInd w:val="0"/>
        <w:snapToGrid w:val="0"/>
        <w:spacing w:line="360" w:lineRule="auto"/>
        <w:ind w:right="105" w:rightChars="50" w:firstLine="476" w:firstLineChars="227"/>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本单位郑重声明，根据《财政部 民政部 中国残疾人联合会关于促进残疾人就业政府采购政策的通知》（财库〔2017〕141 号）的规定，本单位为符合条件的残疾人福利性单位，且本单位参加</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单位的</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项目采购活动，提供本单位制造的货物（由本单位承担工程/提供服务），或者提供其他残疾人福利性单位制造的货物（不包括使用非残疾人福利性单位注册商标的货物）。</w:t>
      </w:r>
    </w:p>
    <w:p>
      <w:pPr>
        <w:adjustRightInd w:val="0"/>
        <w:snapToGrid w:val="0"/>
        <w:spacing w:line="360" w:lineRule="auto"/>
        <w:ind w:right="105" w:rightChars="50" w:firstLine="476" w:firstLineChars="227"/>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本单位对上述声明的真实性负责。如有虚假，将依法承担相应责任。</w:t>
      </w:r>
    </w:p>
    <w:p>
      <w:pPr>
        <w:adjustRightInd w:val="0"/>
        <w:snapToGrid w:val="0"/>
        <w:spacing w:line="360" w:lineRule="auto"/>
        <w:ind w:right="105" w:rightChars="50" w:firstLine="476" w:firstLineChars="227"/>
        <w:jc w:val="left"/>
        <w:rPr>
          <w:rFonts w:hint="eastAsia" w:ascii="仿宋_GB2312" w:hAnsi="仿宋_GB2312" w:eastAsia="仿宋_GB2312" w:cs="仿宋_GB2312"/>
          <w:color w:val="auto"/>
          <w:szCs w:val="21"/>
        </w:rPr>
      </w:pPr>
    </w:p>
    <w:p>
      <w:pPr>
        <w:adjustRightInd w:val="0"/>
        <w:snapToGrid w:val="0"/>
        <w:spacing w:line="360" w:lineRule="auto"/>
        <w:ind w:right="105" w:rightChars="50" w:firstLine="476" w:firstLineChars="227"/>
        <w:jc w:val="left"/>
        <w:rPr>
          <w:rFonts w:hint="eastAsia" w:ascii="仿宋_GB2312" w:hAnsi="仿宋_GB2312" w:eastAsia="仿宋_GB2312" w:cs="仿宋_GB2312"/>
          <w:color w:val="auto"/>
          <w:szCs w:val="21"/>
        </w:rPr>
      </w:pPr>
    </w:p>
    <w:p>
      <w:pPr>
        <w:adjustRightInd w:val="0"/>
        <w:snapToGrid w:val="0"/>
        <w:spacing w:line="360" w:lineRule="auto"/>
        <w:ind w:right="105" w:rightChars="50" w:firstLine="476" w:firstLineChars="227"/>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注：供应商为非残疾人福利性单位的，无需填写此声明函。</w:t>
      </w:r>
    </w:p>
    <w:p>
      <w:pPr>
        <w:adjustRightInd w:val="0"/>
        <w:snapToGrid w:val="0"/>
        <w:spacing w:line="360" w:lineRule="auto"/>
        <w:ind w:right="105" w:rightChars="50" w:firstLine="476" w:firstLineChars="227"/>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 xml:space="preserve">  </w:t>
      </w:r>
    </w:p>
    <w:p>
      <w:pPr>
        <w:adjustRightInd w:val="0"/>
        <w:snapToGrid w:val="0"/>
        <w:spacing w:line="360" w:lineRule="auto"/>
        <w:ind w:right="105" w:rightChars="50" w:firstLine="476" w:firstLineChars="227"/>
        <w:jc w:val="left"/>
        <w:rPr>
          <w:rFonts w:hint="eastAsia" w:ascii="仿宋_GB2312" w:hAnsi="仿宋_GB2312" w:eastAsia="仿宋_GB2312" w:cs="仿宋_GB2312"/>
          <w:color w:val="auto"/>
          <w:szCs w:val="21"/>
        </w:rPr>
      </w:pPr>
    </w:p>
    <w:p>
      <w:pPr>
        <w:adjustRightInd w:val="0"/>
        <w:snapToGrid w:val="0"/>
        <w:spacing w:line="360" w:lineRule="auto"/>
        <w:ind w:right="105" w:rightChars="50" w:firstLine="476" w:firstLineChars="227"/>
        <w:jc w:val="left"/>
        <w:rPr>
          <w:rFonts w:hint="eastAsia" w:ascii="仿宋_GB2312" w:hAnsi="仿宋_GB2312" w:eastAsia="仿宋_GB2312" w:cs="仿宋_GB2312"/>
          <w:color w:val="auto"/>
          <w:szCs w:val="21"/>
        </w:rPr>
      </w:pPr>
    </w:p>
    <w:p>
      <w:pPr>
        <w:adjustRightInd w:val="0"/>
        <w:snapToGrid w:val="0"/>
        <w:spacing w:line="480" w:lineRule="auto"/>
        <w:ind w:right="105" w:rightChars="50"/>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供应商名称（加盖单位公章）：</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 xml:space="preserve"> </w:t>
      </w:r>
    </w:p>
    <w:p>
      <w:pPr>
        <w:adjustRightInd w:val="0"/>
        <w:snapToGrid w:val="0"/>
        <w:spacing w:line="480" w:lineRule="auto"/>
        <w:ind w:right="105" w:rightChars="50"/>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日 期：</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 xml:space="preserve"> </w:t>
      </w:r>
    </w:p>
    <w:p>
      <w:pPr>
        <w:pStyle w:val="3"/>
        <w:adjustRightInd w:val="0"/>
        <w:snapToGrid w:val="0"/>
        <w:spacing w:before="0" w:after="0" w:line="240" w:lineRule="auto"/>
        <w:jc w:val="left"/>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rPr>
        <w:br w:type="page"/>
      </w:r>
      <w:r>
        <w:rPr>
          <w:rFonts w:hint="eastAsia" w:ascii="仿宋_GB2312" w:hAnsi="仿宋_GB2312" w:eastAsia="仿宋_GB2312" w:cs="仿宋_GB2312"/>
          <w:color w:val="auto"/>
          <w:sz w:val="28"/>
          <w:szCs w:val="28"/>
        </w:rPr>
        <w:t>格式1</w:t>
      </w:r>
      <w:r>
        <w:rPr>
          <w:rFonts w:hint="eastAsia" w:ascii="仿宋_GB2312" w:hAnsi="仿宋_GB2312" w:eastAsia="仿宋_GB2312" w:cs="仿宋_GB2312"/>
          <w:color w:val="auto"/>
          <w:sz w:val="28"/>
          <w:szCs w:val="28"/>
          <w:lang w:val="en-US" w:eastAsia="zh-CN"/>
        </w:rPr>
        <w:t>7</w:t>
      </w:r>
    </w:p>
    <w:p>
      <w:pPr>
        <w:spacing w:before="319" w:beforeLines="100" w:after="319" w:afterLines="100" w:line="360" w:lineRule="auto"/>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聘用建档立卡贫困人员物业公司声明函</w:t>
      </w:r>
    </w:p>
    <w:p>
      <w:pPr>
        <w:adjustRightInd w:val="0"/>
        <w:snapToGrid w:val="0"/>
        <w:spacing w:line="360" w:lineRule="auto"/>
        <w:ind w:right="105" w:rightChars="50" w:firstLine="476" w:firstLineChars="227"/>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本单位郑重声明，根据财政部 国务院扶贫办《关于运用政府采购政策支持脱贫攻坚的通知》（财库〔2019〕27 号）的规定，本单位为符合条件的单位，且本单位参加</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单位的</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项目采购活动，由本单位提供物业服务，其中聘用建档立卡贫困人员达到公司员工（含服务外包用工）</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w:t>
      </w:r>
    </w:p>
    <w:p>
      <w:pPr>
        <w:adjustRightInd w:val="0"/>
        <w:snapToGrid w:val="0"/>
        <w:spacing w:line="360" w:lineRule="auto"/>
        <w:ind w:right="105" w:rightChars="50" w:firstLine="476" w:firstLineChars="227"/>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本单位对上述声明的真实性负责。如有虚假，将依法承担相应责任。</w:t>
      </w:r>
    </w:p>
    <w:p>
      <w:pPr>
        <w:adjustRightInd w:val="0"/>
        <w:snapToGrid w:val="0"/>
        <w:spacing w:line="360" w:lineRule="auto"/>
        <w:ind w:right="105" w:rightChars="50" w:firstLine="476" w:firstLineChars="227"/>
        <w:jc w:val="left"/>
        <w:rPr>
          <w:rFonts w:hint="eastAsia" w:ascii="仿宋_GB2312" w:hAnsi="仿宋_GB2312" w:eastAsia="仿宋_GB2312" w:cs="仿宋_GB2312"/>
          <w:b/>
          <w:bCs/>
          <w:color w:val="auto"/>
          <w:sz w:val="32"/>
          <w:szCs w:val="32"/>
        </w:rPr>
      </w:pPr>
      <w:r>
        <w:rPr>
          <w:rFonts w:hint="eastAsia" w:ascii="仿宋_GB2312" w:hAnsi="仿宋_GB2312" w:eastAsia="仿宋_GB2312" w:cs="仿宋_GB2312"/>
          <w:color w:val="auto"/>
          <w:szCs w:val="21"/>
        </w:rPr>
        <w:t>附：物业公司注册所在县扶贫部门出具的聘用建档立卡贫困人员具体数量的证明</w:t>
      </w:r>
    </w:p>
    <w:p>
      <w:pPr>
        <w:adjustRightInd w:val="0"/>
        <w:snapToGrid w:val="0"/>
        <w:spacing w:line="360" w:lineRule="auto"/>
        <w:ind w:right="105" w:rightChars="50" w:firstLine="476" w:firstLineChars="227"/>
        <w:jc w:val="left"/>
        <w:rPr>
          <w:rFonts w:hint="eastAsia" w:ascii="仿宋_GB2312" w:hAnsi="仿宋_GB2312" w:eastAsia="仿宋_GB2312" w:cs="仿宋_GB2312"/>
          <w:color w:val="auto"/>
          <w:szCs w:val="21"/>
        </w:rPr>
      </w:pPr>
    </w:p>
    <w:p>
      <w:pPr>
        <w:adjustRightInd w:val="0"/>
        <w:snapToGrid w:val="0"/>
        <w:spacing w:line="360" w:lineRule="auto"/>
        <w:ind w:right="105" w:rightChars="50" w:firstLine="476" w:firstLineChars="227"/>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注：供应商为非聘用建档立卡贫困人员物业公司的，无需填写此声明函。</w:t>
      </w:r>
    </w:p>
    <w:p>
      <w:pPr>
        <w:adjustRightInd w:val="0"/>
        <w:snapToGrid w:val="0"/>
        <w:spacing w:line="360" w:lineRule="auto"/>
        <w:ind w:right="105" w:rightChars="50"/>
        <w:jc w:val="left"/>
        <w:rPr>
          <w:rFonts w:hint="eastAsia" w:ascii="仿宋_GB2312" w:hAnsi="仿宋_GB2312" w:eastAsia="仿宋_GB2312" w:cs="仿宋_GB2312"/>
          <w:color w:val="auto"/>
          <w:szCs w:val="21"/>
        </w:rPr>
      </w:pPr>
    </w:p>
    <w:p>
      <w:pPr>
        <w:adjustRightInd w:val="0"/>
        <w:snapToGrid w:val="0"/>
        <w:spacing w:line="360" w:lineRule="auto"/>
        <w:ind w:right="105" w:rightChars="50"/>
        <w:jc w:val="left"/>
        <w:rPr>
          <w:rFonts w:hint="eastAsia" w:ascii="仿宋_GB2312" w:hAnsi="仿宋_GB2312" w:eastAsia="仿宋_GB2312" w:cs="仿宋_GB2312"/>
          <w:color w:val="auto"/>
          <w:szCs w:val="21"/>
        </w:rPr>
      </w:pPr>
    </w:p>
    <w:p>
      <w:pPr>
        <w:adjustRightInd w:val="0"/>
        <w:snapToGrid w:val="0"/>
        <w:spacing w:line="360" w:lineRule="auto"/>
        <w:ind w:right="105" w:rightChars="50"/>
        <w:jc w:val="left"/>
        <w:rPr>
          <w:rFonts w:hint="eastAsia" w:ascii="仿宋_GB2312" w:hAnsi="仿宋_GB2312" w:eastAsia="仿宋_GB2312" w:cs="仿宋_GB2312"/>
          <w:color w:val="auto"/>
          <w:szCs w:val="21"/>
        </w:rPr>
      </w:pPr>
    </w:p>
    <w:p>
      <w:pPr>
        <w:adjustRightInd w:val="0"/>
        <w:snapToGrid w:val="0"/>
        <w:spacing w:line="360" w:lineRule="auto"/>
        <w:ind w:right="105" w:rightChars="50"/>
        <w:jc w:val="left"/>
        <w:rPr>
          <w:rFonts w:hint="eastAsia" w:ascii="仿宋_GB2312" w:hAnsi="仿宋_GB2312" w:eastAsia="仿宋_GB2312" w:cs="仿宋_GB2312"/>
          <w:color w:val="auto"/>
          <w:szCs w:val="21"/>
        </w:rPr>
      </w:pPr>
    </w:p>
    <w:p>
      <w:pPr>
        <w:adjustRightInd w:val="0"/>
        <w:snapToGrid w:val="0"/>
        <w:spacing w:line="480" w:lineRule="auto"/>
        <w:ind w:right="105" w:rightChars="50"/>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供应商名称（加盖单位公章）：</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 xml:space="preserve"> </w:t>
      </w:r>
    </w:p>
    <w:p>
      <w:pPr>
        <w:adjustRightInd w:val="0"/>
        <w:snapToGrid w:val="0"/>
        <w:spacing w:line="480" w:lineRule="auto"/>
        <w:ind w:right="105" w:rightChars="50"/>
        <w:jc w:val="left"/>
        <w:rPr>
          <w:rFonts w:hint="eastAsia" w:ascii="仿宋_GB2312" w:hAnsi="仿宋_GB2312" w:eastAsia="仿宋_GB2312" w:cs="仿宋_GB2312"/>
          <w:color w:val="auto"/>
          <w:szCs w:val="21"/>
          <w:u w:val="single"/>
        </w:rPr>
      </w:pPr>
      <w:r>
        <w:rPr>
          <w:rFonts w:hint="eastAsia" w:ascii="仿宋_GB2312" w:hAnsi="仿宋_GB2312" w:eastAsia="仿宋_GB2312" w:cs="仿宋_GB2312"/>
          <w:color w:val="auto"/>
          <w:szCs w:val="21"/>
        </w:rPr>
        <w:t>日 期：</w:t>
      </w:r>
      <w:r>
        <w:rPr>
          <w:rFonts w:hint="eastAsia" w:ascii="仿宋_GB2312" w:hAnsi="仿宋_GB2312" w:eastAsia="仿宋_GB2312" w:cs="仿宋_GB2312"/>
          <w:color w:val="auto"/>
          <w:szCs w:val="21"/>
          <w:u w:val="single"/>
        </w:rPr>
        <w:t xml:space="preserve">               </w:t>
      </w:r>
    </w:p>
    <w:p>
      <w:pPr>
        <w:adjustRightInd w:val="0"/>
        <w:snapToGrid w:val="0"/>
        <w:spacing w:line="360" w:lineRule="auto"/>
        <w:ind w:right="105" w:rightChars="50"/>
        <w:jc w:val="left"/>
        <w:rPr>
          <w:rFonts w:hint="eastAsia" w:ascii="仿宋_GB2312" w:hAnsi="仿宋_GB2312" w:eastAsia="仿宋_GB2312" w:cs="仿宋_GB2312"/>
          <w:color w:val="auto"/>
          <w:szCs w:val="21"/>
        </w:rPr>
      </w:pPr>
    </w:p>
    <w:p>
      <w:pPr>
        <w:adjustRightInd w:val="0"/>
        <w:snapToGrid w:val="0"/>
        <w:spacing w:line="360" w:lineRule="auto"/>
        <w:ind w:right="105" w:rightChars="50"/>
        <w:jc w:val="left"/>
        <w:rPr>
          <w:rFonts w:hint="eastAsia" w:ascii="仿宋_GB2312" w:hAnsi="仿宋_GB2312" w:eastAsia="仿宋_GB2312" w:cs="仿宋_GB2312"/>
          <w:color w:val="auto"/>
          <w:szCs w:val="21"/>
        </w:rPr>
      </w:pPr>
    </w:p>
    <w:p>
      <w:pPr>
        <w:adjustRightInd w:val="0"/>
        <w:snapToGrid w:val="0"/>
        <w:spacing w:line="360" w:lineRule="auto"/>
        <w:ind w:right="105" w:rightChars="50"/>
        <w:jc w:val="left"/>
        <w:rPr>
          <w:rFonts w:hint="eastAsia" w:ascii="仿宋_GB2312" w:hAnsi="仿宋_GB2312" w:eastAsia="仿宋_GB2312" w:cs="仿宋_GB2312"/>
          <w:color w:val="auto"/>
          <w:szCs w:val="21"/>
        </w:rPr>
      </w:pPr>
    </w:p>
    <w:p>
      <w:pPr>
        <w:adjustRightInd w:val="0"/>
        <w:snapToGrid w:val="0"/>
        <w:spacing w:line="360" w:lineRule="auto"/>
        <w:ind w:right="105" w:rightChars="50"/>
        <w:jc w:val="left"/>
        <w:rPr>
          <w:rFonts w:hint="eastAsia" w:ascii="仿宋_GB2312" w:hAnsi="仿宋_GB2312" w:eastAsia="仿宋_GB2312" w:cs="仿宋_GB2312"/>
          <w:color w:val="auto"/>
          <w:szCs w:val="21"/>
        </w:rPr>
      </w:pPr>
    </w:p>
    <w:p>
      <w:pPr>
        <w:adjustRightInd w:val="0"/>
        <w:snapToGrid w:val="0"/>
        <w:spacing w:line="360" w:lineRule="auto"/>
        <w:ind w:right="105" w:rightChars="50"/>
        <w:jc w:val="left"/>
        <w:rPr>
          <w:rFonts w:hint="eastAsia" w:ascii="仿宋_GB2312" w:hAnsi="仿宋_GB2312" w:eastAsia="仿宋_GB2312" w:cs="仿宋_GB2312"/>
          <w:color w:val="auto"/>
          <w:szCs w:val="21"/>
        </w:rPr>
      </w:pPr>
    </w:p>
    <w:p>
      <w:pPr>
        <w:adjustRightInd w:val="0"/>
        <w:snapToGrid w:val="0"/>
        <w:spacing w:line="360" w:lineRule="auto"/>
        <w:ind w:right="105" w:rightChars="50"/>
        <w:jc w:val="left"/>
        <w:rPr>
          <w:rFonts w:hint="eastAsia" w:ascii="仿宋_GB2312" w:hAnsi="仿宋_GB2312" w:eastAsia="仿宋_GB2312" w:cs="仿宋_GB2312"/>
          <w:color w:val="auto"/>
          <w:szCs w:val="21"/>
        </w:rPr>
      </w:pPr>
    </w:p>
    <w:p>
      <w:pPr>
        <w:adjustRightInd w:val="0"/>
        <w:snapToGrid w:val="0"/>
        <w:spacing w:line="360" w:lineRule="auto"/>
        <w:ind w:right="105" w:rightChars="50"/>
        <w:jc w:val="left"/>
        <w:rPr>
          <w:rFonts w:hint="eastAsia" w:ascii="仿宋_GB2312" w:hAnsi="仿宋_GB2312" w:eastAsia="仿宋_GB2312" w:cs="仿宋_GB2312"/>
          <w:color w:val="auto"/>
          <w:szCs w:val="21"/>
        </w:rPr>
      </w:pPr>
    </w:p>
    <w:p>
      <w:pPr>
        <w:adjustRightInd w:val="0"/>
        <w:snapToGrid w:val="0"/>
        <w:spacing w:line="360" w:lineRule="auto"/>
        <w:ind w:right="105" w:rightChars="50"/>
        <w:jc w:val="left"/>
        <w:rPr>
          <w:rFonts w:hint="eastAsia" w:ascii="仿宋_GB2312" w:hAnsi="仿宋_GB2312" w:eastAsia="仿宋_GB2312" w:cs="仿宋_GB2312"/>
          <w:color w:val="auto"/>
          <w:szCs w:val="21"/>
        </w:rPr>
      </w:pPr>
    </w:p>
    <w:p>
      <w:pPr>
        <w:adjustRightInd w:val="0"/>
        <w:snapToGrid w:val="0"/>
        <w:spacing w:line="360" w:lineRule="auto"/>
        <w:ind w:right="105" w:rightChars="50"/>
        <w:jc w:val="left"/>
        <w:rPr>
          <w:rFonts w:hint="eastAsia" w:ascii="仿宋_GB2312" w:hAnsi="仿宋_GB2312" w:eastAsia="仿宋_GB2312" w:cs="仿宋_GB2312"/>
          <w:color w:val="auto"/>
          <w:szCs w:val="21"/>
        </w:rPr>
      </w:pPr>
    </w:p>
    <w:p>
      <w:pPr>
        <w:adjustRightInd w:val="0"/>
        <w:snapToGrid w:val="0"/>
        <w:spacing w:line="360" w:lineRule="auto"/>
        <w:ind w:right="105" w:rightChars="50"/>
        <w:jc w:val="left"/>
        <w:rPr>
          <w:rFonts w:hint="eastAsia" w:ascii="仿宋_GB2312" w:hAnsi="仿宋_GB2312" w:eastAsia="仿宋_GB2312" w:cs="仿宋_GB2312"/>
          <w:color w:val="auto"/>
          <w:szCs w:val="21"/>
        </w:rPr>
      </w:pPr>
    </w:p>
    <w:p>
      <w:pPr>
        <w:adjustRightInd w:val="0"/>
        <w:snapToGrid w:val="0"/>
        <w:spacing w:line="360" w:lineRule="auto"/>
        <w:ind w:right="105" w:rightChars="50"/>
        <w:jc w:val="left"/>
        <w:rPr>
          <w:rFonts w:hint="eastAsia" w:ascii="仿宋_GB2312" w:hAnsi="仿宋_GB2312" w:eastAsia="仿宋_GB2312" w:cs="仿宋_GB2312"/>
          <w:color w:val="auto"/>
          <w:szCs w:val="21"/>
        </w:rPr>
      </w:pPr>
    </w:p>
    <w:p>
      <w:pPr>
        <w:adjustRightInd w:val="0"/>
        <w:snapToGrid w:val="0"/>
        <w:spacing w:line="360" w:lineRule="auto"/>
        <w:ind w:right="105" w:rightChars="50"/>
        <w:jc w:val="left"/>
        <w:rPr>
          <w:rFonts w:hint="eastAsia" w:ascii="仿宋_GB2312" w:hAnsi="仿宋_GB2312" w:eastAsia="仿宋_GB2312" w:cs="仿宋_GB2312"/>
          <w:color w:val="auto"/>
          <w:szCs w:val="21"/>
        </w:rPr>
      </w:pPr>
    </w:p>
    <w:p>
      <w:pPr>
        <w:adjustRightInd w:val="0"/>
        <w:snapToGrid w:val="0"/>
        <w:spacing w:line="360" w:lineRule="auto"/>
        <w:ind w:right="105" w:rightChars="50"/>
        <w:jc w:val="left"/>
        <w:rPr>
          <w:rFonts w:hint="eastAsia" w:ascii="仿宋_GB2312" w:hAnsi="仿宋_GB2312" w:eastAsia="仿宋_GB2312" w:cs="仿宋_GB2312"/>
          <w:color w:val="auto"/>
          <w:szCs w:val="21"/>
        </w:rPr>
      </w:pPr>
    </w:p>
    <w:p>
      <w:pPr>
        <w:pStyle w:val="3"/>
        <w:keepNext/>
        <w:keepLines/>
        <w:pageBreakBefore w:val="0"/>
        <w:widowControl w:val="0"/>
        <w:kinsoku/>
        <w:wordWrap/>
        <w:overflowPunct/>
        <w:topLinePunct w:val="0"/>
        <w:autoSpaceDE/>
        <w:autoSpaceDN/>
        <w:bidi w:val="0"/>
        <w:adjustRightInd w:val="0"/>
        <w:snapToGrid w:val="0"/>
        <w:spacing w:before="319" w:beforeLines="100" w:after="319" w:afterLines="100" w:line="240" w:lineRule="auto"/>
        <w:jc w:val="both"/>
        <w:textAlignment w:val="auto"/>
        <w:outlineLvl w:val="1"/>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rPr>
        <w:t>格式1</w:t>
      </w:r>
      <w:r>
        <w:rPr>
          <w:rFonts w:hint="eastAsia" w:ascii="仿宋_GB2312" w:hAnsi="仿宋_GB2312" w:eastAsia="仿宋_GB2312" w:cs="仿宋_GB2312"/>
          <w:color w:val="auto"/>
          <w:sz w:val="28"/>
          <w:szCs w:val="28"/>
          <w:lang w:val="en-US" w:eastAsia="zh-CN"/>
        </w:rPr>
        <w:t>8</w:t>
      </w:r>
    </w:p>
    <w:p>
      <w:pPr>
        <w:adjustRightInd w:val="0"/>
        <w:snapToGrid w:val="0"/>
        <w:spacing w:before="0" w:after="0" w:line="240" w:lineRule="auto"/>
        <w:jc w:val="left"/>
        <w:outlineLvl w:val="9"/>
        <w:rPr>
          <w:rFonts w:hint="eastAsia" w:ascii="仿宋" w:hAnsi="仿宋" w:eastAsia="仿宋" w:cs="仿宋"/>
          <w:color w:val="auto"/>
          <w:kern w:val="0"/>
          <w:szCs w:val="21"/>
          <w:highlight w:val="none"/>
        </w:rPr>
      </w:pPr>
    </w:p>
    <w:p>
      <w:pPr>
        <w:adjustRightInd w:val="0"/>
        <w:snapToGrid w:val="0"/>
        <w:spacing w:before="0" w:after="0" w:line="240" w:lineRule="auto"/>
        <w:jc w:val="center"/>
        <w:outlineLvl w:val="9"/>
        <w:rPr>
          <w:rFonts w:hint="eastAsia" w:ascii="仿宋" w:hAnsi="仿宋" w:eastAsia="仿宋" w:cs="仿宋"/>
          <w:b/>
          <w:bCs/>
          <w:color w:val="auto"/>
          <w:sz w:val="32"/>
          <w:szCs w:val="32"/>
          <w:highlight w:val="none"/>
          <w:u w:val="single"/>
        </w:rPr>
      </w:pPr>
      <w:r>
        <w:rPr>
          <w:rFonts w:hint="eastAsia" w:ascii="仿宋" w:hAnsi="仿宋" w:eastAsia="仿宋" w:cs="仿宋"/>
          <w:b/>
          <w:bCs/>
          <w:color w:val="auto"/>
          <w:kern w:val="0"/>
          <w:sz w:val="32"/>
          <w:szCs w:val="32"/>
          <w:highlight w:val="none"/>
        </w:rPr>
        <w:t>备份文件与电子评审系统中上传的</w:t>
      </w:r>
      <w:r>
        <w:rPr>
          <w:rFonts w:hint="eastAsia" w:ascii="仿宋" w:hAnsi="仿宋" w:eastAsia="仿宋" w:cs="仿宋"/>
          <w:b/>
          <w:bCs/>
          <w:color w:val="auto"/>
          <w:kern w:val="0"/>
          <w:sz w:val="32"/>
          <w:szCs w:val="32"/>
          <w:highlight w:val="none"/>
          <w:lang w:eastAsia="zh-CN"/>
        </w:rPr>
        <w:t>响应文件</w:t>
      </w:r>
      <w:r>
        <w:rPr>
          <w:rFonts w:hint="eastAsia" w:ascii="仿宋" w:hAnsi="仿宋" w:eastAsia="仿宋" w:cs="仿宋"/>
          <w:b/>
          <w:bCs/>
          <w:color w:val="auto"/>
          <w:kern w:val="0"/>
          <w:sz w:val="32"/>
          <w:szCs w:val="32"/>
          <w:highlight w:val="none"/>
        </w:rPr>
        <w:t>一致性承诺函</w:t>
      </w:r>
    </w:p>
    <w:p>
      <w:pPr>
        <w:adjustRightInd w:val="0"/>
        <w:snapToGrid w:val="0"/>
        <w:spacing w:before="0" w:after="0" w:line="240" w:lineRule="auto"/>
        <w:jc w:val="left"/>
        <w:outlineLvl w:val="9"/>
        <w:rPr>
          <w:rFonts w:hint="eastAsia" w:ascii="仿宋" w:hAnsi="仿宋" w:eastAsia="仿宋" w:cs="仿宋"/>
          <w:color w:val="auto"/>
          <w:szCs w:val="28"/>
          <w:highlight w:val="none"/>
        </w:rPr>
      </w:pPr>
    </w:p>
    <w:p>
      <w:pPr>
        <w:adjustRightInd w:val="0"/>
        <w:snapToGrid w:val="0"/>
        <w:spacing w:before="0" w:after="0" w:line="240" w:lineRule="auto"/>
        <w:jc w:val="left"/>
        <w:outlineLvl w:val="9"/>
        <w:rPr>
          <w:rFonts w:hint="eastAsia" w:ascii="仿宋" w:hAnsi="仿宋" w:eastAsia="仿宋" w:cs="仿宋"/>
          <w:color w:val="auto"/>
          <w:szCs w:val="28"/>
          <w:highlight w:val="none"/>
        </w:rPr>
      </w:pPr>
    </w:p>
    <w:p>
      <w:pPr>
        <w:outlineLvl w:val="9"/>
        <w:rPr>
          <w:rFonts w:hint="eastAsia" w:ascii="仿宋" w:hAnsi="仿宋" w:eastAsia="仿宋" w:cs="仿宋"/>
          <w:color w:val="auto"/>
          <w:szCs w:val="28"/>
          <w:highlight w:val="none"/>
        </w:rPr>
      </w:pPr>
    </w:p>
    <w:p>
      <w:pPr>
        <w:outlineLvl w:val="9"/>
        <w:rPr>
          <w:rFonts w:hint="eastAsia" w:ascii="仿宋" w:hAnsi="仿宋" w:eastAsia="仿宋" w:cs="仿宋"/>
          <w:color w:val="auto"/>
          <w:szCs w:val="28"/>
          <w:highlight w:val="none"/>
        </w:rPr>
      </w:pPr>
    </w:p>
    <w:p>
      <w:pPr>
        <w:outlineLvl w:val="9"/>
        <w:rPr>
          <w:rFonts w:hint="eastAsia" w:ascii="仿宋" w:hAnsi="仿宋" w:eastAsia="仿宋" w:cs="仿宋"/>
          <w:color w:val="auto"/>
          <w:szCs w:val="28"/>
          <w:highlight w:val="none"/>
        </w:rPr>
      </w:pPr>
    </w:p>
    <w:p>
      <w:pPr>
        <w:adjustRightInd w:val="0"/>
        <w:snapToGrid w:val="0"/>
        <w:spacing w:before="0" w:after="0" w:line="240" w:lineRule="auto"/>
        <w:jc w:val="center"/>
        <w:outlineLvl w:val="9"/>
        <w:rPr>
          <w:rFonts w:hint="eastAsia" w:ascii="仿宋" w:hAnsi="仿宋" w:eastAsia="仿宋" w:cs="仿宋"/>
          <w:b w:val="0"/>
          <w:bCs/>
          <w:color w:val="auto"/>
          <w:szCs w:val="28"/>
          <w:highlight w:val="none"/>
          <w:lang w:val="en-US" w:eastAsia="zh-CN"/>
        </w:rPr>
      </w:pPr>
      <w:r>
        <w:rPr>
          <w:rFonts w:hint="eastAsia" w:ascii="仿宋" w:hAnsi="仿宋" w:eastAsia="仿宋" w:cs="仿宋"/>
          <w:b w:val="0"/>
          <w:bCs/>
          <w:color w:val="auto"/>
          <w:szCs w:val="28"/>
          <w:highlight w:val="none"/>
          <w:lang w:val="en-US" w:eastAsia="zh-CN"/>
        </w:rPr>
        <w:t>格式自拟</w:t>
      </w:r>
    </w:p>
    <w:p>
      <w:pPr>
        <w:adjustRightInd w:val="0"/>
        <w:snapToGrid w:val="0"/>
        <w:spacing w:before="0" w:after="0" w:line="240" w:lineRule="auto"/>
        <w:jc w:val="left"/>
        <w:outlineLvl w:val="9"/>
        <w:rPr>
          <w:rFonts w:hint="eastAsia" w:ascii="仿宋" w:hAnsi="仿宋" w:eastAsia="仿宋" w:cs="仿宋"/>
          <w:color w:val="auto"/>
          <w:szCs w:val="28"/>
          <w:highlight w:val="none"/>
        </w:rPr>
      </w:pPr>
    </w:p>
    <w:p>
      <w:pPr>
        <w:outlineLvl w:val="9"/>
        <w:rPr>
          <w:rFonts w:hint="eastAsia" w:ascii="仿宋" w:hAnsi="仿宋" w:eastAsia="仿宋" w:cs="仿宋"/>
          <w:color w:val="auto"/>
          <w:szCs w:val="28"/>
          <w:highlight w:val="none"/>
        </w:rPr>
      </w:pPr>
    </w:p>
    <w:p>
      <w:pPr>
        <w:outlineLvl w:val="9"/>
        <w:rPr>
          <w:rFonts w:hint="eastAsia" w:ascii="仿宋" w:hAnsi="仿宋" w:eastAsia="仿宋" w:cs="仿宋"/>
          <w:color w:val="auto"/>
          <w:szCs w:val="28"/>
          <w:highlight w:val="none"/>
        </w:rPr>
      </w:pPr>
    </w:p>
    <w:p>
      <w:pPr>
        <w:outlineLvl w:val="9"/>
        <w:rPr>
          <w:rFonts w:hint="eastAsia" w:ascii="仿宋" w:hAnsi="仿宋" w:eastAsia="仿宋" w:cs="仿宋"/>
          <w:color w:val="auto"/>
          <w:szCs w:val="28"/>
          <w:highlight w:val="none"/>
        </w:rPr>
      </w:pPr>
    </w:p>
    <w:p>
      <w:pPr>
        <w:outlineLvl w:val="9"/>
        <w:rPr>
          <w:rFonts w:hint="eastAsia" w:ascii="仿宋" w:hAnsi="仿宋" w:eastAsia="仿宋" w:cs="仿宋"/>
          <w:color w:val="auto"/>
          <w:szCs w:val="28"/>
          <w:highlight w:val="none"/>
        </w:rPr>
      </w:pPr>
    </w:p>
    <w:p>
      <w:pPr>
        <w:outlineLvl w:val="9"/>
        <w:rPr>
          <w:rFonts w:hint="eastAsia" w:ascii="仿宋" w:hAnsi="仿宋" w:eastAsia="仿宋" w:cs="仿宋"/>
          <w:color w:val="auto"/>
          <w:szCs w:val="28"/>
          <w:highlight w:val="none"/>
        </w:rPr>
      </w:pPr>
    </w:p>
    <w:p>
      <w:pPr>
        <w:outlineLvl w:val="9"/>
        <w:rPr>
          <w:rFonts w:hint="eastAsia" w:ascii="仿宋" w:hAnsi="仿宋" w:eastAsia="仿宋" w:cs="仿宋"/>
          <w:color w:val="auto"/>
          <w:szCs w:val="28"/>
          <w:highlight w:val="none"/>
        </w:rPr>
      </w:pPr>
    </w:p>
    <w:p>
      <w:pPr>
        <w:outlineLvl w:val="9"/>
        <w:rPr>
          <w:rFonts w:hint="eastAsia" w:ascii="仿宋" w:hAnsi="仿宋" w:eastAsia="仿宋" w:cs="仿宋"/>
          <w:color w:val="auto"/>
          <w:szCs w:val="28"/>
          <w:highlight w:val="none"/>
        </w:rPr>
      </w:pPr>
    </w:p>
    <w:p>
      <w:pPr>
        <w:adjustRightInd w:val="0"/>
        <w:snapToGrid w:val="0"/>
        <w:spacing w:line="480" w:lineRule="auto"/>
        <w:ind w:right="105" w:rightChars="50"/>
        <w:jc w:val="left"/>
        <w:outlineLvl w:val="9"/>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供应商名称(加盖单位公章):</w:t>
      </w:r>
      <w:r>
        <w:rPr>
          <w:rFonts w:hint="eastAsia" w:ascii="仿宋" w:hAnsi="仿宋" w:eastAsia="仿宋" w:cs="仿宋"/>
          <w:color w:val="auto"/>
          <w:szCs w:val="21"/>
          <w:highlight w:val="none"/>
          <w:u w:val="single"/>
        </w:rPr>
        <w:t xml:space="preserve">               </w:t>
      </w:r>
    </w:p>
    <w:p>
      <w:pPr>
        <w:adjustRightInd w:val="0"/>
        <w:snapToGrid w:val="0"/>
        <w:spacing w:line="480" w:lineRule="auto"/>
        <w:ind w:right="105" w:rightChars="50"/>
        <w:jc w:val="left"/>
        <w:outlineLvl w:val="9"/>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法定代表人（或非法人组织负责人）或其授权委托人</w:t>
      </w:r>
      <w:r>
        <w:rPr>
          <w:rFonts w:hint="eastAsia" w:ascii="仿宋" w:hAnsi="仿宋" w:eastAsia="仿宋" w:cs="仿宋"/>
          <w:color w:val="auto"/>
          <w:highlight w:val="none"/>
        </w:rPr>
        <w:t>(签字或盖章)</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u w:val="single"/>
        </w:rPr>
        <w:t xml:space="preserve">               </w:t>
      </w:r>
    </w:p>
    <w:p>
      <w:pPr>
        <w:adjustRightInd w:val="0"/>
        <w:snapToGrid w:val="0"/>
        <w:spacing w:line="480" w:lineRule="auto"/>
        <w:ind w:right="105" w:rightChars="50"/>
        <w:jc w:val="left"/>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日期:</w:t>
      </w:r>
      <w:r>
        <w:rPr>
          <w:rFonts w:hint="eastAsia" w:ascii="仿宋" w:hAnsi="仿宋" w:eastAsia="仿宋" w:cs="仿宋"/>
          <w:color w:val="auto"/>
          <w:szCs w:val="21"/>
          <w:highlight w:val="none"/>
          <w:u w:val="single"/>
        </w:rPr>
        <w:t xml:space="preserve">                              </w:t>
      </w:r>
    </w:p>
    <w:p>
      <w:pPr>
        <w:outlineLvl w:val="9"/>
        <w:rPr>
          <w:rFonts w:hint="eastAsia" w:ascii="仿宋" w:hAnsi="仿宋" w:eastAsia="仿宋" w:cs="仿宋"/>
          <w:color w:val="auto"/>
          <w:szCs w:val="28"/>
          <w:highlight w:val="none"/>
        </w:rPr>
      </w:pPr>
    </w:p>
    <w:p>
      <w:pPr>
        <w:spacing w:line="440" w:lineRule="exact"/>
        <w:rPr>
          <w:rFonts w:hint="eastAsia" w:ascii="仿宋" w:hAnsi="仿宋" w:eastAsia="仿宋" w:cs="仿宋"/>
          <w:color w:val="auto"/>
          <w:highlight w:val="none"/>
        </w:rPr>
      </w:pPr>
    </w:p>
    <w:p>
      <w:pPr>
        <w:spacing w:line="440" w:lineRule="exact"/>
        <w:rPr>
          <w:rFonts w:hint="eastAsia" w:ascii="仿宋" w:hAnsi="仿宋" w:eastAsia="仿宋" w:cs="仿宋"/>
          <w:color w:val="auto"/>
          <w:highlight w:val="none"/>
        </w:rPr>
      </w:pPr>
    </w:p>
    <w:p>
      <w:pPr>
        <w:spacing w:line="440" w:lineRule="exact"/>
        <w:rPr>
          <w:rFonts w:hint="eastAsia" w:ascii="仿宋" w:hAnsi="仿宋" w:eastAsia="仿宋" w:cs="仿宋"/>
          <w:color w:val="auto"/>
          <w:highlight w:val="none"/>
        </w:rPr>
      </w:pPr>
    </w:p>
    <w:p>
      <w:pPr>
        <w:spacing w:line="440" w:lineRule="exact"/>
        <w:rPr>
          <w:rFonts w:hint="eastAsia" w:ascii="仿宋" w:hAnsi="仿宋" w:eastAsia="仿宋" w:cs="仿宋"/>
          <w:color w:val="auto"/>
          <w:highlight w:val="none"/>
        </w:rPr>
      </w:pPr>
    </w:p>
    <w:p>
      <w:pPr>
        <w:spacing w:line="440" w:lineRule="exact"/>
        <w:rPr>
          <w:rFonts w:hint="eastAsia" w:ascii="仿宋" w:hAnsi="仿宋" w:eastAsia="仿宋" w:cs="仿宋"/>
          <w:color w:val="auto"/>
          <w:highlight w:val="none"/>
        </w:rPr>
      </w:pPr>
    </w:p>
    <w:p>
      <w:pPr>
        <w:spacing w:line="440" w:lineRule="exact"/>
        <w:rPr>
          <w:rFonts w:hint="eastAsia" w:ascii="仿宋" w:hAnsi="仿宋" w:eastAsia="仿宋" w:cs="仿宋"/>
          <w:color w:val="auto"/>
          <w:highlight w:val="none"/>
        </w:rPr>
      </w:pPr>
    </w:p>
    <w:p>
      <w:pPr>
        <w:spacing w:line="440" w:lineRule="exact"/>
        <w:rPr>
          <w:rFonts w:hint="eastAsia" w:ascii="仿宋" w:hAnsi="仿宋" w:eastAsia="仿宋" w:cs="仿宋"/>
          <w:color w:val="auto"/>
          <w:highlight w:val="none"/>
        </w:rPr>
      </w:pPr>
    </w:p>
    <w:p>
      <w:pPr>
        <w:spacing w:line="440" w:lineRule="exact"/>
        <w:rPr>
          <w:rFonts w:hint="eastAsia" w:ascii="仿宋" w:hAnsi="仿宋" w:eastAsia="仿宋" w:cs="仿宋"/>
          <w:color w:val="auto"/>
          <w:highlight w:val="none"/>
        </w:rPr>
      </w:pPr>
    </w:p>
    <w:p>
      <w:pPr>
        <w:spacing w:line="440" w:lineRule="exact"/>
        <w:rPr>
          <w:rFonts w:hint="eastAsia" w:ascii="仿宋" w:hAnsi="仿宋" w:eastAsia="仿宋" w:cs="仿宋"/>
          <w:color w:val="auto"/>
          <w:highlight w:val="none"/>
        </w:rPr>
      </w:pPr>
    </w:p>
    <w:p>
      <w:pPr>
        <w:spacing w:line="440" w:lineRule="exact"/>
        <w:rPr>
          <w:rFonts w:hint="eastAsia" w:ascii="仿宋" w:hAnsi="仿宋" w:eastAsia="仿宋" w:cs="仿宋"/>
          <w:color w:val="auto"/>
          <w:highlight w:val="none"/>
        </w:rPr>
      </w:pPr>
    </w:p>
    <w:p>
      <w:pPr>
        <w:spacing w:line="440" w:lineRule="exact"/>
        <w:rPr>
          <w:rFonts w:hint="eastAsia" w:ascii="仿宋" w:hAnsi="仿宋" w:eastAsia="仿宋" w:cs="仿宋"/>
          <w:color w:val="auto"/>
          <w:highlight w:val="none"/>
        </w:rPr>
      </w:pPr>
    </w:p>
    <w:p>
      <w:pPr>
        <w:spacing w:line="440" w:lineRule="exact"/>
        <w:rPr>
          <w:rFonts w:hint="eastAsia" w:ascii="仿宋" w:hAnsi="仿宋" w:eastAsia="仿宋" w:cs="仿宋"/>
          <w:color w:val="auto"/>
          <w:highlight w:val="none"/>
        </w:rPr>
      </w:pPr>
    </w:p>
    <w:p>
      <w:pPr>
        <w:spacing w:line="440" w:lineRule="exact"/>
        <w:rPr>
          <w:rFonts w:hint="eastAsia" w:ascii="仿宋" w:hAnsi="仿宋" w:eastAsia="仿宋" w:cs="仿宋"/>
          <w:color w:val="auto"/>
          <w:highlight w:val="none"/>
        </w:rPr>
      </w:pPr>
    </w:p>
    <w:p>
      <w:pPr>
        <w:spacing w:line="440" w:lineRule="exact"/>
        <w:rPr>
          <w:rFonts w:hint="eastAsia" w:ascii="仿宋" w:hAnsi="仿宋" w:eastAsia="仿宋" w:cs="仿宋"/>
          <w:color w:val="auto"/>
          <w:highlight w:val="none"/>
        </w:rPr>
      </w:pPr>
    </w:p>
    <w:p>
      <w:pPr>
        <w:jc w:val="both"/>
        <w:rPr>
          <w:rFonts w:hint="eastAsia" w:ascii="仿宋" w:hAnsi="仿宋" w:eastAsia="仿宋" w:cs="仿宋"/>
          <w:szCs w:val="28"/>
          <w:highlight w:val="none"/>
        </w:rPr>
      </w:pPr>
      <w:r>
        <w:rPr>
          <w:rFonts w:hint="eastAsia" w:ascii="仿宋" w:hAnsi="仿宋" w:eastAsia="仿宋" w:cs="仿宋"/>
          <w:b/>
          <w:bCs/>
          <w:sz w:val="28"/>
          <w:szCs w:val="28"/>
          <w:highlight w:val="none"/>
        </w:rPr>
        <w:t>格式1</w:t>
      </w:r>
      <w:r>
        <w:rPr>
          <w:rFonts w:hint="eastAsia" w:ascii="仿宋" w:hAnsi="仿宋" w:eastAsia="仿宋" w:cs="仿宋"/>
          <w:b/>
          <w:bCs/>
          <w:sz w:val="28"/>
          <w:szCs w:val="28"/>
          <w:highlight w:val="none"/>
          <w:lang w:val="en-US" w:eastAsia="zh-CN"/>
        </w:rPr>
        <w:t>9</w:t>
      </w:r>
      <w:r>
        <w:rPr>
          <w:rFonts w:hint="eastAsia" w:ascii="仿宋" w:hAnsi="仿宋" w:eastAsia="仿宋" w:cs="仿宋"/>
          <w:b/>
          <w:bCs/>
          <w:szCs w:val="28"/>
          <w:highlight w:val="none"/>
        </w:rPr>
        <w:t xml:space="preserve"> </w:t>
      </w:r>
      <w:r>
        <w:rPr>
          <w:rFonts w:hint="eastAsia" w:ascii="仿宋" w:hAnsi="仿宋" w:eastAsia="仿宋" w:cs="仿宋"/>
          <w:szCs w:val="28"/>
          <w:highlight w:val="none"/>
        </w:rPr>
        <w:t xml:space="preserve"> </w:t>
      </w:r>
    </w:p>
    <w:p>
      <w:pPr>
        <w:pStyle w:val="3"/>
        <w:adjustRightInd w:val="0"/>
        <w:snapToGrid w:val="0"/>
        <w:spacing w:before="0" w:after="0" w:line="240" w:lineRule="auto"/>
        <w:jc w:val="left"/>
        <w:rPr>
          <w:rFonts w:hint="eastAsia" w:ascii="仿宋" w:hAnsi="仿宋" w:eastAsia="仿宋" w:cs="仿宋"/>
          <w:szCs w:val="28"/>
          <w:highlight w:val="none"/>
        </w:rPr>
      </w:pPr>
    </w:p>
    <w:p>
      <w:pPr>
        <w:pStyle w:val="3"/>
        <w:adjustRightInd w:val="0"/>
        <w:snapToGrid w:val="0"/>
        <w:spacing w:before="0" w:after="0" w:line="240" w:lineRule="auto"/>
        <w:jc w:val="center"/>
        <w:rPr>
          <w:rFonts w:hint="eastAsia" w:ascii="仿宋" w:hAnsi="仿宋" w:eastAsia="仿宋" w:cs="仿宋"/>
          <w:b w:val="0"/>
          <w:highlight w:val="none"/>
        </w:rPr>
      </w:pPr>
      <w:r>
        <w:rPr>
          <w:rFonts w:hint="eastAsia" w:ascii="仿宋" w:hAnsi="仿宋" w:eastAsia="仿宋" w:cs="仿宋"/>
          <w:szCs w:val="28"/>
          <w:highlight w:val="none"/>
          <w:lang w:val="en-US" w:eastAsia="zh-CN"/>
        </w:rPr>
        <w:t>项目组织机构人员</w:t>
      </w:r>
    </w:p>
    <w:p>
      <w:pPr>
        <w:pStyle w:val="4"/>
        <w:jc w:val="center"/>
        <w:rPr>
          <w:rFonts w:hint="eastAsia" w:ascii="仿宋" w:hAnsi="仿宋" w:eastAsia="仿宋" w:cs="仿宋"/>
          <w:sz w:val="21"/>
          <w:szCs w:val="21"/>
          <w:highlight w:val="none"/>
        </w:rPr>
      </w:pPr>
      <w:bookmarkStart w:id="96" w:name="_Toc500331985"/>
      <w:bookmarkStart w:id="97" w:name="_Toc301957335"/>
      <w:bookmarkStart w:id="98" w:name="_Toc500331878"/>
      <w:r>
        <w:rPr>
          <w:rFonts w:hint="eastAsia" w:ascii="仿宋" w:hAnsi="仿宋" w:eastAsia="仿宋" w:cs="仿宋"/>
          <w:sz w:val="21"/>
          <w:szCs w:val="21"/>
          <w:highlight w:val="none"/>
        </w:rPr>
        <w:t>（一）项目管理机构组成表</w:t>
      </w:r>
      <w:bookmarkEnd w:id="96"/>
      <w:bookmarkEnd w:id="97"/>
      <w:bookmarkEnd w:id="98"/>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721"/>
        <w:gridCol w:w="720"/>
        <w:gridCol w:w="1081"/>
        <w:gridCol w:w="720"/>
        <w:gridCol w:w="721"/>
        <w:gridCol w:w="720"/>
        <w:gridCol w:w="2524"/>
        <w:gridCol w:w="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52" w:type="dxa"/>
            <w:vMerge w:val="restart"/>
            <w:noWrap w:val="0"/>
            <w:vAlign w:val="center"/>
          </w:tcPr>
          <w:p>
            <w:pPr>
              <w:spacing w:line="440" w:lineRule="exact"/>
              <w:jc w:val="center"/>
              <w:rPr>
                <w:rFonts w:hint="eastAsia" w:ascii="仿宋" w:hAnsi="仿宋" w:eastAsia="仿宋" w:cs="仿宋"/>
                <w:szCs w:val="21"/>
                <w:highlight w:val="none"/>
              </w:rPr>
            </w:pPr>
            <w:r>
              <w:rPr>
                <w:rFonts w:hint="eastAsia" w:ascii="仿宋" w:hAnsi="仿宋" w:eastAsia="仿宋" w:cs="仿宋"/>
                <w:szCs w:val="21"/>
                <w:highlight w:val="none"/>
              </w:rPr>
              <w:t>职务</w:t>
            </w:r>
          </w:p>
        </w:tc>
        <w:tc>
          <w:tcPr>
            <w:tcW w:w="721" w:type="dxa"/>
            <w:vMerge w:val="restart"/>
            <w:noWrap w:val="0"/>
            <w:vAlign w:val="center"/>
          </w:tcPr>
          <w:p>
            <w:pPr>
              <w:spacing w:line="440" w:lineRule="exact"/>
              <w:jc w:val="center"/>
              <w:rPr>
                <w:rFonts w:hint="eastAsia" w:ascii="仿宋" w:hAnsi="仿宋" w:eastAsia="仿宋" w:cs="仿宋"/>
                <w:szCs w:val="21"/>
                <w:highlight w:val="none"/>
              </w:rPr>
            </w:pPr>
            <w:r>
              <w:rPr>
                <w:rFonts w:hint="eastAsia" w:ascii="仿宋" w:hAnsi="仿宋" w:eastAsia="仿宋" w:cs="仿宋"/>
                <w:szCs w:val="21"/>
                <w:highlight w:val="none"/>
              </w:rPr>
              <w:t>姓名</w:t>
            </w:r>
          </w:p>
        </w:tc>
        <w:tc>
          <w:tcPr>
            <w:tcW w:w="720" w:type="dxa"/>
            <w:vMerge w:val="restart"/>
            <w:noWrap w:val="0"/>
            <w:vAlign w:val="center"/>
          </w:tcPr>
          <w:p>
            <w:pPr>
              <w:spacing w:line="440" w:lineRule="exact"/>
              <w:jc w:val="center"/>
              <w:rPr>
                <w:rFonts w:hint="eastAsia" w:ascii="仿宋" w:hAnsi="仿宋" w:eastAsia="仿宋" w:cs="仿宋"/>
                <w:szCs w:val="21"/>
                <w:highlight w:val="none"/>
              </w:rPr>
            </w:pPr>
            <w:r>
              <w:rPr>
                <w:rFonts w:hint="eastAsia" w:ascii="仿宋" w:hAnsi="仿宋" w:eastAsia="仿宋" w:cs="仿宋"/>
                <w:szCs w:val="21"/>
                <w:highlight w:val="none"/>
              </w:rPr>
              <w:t>职称</w:t>
            </w:r>
          </w:p>
        </w:tc>
        <w:tc>
          <w:tcPr>
            <w:tcW w:w="5766" w:type="dxa"/>
            <w:gridSpan w:val="5"/>
            <w:noWrap w:val="0"/>
            <w:vAlign w:val="center"/>
          </w:tcPr>
          <w:p>
            <w:pPr>
              <w:spacing w:line="440" w:lineRule="exact"/>
              <w:jc w:val="center"/>
              <w:rPr>
                <w:rFonts w:hint="eastAsia" w:ascii="仿宋" w:hAnsi="仿宋" w:eastAsia="仿宋" w:cs="仿宋"/>
                <w:szCs w:val="21"/>
                <w:highlight w:val="none"/>
              </w:rPr>
            </w:pPr>
            <w:r>
              <w:rPr>
                <w:rFonts w:hint="eastAsia" w:ascii="仿宋" w:hAnsi="仿宋" w:eastAsia="仿宋" w:cs="仿宋"/>
                <w:szCs w:val="21"/>
                <w:highlight w:val="none"/>
              </w:rPr>
              <w:t>执业或职业资格证明</w:t>
            </w:r>
          </w:p>
        </w:tc>
        <w:tc>
          <w:tcPr>
            <w:tcW w:w="669" w:type="dxa"/>
            <w:noWrap w:val="0"/>
            <w:vAlign w:val="center"/>
          </w:tcPr>
          <w:p>
            <w:pPr>
              <w:spacing w:line="440" w:lineRule="exact"/>
              <w:jc w:val="center"/>
              <w:rPr>
                <w:rFonts w:hint="eastAsia" w:ascii="仿宋" w:hAnsi="仿宋" w:eastAsia="仿宋" w:cs="仿宋"/>
                <w:szCs w:val="21"/>
                <w:highlight w:val="none"/>
              </w:rPr>
            </w:pPr>
            <w:r>
              <w:rPr>
                <w:rFonts w:hint="eastAsia" w:ascii="仿宋" w:hAnsi="仿宋" w:eastAsia="仿宋" w:cs="仿宋"/>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52" w:type="dxa"/>
            <w:vMerge w:val="continue"/>
            <w:noWrap w:val="0"/>
            <w:vAlign w:val="center"/>
          </w:tcPr>
          <w:p>
            <w:pPr>
              <w:spacing w:line="440" w:lineRule="exact"/>
              <w:jc w:val="center"/>
              <w:rPr>
                <w:rFonts w:hint="eastAsia" w:ascii="仿宋" w:hAnsi="仿宋" w:eastAsia="仿宋" w:cs="仿宋"/>
                <w:szCs w:val="21"/>
                <w:highlight w:val="none"/>
              </w:rPr>
            </w:pPr>
          </w:p>
        </w:tc>
        <w:tc>
          <w:tcPr>
            <w:tcW w:w="721" w:type="dxa"/>
            <w:vMerge w:val="continue"/>
            <w:noWrap w:val="0"/>
            <w:vAlign w:val="center"/>
          </w:tcPr>
          <w:p>
            <w:pPr>
              <w:spacing w:line="440" w:lineRule="exact"/>
              <w:jc w:val="center"/>
              <w:rPr>
                <w:rFonts w:hint="eastAsia" w:ascii="仿宋" w:hAnsi="仿宋" w:eastAsia="仿宋" w:cs="仿宋"/>
                <w:szCs w:val="21"/>
                <w:highlight w:val="none"/>
              </w:rPr>
            </w:pPr>
          </w:p>
        </w:tc>
        <w:tc>
          <w:tcPr>
            <w:tcW w:w="720" w:type="dxa"/>
            <w:vMerge w:val="continue"/>
            <w:noWrap w:val="0"/>
            <w:vAlign w:val="center"/>
          </w:tcPr>
          <w:p>
            <w:pPr>
              <w:spacing w:line="440" w:lineRule="exact"/>
              <w:jc w:val="center"/>
              <w:rPr>
                <w:rFonts w:hint="eastAsia" w:ascii="仿宋" w:hAnsi="仿宋" w:eastAsia="仿宋" w:cs="仿宋"/>
                <w:szCs w:val="21"/>
                <w:highlight w:val="none"/>
              </w:rPr>
            </w:pPr>
          </w:p>
        </w:tc>
        <w:tc>
          <w:tcPr>
            <w:tcW w:w="1081" w:type="dxa"/>
            <w:noWrap w:val="0"/>
            <w:vAlign w:val="center"/>
          </w:tcPr>
          <w:p>
            <w:pPr>
              <w:spacing w:line="440" w:lineRule="exact"/>
              <w:jc w:val="center"/>
              <w:rPr>
                <w:rFonts w:hint="eastAsia" w:ascii="仿宋" w:hAnsi="仿宋" w:eastAsia="仿宋" w:cs="仿宋"/>
                <w:szCs w:val="21"/>
                <w:highlight w:val="none"/>
              </w:rPr>
            </w:pPr>
            <w:r>
              <w:rPr>
                <w:rFonts w:hint="eastAsia" w:ascii="仿宋" w:hAnsi="仿宋" w:eastAsia="仿宋" w:cs="仿宋"/>
                <w:szCs w:val="21"/>
                <w:highlight w:val="none"/>
              </w:rPr>
              <w:t>证书名称</w:t>
            </w:r>
          </w:p>
        </w:tc>
        <w:tc>
          <w:tcPr>
            <w:tcW w:w="720" w:type="dxa"/>
            <w:noWrap w:val="0"/>
            <w:vAlign w:val="center"/>
          </w:tcPr>
          <w:p>
            <w:pPr>
              <w:spacing w:line="440" w:lineRule="exact"/>
              <w:jc w:val="center"/>
              <w:rPr>
                <w:rFonts w:hint="eastAsia" w:ascii="仿宋" w:hAnsi="仿宋" w:eastAsia="仿宋" w:cs="仿宋"/>
                <w:szCs w:val="21"/>
                <w:highlight w:val="none"/>
              </w:rPr>
            </w:pPr>
            <w:r>
              <w:rPr>
                <w:rFonts w:hint="eastAsia" w:ascii="仿宋" w:hAnsi="仿宋" w:eastAsia="仿宋" w:cs="仿宋"/>
                <w:szCs w:val="21"/>
                <w:highlight w:val="none"/>
              </w:rPr>
              <w:t>级别</w:t>
            </w:r>
          </w:p>
        </w:tc>
        <w:tc>
          <w:tcPr>
            <w:tcW w:w="721" w:type="dxa"/>
            <w:noWrap w:val="0"/>
            <w:vAlign w:val="center"/>
          </w:tcPr>
          <w:p>
            <w:pPr>
              <w:spacing w:line="440" w:lineRule="exact"/>
              <w:jc w:val="center"/>
              <w:rPr>
                <w:rFonts w:hint="eastAsia" w:ascii="仿宋" w:hAnsi="仿宋" w:eastAsia="仿宋" w:cs="仿宋"/>
                <w:szCs w:val="21"/>
                <w:highlight w:val="none"/>
              </w:rPr>
            </w:pPr>
            <w:r>
              <w:rPr>
                <w:rFonts w:hint="eastAsia" w:ascii="仿宋" w:hAnsi="仿宋" w:eastAsia="仿宋" w:cs="仿宋"/>
                <w:szCs w:val="21"/>
                <w:highlight w:val="none"/>
              </w:rPr>
              <w:t>证号</w:t>
            </w:r>
          </w:p>
        </w:tc>
        <w:tc>
          <w:tcPr>
            <w:tcW w:w="720" w:type="dxa"/>
            <w:noWrap w:val="0"/>
            <w:vAlign w:val="center"/>
          </w:tcPr>
          <w:p>
            <w:pPr>
              <w:spacing w:line="440" w:lineRule="exact"/>
              <w:jc w:val="center"/>
              <w:rPr>
                <w:rFonts w:hint="eastAsia" w:ascii="仿宋" w:hAnsi="仿宋" w:eastAsia="仿宋" w:cs="仿宋"/>
                <w:szCs w:val="21"/>
                <w:highlight w:val="none"/>
              </w:rPr>
            </w:pPr>
            <w:r>
              <w:rPr>
                <w:rFonts w:hint="eastAsia" w:ascii="仿宋" w:hAnsi="仿宋" w:eastAsia="仿宋" w:cs="仿宋"/>
                <w:szCs w:val="21"/>
                <w:highlight w:val="none"/>
              </w:rPr>
              <w:t>专业</w:t>
            </w:r>
          </w:p>
        </w:tc>
        <w:tc>
          <w:tcPr>
            <w:tcW w:w="2524" w:type="dxa"/>
            <w:noWrap w:val="0"/>
            <w:vAlign w:val="center"/>
          </w:tcPr>
          <w:p>
            <w:pPr>
              <w:spacing w:line="440" w:lineRule="exact"/>
              <w:jc w:val="center"/>
              <w:rPr>
                <w:rFonts w:hint="eastAsia" w:ascii="仿宋" w:hAnsi="仿宋" w:eastAsia="仿宋" w:cs="仿宋"/>
                <w:szCs w:val="21"/>
                <w:highlight w:val="none"/>
              </w:rPr>
            </w:pPr>
            <w:r>
              <w:rPr>
                <w:rFonts w:hint="eastAsia" w:ascii="仿宋" w:hAnsi="仿宋" w:eastAsia="仿宋" w:cs="仿宋"/>
                <w:szCs w:val="21"/>
                <w:highlight w:val="none"/>
              </w:rPr>
              <w:t>养老保险</w:t>
            </w:r>
          </w:p>
        </w:tc>
        <w:tc>
          <w:tcPr>
            <w:tcW w:w="669" w:type="dxa"/>
            <w:noWrap w:val="0"/>
            <w:vAlign w:val="center"/>
          </w:tcPr>
          <w:p>
            <w:pPr>
              <w:spacing w:line="440" w:lineRule="exact"/>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noWrap w:val="0"/>
            <w:vAlign w:val="center"/>
          </w:tcPr>
          <w:p>
            <w:pPr>
              <w:spacing w:line="440" w:lineRule="exact"/>
              <w:jc w:val="center"/>
              <w:rPr>
                <w:rFonts w:hint="eastAsia" w:ascii="仿宋" w:hAnsi="仿宋" w:eastAsia="仿宋" w:cs="仿宋"/>
                <w:szCs w:val="21"/>
                <w:highlight w:val="none"/>
              </w:rPr>
            </w:pPr>
          </w:p>
        </w:tc>
        <w:tc>
          <w:tcPr>
            <w:tcW w:w="721" w:type="dxa"/>
            <w:noWrap w:val="0"/>
            <w:vAlign w:val="center"/>
          </w:tcPr>
          <w:p>
            <w:pPr>
              <w:spacing w:line="440" w:lineRule="exact"/>
              <w:jc w:val="center"/>
              <w:rPr>
                <w:rFonts w:hint="eastAsia" w:ascii="仿宋" w:hAnsi="仿宋" w:eastAsia="仿宋" w:cs="仿宋"/>
                <w:szCs w:val="21"/>
                <w:highlight w:val="none"/>
              </w:rPr>
            </w:pPr>
          </w:p>
        </w:tc>
        <w:tc>
          <w:tcPr>
            <w:tcW w:w="720" w:type="dxa"/>
            <w:noWrap w:val="0"/>
            <w:vAlign w:val="center"/>
          </w:tcPr>
          <w:p>
            <w:pPr>
              <w:spacing w:line="440" w:lineRule="exact"/>
              <w:jc w:val="center"/>
              <w:rPr>
                <w:rFonts w:hint="eastAsia" w:ascii="仿宋" w:hAnsi="仿宋" w:eastAsia="仿宋" w:cs="仿宋"/>
                <w:szCs w:val="21"/>
                <w:highlight w:val="none"/>
              </w:rPr>
            </w:pPr>
          </w:p>
        </w:tc>
        <w:tc>
          <w:tcPr>
            <w:tcW w:w="1081" w:type="dxa"/>
            <w:noWrap w:val="0"/>
            <w:vAlign w:val="center"/>
          </w:tcPr>
          <w:p>
            <w:pPr>
              <w:spacing w:line="440" w:lineRule="exact"/>
              <w:jc w:val="center"/>
              <w:rPr>
                <w:rFonts w:hint="eastAsia" w:ascii="仿宋" w:hAnsi="仿宋" w:eastAsia="仿宋" w:cs="仿宋"/>
                <w:szCs w:val="21"/>
                <w:highlight w:val="none"/>
              </w:rPr>
            </w:pPr>
          </w:p>
        </w:tc>
        <w:tc>
          <w:tcPr>
            <w:tcW w:w="720" w:type="dxa"/>
            <w:noWrap w:val="0"/>
            <w:vAlign w:val="center"/>
          </w:tcPr>
          <w:p>
            <w:pPr>
              <w:spacing w:line="440" w:lineRule="exact"/>
              <w:jc w:val="center"/>
              <w:rPr>
                <w:rFonts w:hint="eastAsia" w:ascii="仿宋" w:hAnsi="仿宋" w:eastAsia="仿宋" w:cs="仿宋"/>
                <w:szCs w:val="21"/>
                <w:highlight w:val="none"/>
              </w:rPr>
            </w:pPr>
          </w:p>
        </w:tc>
        <w:tc>
          <w:tcPr>
            <w:tcW w:w="721" w:type="dxa"/>
            <w:noWrap w:val="0"/>
            <w:vAlign w:val="center"/>
          </w:tcPr>
          <w:p>
            <w:pPr>
              <w:spacing w:line="440" w:lineRule="exact"/>
              <w:jc w:val="center"/>
              <w:rPr>
                <w:rFonts w:hint="eastAsia" w:ascii="仿宋" w:hAnsi="仿宋" w:eastAsia="仿宋" w:cs="仿宋"/>
                <w:szCs w:val="21"/>
                <w:highlight w:val="none"/>
              </w:rPr>
            </w:pPr>
          </w:p>
        </w:tc>
        <w:tc>
          <w:tcPr>
            <w:tcW w:w="720" w:type="dxa"/>
            <w:noWrap w:val="0"/>
            <w:vAlign w:val="center"/>
          </w:tcPr>
          <w:p>
            <w:pPr>
              <w:spacing w:line="440" w:lineRule="exact"/>
              <w:jc w:val="center"/>
              <w:rPr>
                <w:rFonts w:hint="eastAsia" w:ascii="仿宋" w:hAnsi="仿宋" w:eastAsia="仿宋" w:cs="仿宋"/>
                <w:szCs w:val="21"/>
                <w:highlight w:val="none"/>
              </w:rPr>
            </w:pPr>
          </w:p>
        </w:tc>
        <w:tc>
          <w:tcPr>
            <w:tcW w:w="2524" w:type="dxa"/>
            <w:noWrap w:val="0"/>
            <w:vAlign w:val="center"/>
          </w:tcPr>
          <w:p>
            <w:pPr>
              <w:spacing w:line="440" w:lineRule="exact"/>
              <w:jc w:val="center"/>
              <w:rPr>
                <w:rFonts w:hint="eastAsia" w:ascii="仿宋" w:hAnsi="仿宋" w:eastAsia="仿宋" w:cs="仿宋"/>
                <w:szCs w:val="21"/>
                <w:highlight w:val="none"/>
              </w:rPr>
            </w:pPr>
          </w:p>
        </w:tc>
        <w:tc>
          <w:tcPr>
            <w:tcW w:w="669" w:type="dxa"/>
            <w:noWrap w:val="0"/>
            <w:vAlign w:val="center"/>
          </w:tcPr>
          <w:p>
            <w:pPr>
              <w:spacing w:line="440" w:lineRule="exact"/>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noWrap w:val="0"/>
            <w:vAlign w:val="top"/>
          </w:tcPr>
          <w:p>
            <w:pPr>
              <w:spacing w:line="440" w:lineRule="exact"/>
              <w:jc w:val="center"/>
              <w:rPr>
                <w:rFonts w:hint="eastAsia" w:ascii="仿宋" w:hAnsi="仿宋" w:eastAsia="仿宋" w:cs="仿宋"/>
                <w:szCs w:val="21"/>
                <w:highlight w:val="none"/>
              </w:rPr>
            </w:pPr>
          </w:p>
        </w:tc>
        <w:tc>
          <w:tcPr>
            <w:tcW w:w="72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108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72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2524" w:type="dxa"/>
            <w:noWrap w:val="0"/>
            <w:vAlign w:val="top"/>
          </w:tcPr>
          <w:p>
            <w:pPr>
              <w:spacing w:line="440" w:lineRule="exact"/>
              <w:jc w:val="center"/>
              <w:rPr>
                <w:rFonts w:hint="eastAsia" w:ascii="仿宋" w:hAnsi="仿宋" w:eastAsia="仿宋" w:cs="仿宋"/>
                <w:szCs w:val="21"/>
                <w:highlight w:val="none"/>
              </w:rPr>
            </w:pPr>
          </w:p>
        </w:tc>
        <w:tc>
          <w:tcPr>
            <w:tcW w:w="669" w:type="dxa"/>
            <w:noWrap w:val="0"/>
            <w:vAlign w:val="top"/>
          </w:tcPr>
          <w:p>
            <w:pPr>
              <w:spacing w:line="440" w:lineRule="exact"/>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noWrap w:val="0"/>
            <w:vAlign w:val="top"/>
          </w:tcPr>
          <w:p>
            <w:pPr>
              <w:spacing w:line="440" w:lineRule="exact"/>
              <w:jc w:val="center"/>
              <w:rPr>
                <w:rFonts w:hint="eastAsia" w:ascii="仿宋" w:hAnsi="仿宋" w:eastAsia="仿宋" w:cs="仿宋"/>
                <w:szCs w:val="21"/>
                <w:highlight w:val="none"/>
              </w:rPr>
            </w:pPr>
          </w:p>
        </w:tc>
        <w:tc>
          <w:tcPr>
            <w:tcW w:w="72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108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72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2524" w:type="dxa"/>
            <w:noWrap w:val="0"/>
            <w:vAlign w:val="top"/>
          </w:tcPr>
          <w:p>
            <w:pPr>
              <w:spacing w:line="440" w:lineRule="exact"/>
              <w:jc w:val="center"/>
              <w:rPr>
                <w:rFonts w:hint="eastAsia" w:ascii="仿宋" w:hAnsi="仿宋" w:eastAsia="仿宋" w:cs="仿宋"/>
                <w:szCs w:val="21"/>
                <w:highlight w:val="none"/>
              </w:rPr>
            </w:pPr>
          </w:p>
        </w:tc>
        <w:tc>
          <w:tcPr>
            <w:tcW w:w="669" w:type="dxa"/>
            <w:noWrap w:val="0"/>
            <w:vAlign w:val="top"/>
          </w:tcPr>
          <w:p>
            <w:pPr>
              <w:spacing w:line="440" w:lineRule="exact"/>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noWrap w:val="0"/>
            <w:vAlign w:val="top"/>
          </w:tcPr>
          <w:p>
            <w:pPr>
              <w:spacing w:line="440" w:lineRule="exact"/>
              <w:jc w:val="center"/>
              <w:rPr>
                <w:rFonts w:hint="eastAsia" w:ascii="仿宋" w:hAnsi="仿宋" w:eastAsia="仿宋" w:cs="仿宋"/>
                <w:szCs w:val="21"/>
                <w:highlight w:val="none"/>
              </w:rPr>
            </w:pPr>
          </w:p>
        </w:tc>
        <w:tc>
          <w:tcPr>
            <w:tcW w:w="72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108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72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2524" w:type="dxa"/>
            <w:noWrap w:val="0"/>
            <w:vAlign w:val="top"/>
          </w:tcPr>
          <w:p>
            <w:pPr>
              <w:spacing w:line="440" w:lineRule="exact"/>
              <w:jc w:val="center"/>
              <w:rPr>
                <w:rFonts w:hint="eastAsia" w:ascii="仿宋" w:hAnsi="仿宋" w:eastAsia="仿宋" w:cs="仿宋"/>
                <w:szCs w:val="21"/>
                <w:highlight w:val="none"/>
              </w:rPr>
            </w:pPr>
          </w:p>
        </w:tc>
        <w:tc>
          <w:tcPr>
            <w:tcW w:w="669" w:type="dxa"/>
            <w:noWrap w:val="0"/>
            <w:vAlign w:val="top"/>
          </w:tcPr>
          <w:p>
            <w:pPr>
              <w:spacing w:line="440" w:lineRule="exact"/>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noWrap w:val="0"/>
            <w:vAlign w:val="top"/>
          </w:tcPr>
          <w:p>
            <w:pPr>
              <w:spacing w:line="440" w:lineRule="exact"/>
              <w:jc w:val="center"/>
              <w:rPr>
                <w:rFonts w:hint="eastAsia" w:ascii="仿宋" w:hAnsi="仿宋" w:eastAsia="仿宋" w:cs="仿宋"/>
                <w:szCs w:val="21"/>
                <w:highlight w:val="none"/>
              </w:rPr>
            </w:pPr>
          </w:p>
        </w:tc>
        <w:tc>
          <w:tcPr>
            <w:tcW w:w="72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108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72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2524" w:type="dxa"/>
            <w:noWrap w:val="0"/>
            <w:vAlign w:val="top"/>
          </w:tcPr>
          <w:p>
            <w:pPr>
              <w:spacing w:line="440" w:lineRule="exact"/>
              <w:jc w:val="center"/>
              <w:rPr>
                <w:rFonts w:hint="eastAsia" w:ascii="仿宋" w:hAnsi="仿宋" w:eastAsia="仿宋" w:cs="仿宋"/>
                <w:szCs w:val="21"/>
                <w:highlight w:val="none"/>
              </w:rPr>
            </w:pPr>
          </w:p>
        </w:tc>
        <w:tc>
          <w:tcPr>
            <w:tcW w:w="669" w:type="dxa"/>
            <w:noWrap w:val="0"/>
            <w:vAlign w:val="top"/>
          </w:tcPr>
          <w:p>
            <w:pPr>
              <w:spacing w:line="440" w:lineRule="exact"/>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noWrap w:val="0"/>
            <w:vAlign w:val="top"/>
          </w:tcPr>
          <w:p>
            <w:pPr>
              <w:spacing w:line="440" w:lineRule="exact"/>
              <w:jc w:val="center"/>
              <w:rPr>
                <w:rFonts w:hint="eastAsia" w:ascii="仿宋" w:hAnsi="仿宋" w:eastAsia="仿宋" w:cs="仿宋"/>
                <w:szCs w:val="21"/>
                <w:highlight w:val="none"/>
              </w:rPr>
            </w:pPr>
          </w:p>
        </w:tc>
        <w:tc>
          <w:tcPr>
            <w:tcW w:w="72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108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72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2524" w:type="dxa"/>
            <w:noWrap w:val="0"/>
            <w:vAlign w:val="top"/>
          </w:tcPr>
          <w:p>
            <w:pPr>
              <w:spacing w:line="440" w:lineRule="exact"/>
              <w:jc w:val="center"/>
              <w:rPr>
                <w:rFonts w:hint="eastAsia" w:ascii="仿宋" w:hAnsi="仿宋" w:eastAsia="仿宋" w:cs="仿宋"/>
                <w:szCs w:val="21"/>
                <w:highlight w:val="none"/>
              </w:rPr>
            </w:pPr>
          </w:p>
        </w:tc>
        <w:tc>
          <w:tcPr>
            <w:tcW w:w="669" w:type="dxa"/>
            <w:noWrap w:val="0"/>
            <w:vAlign w:val="top"/>
          </w:tcPr>
          <w:p>
            <w:pPr>
              <w:spacing w:line="440" w:lineRule="exact"/>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noWrap w:val="0"/>
            <w:vAlign w:val="top"/>
          </w:tcPr>
          <w:p>
            <w:pPr>
              <w:spacing w:line="440" w:lineRule="exact"/>
              <w:jc w:val="center"/>
              <w:rPr>
                <w:rFonts w:hint="eastAsia" w:ascii="仿宋" w:hAnsi="仿宋" w:eastAsia="仿宋" w:cs="仿宋"/>
                <w:szCs w:val="21"/>
                <w:highlight w:val="none"/>
              </w:rPr>
            </w:pPr>
          </w:p>
        </w:tc>
        <w:tc>
          <w:tcPr>
            <w:tcW w:w="72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108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72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2524" w:type="dxa"/>
            <w:noWrap w:val="0"/>
            <w:vAlign w:val="top"/>
          </w:tcPr>
          <w:p>
            <w:pPr>
              <w:spacing w:line="440" w:lineRule="exact"/>
              <w:jc w:val="center"/>
              <w:rPr>
                <w:rFonts w:hint="eastAsia" w:ascii="仿宋" w:hAnsi="仿宋" w:eastAsia="仿宋" w:cs="仿宋"/>
                <w:szCs w:val="21"/>
                <w:highlight w:val="none"/>
              </w:rPr>
            </w:pPr>
          </w:p>
        </w:tc>
        <w:tc>
          <w:tcPr>
            <w:tcW w:w="669" w:type="dxa"/>
            <w:noWrap w:val="0"/>
            <w:vAlign w:val="top"/>
          </w:tcPr>
          <w:p>
            <w:pPr>
              <w:spacing w:line="440" w:lineRule="exact"/>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noWrap w:val="0"/>
            <w:vAlign w:val="top"/>
          </w:tcPr>
          <w:p>
            <w:pPr>
              <w:spacing w:line="440" w:lineRule="exact"/>
              <w:jc w:val="center"/>
              <w:rPr>
                <w:rFonts w:hint="eastAsia" w:ascii="仿宋" w:hAnsi="仿宋" w:eastAsia="仿宋" w:cs="仿宋"/>
                <w:szCs w:val="21"/>
                <w:highlight w:val="none"/>
              </w:rPr>
            </w:pPr>
          </w:p>
        </w:tc>
        <w:tc>
          <w:tcPr>
            <w:tcW w:w="72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108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72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2524" w:type="dxa"/>
            <w:noWrap w:val="0"/>
            <w:vAlign w:val="top"/>
          </w:tcPr>
          <w:p>
            <w:pPr>
              <w:spacing w:line="440" w:lineRule="exact"/>
              <w:jc w:val="center"/>
              <w:rPr>
                <w:rFonts w:hint="eastAsia" w:ascii="仿宋" w:hAnsi="仿宋" w:eastAsia="仿宋" w:cs="仿宋"/>
                <w:szCs w:val="21"/>
                <w:highlight w:val="none"/>
              </w:rPr>
            </w:pPr>
          </w:p>
        </w:tc>
        <w:tc>
          <w:tcPr>
            <w:tcW w:w="669" w:type="dxa"/>
            <w:noWrap w:val="0"/>
            <w:vAlign w:val="top"/>
          </w:tcPr>
          <w:p>
            <w:pPr>
              <w:spacing w:line="440" w:lineRule="exact"/>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noWrap w:val="0"/>
            <w:vAlign w:val="top"/>
          </w:tcPr>
          <w:p>
            <w:pPr>
              <w:spacing w:line="440" w:lineRule="exact"/>
              <w:jc w:val="center"/>
              <w:rPr>
                <w:rFonts w:hint="eastAsia" w:ascii="仿宋" w:hAnsi="仿宋" w:eastAsia="仿宋" w:cs="仿宋"/>
                <w:szCs w:val="21"/>
                <w:highlight w:val="none"/>
              </w:rPr>
            </w:pPr>
          </w:p>
        </w:tc>
        <w:tc>
          <w:tcPr>
            <w:tcW w:w="72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108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72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2524" w:type="dxa"/>
            <w:noWrap w:val="0"/>
            <w:vAlign w:val="top"/>
          </w:tcPr>
          <w:p>
            <w:pPr>
              <w:spacing w:line="440" w:lineRule="exact"/>
              <w:jc w:val="center"/>
              <w:rPr>
                <w:rFonts w:hint="eastAsia" w:ascii="仿宋" w:hAnsi="仿宋" w:eastAsia="仿宋" w:cs="仿宋"/>
                <w:szCs w:val="21"/>
                <w:highlight w:val="none"/>
              </w:rPr>
            </w:pPr>
          </w:p>
        </w:tc>
        <w:tc>
          <w:tcPr>
            <w:tcW w:w="669" w:type="dxa"/>
            <w:noWrap w:val="0"/>
            <w:vAlign w:val="top"/>
          </w:tcPr>
          <w:p>
            <w:pPr>
              <w:spacing w:line="440" w:lineRule="exact"/>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noWrap w:val="0"/>
            <w:vAlign w:val="top"/>
          </w:tcPr>
          <w:p>
            <w:pPr>
              <w:spacing w:line="440" w:lineRule="exact"/>
              <w:jc w:val="center"/>
              <w:rPr>
                <w:rFonts w:hint="eastAsia" w:ascii="仿宋" w:hAnsi="仿宋" w:eastAsia="仿宋" w:cs="仿宋"/>
                <w:szCs w:val="21"/>
                <w:highlight w:val="none"/>
              </w:rPr>
            </w:pPr>
          </w:p>
        </w:tc>
        <w:tc>
          <w:tcPr>
            <w:tcW w:w="72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108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72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2524" w:type="dxa"/>
            <w:noWrap w:val="0"/>
            <w:vAlign w:val="top"/>
          </w:tcPr>
          <w:p>
            <w:pPr>
              <w:spacing w:line="440" w:lineRule="exact"/>
              <w:jc w:val="center"/>
              <w:rPr>
                <w:rFonts w:hint="eastAsia" w:ascii="仿宋" w:hAnsi="仿宋" w:eastAsia="仿宋" w:cs="仿宋"/>
                <w:szCs w:val="21"/>
                <w:highlight w:val="none"/>
              </w:rPr>
            </w:pPr>
          </w:p>
        </w:tc>
        <w:tc>
          <w:tcPr>
            <w:tcW w:w="669" w:type="dxa"/>
            <w:noWrap w:val="0"/>
            <w:vAlign w:val="top"/>
          </w:tcPr>
          <w:p>
            <w:pPr>
              <w:spacing w:line="440" w:lineRule="exact"/>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noWrap w:val="0"/>
            <w:vAlign w:val="top"/>
          </w:tcPr>
          <w:p>
            <w:pPr>
              <w:spacing w:line="440" w:lineRule="exact"/>
              <w:jc w:val="center"/>
              <w:rPr>
                <w:rFonts w:hint="eastAsia" w:ascii="仿宋" w:hAnsi="仿宋" w:eastAsia="仿宋" w:cs="仿宋"/>
                <w:szCs w:val="21"/>
                <w:highlight w:val="none"/>
              </w:rPr>
            </w:pPr>
          </w:p>
        </w:tc>
        <w:tc>
          <w:tcPr>
            <w:tcW w:w="72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108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72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2524" w:type="dxa"/>
            <w:noWrap w:val="0"/>
            <w:vAlign w:val="top"/>
          </w:tcPr>
          <w:p>
            <w:pPr>
              <w:spacing w:line="440" w:lineRule="exact"/>
              <w:jc w:val="center"/>
              <w:rPr>
                <w:rFonts w:hint="eastAsia" w:ascii="仿宋" w:hAnsi="仿宋" w:eastAsia="仿宋" w:cs="仿宋"/>
                <w:szCs w:val="21"/>
                <w:highlight w:val="none"/>
              </w:rPr>
            </w:pPr>
          </w:p>
        </w:tc>
        <w:tc>
          <w:tcPr>
            <w:tcW w:w="669" w:type="dxa"/>
            <w:noWrap w:val="0"/>
            <w:vAlign w:val="top"/>
          </w:tcPr>
          <w:p>
            <w:pPr>
              <w:spacing w:line="440" w:lineRule="exact"/>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noWrap w:val="0"/>
            <w:vAlign w:val="top"/>
          </w:tcPr>
          <w:p>
            <w:pPr>
              <w:spacing w:line="440" w:lineRule="exact"/>
              <w:jc w:val="center"/>
              <w:rPr>
                <w:rFonts w:hint="eastAsia" w:ascii="仿宋" w:hAnsi="仿宋" w:eastAsia="仿宋" w:cs="仿宋"/>
                <w:szCs w:val="21"/>
                <w:highlight w:val="none"/>
              </w:rPr>
            </w:pPr>
          </w:p>
        </w:tc>
        <w:tc>
          <w:tcPr>
            <w:tcW w:w="72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108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72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2524" w:type="dxa"/>
            <w:noWrap w:val="0"/>
            <w:vAlign w:val="top"/>
          </w:tcPr>
          <w:p>
            <w:pPr>
              <w:spacing w:line="440" w:lineRule="exact"/>
              <w:jc w:val="center"/>
              <w:rPr>
                <w:rFonts w:hint="eastAsia" w:ascii="仿宋" w:hAnsi="仿宋" w:eastAsia="仿宋" w:cs="仿宋"/>
                <w:szCs w:val="21"/>
                <w:highlight w:val="none"/>
              </w:rPr>
            </w:pPr>
          </w:p>
        </w:tc>
        <w:tc>
          <w:tcPr>
            <w:tcW w:w="669" w:type="dxa"/>
            <w:noWrap w:val="0"/>
            <w:vAlign w:val="top"/>
          </w:tcPr>
          <w:p>
            <w:pPr>
              <w:spacing w:line="440" w:lineRule="exact"/>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noWrap w:val="0"/>
            <w:vAlign w:val="top"/>
          </w:tcPr>
          <w:p>
            <w:pPr>
              <w:spacing w:line="440" w:lineRule="exact"/>
              <w:jc w:val="center"/>
              <w:rPr>
                <w:rFonts w:hint="eastAsia" w:ascii="仿宋" w:hAnsi="仿宋" w:eastAsia="仿宋" w:cs="仿宋"/>
                <w:szCs w:val="21"/>
                <w:highlight w:val="none"/>
              </w:rPr>
            </w:pPr>
          </w:p>
        </w:tc>
        <w:tc>
          <w:tcPr>
            <w:tcW w:w="72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108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72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2524" w:type="dxa"/>
            <w:noWrap w:val="0"/>
            <w:vAlign w:val="top"/>
          </w:tcPr>
          <w:p>
            <w:pPr>
              <w:spacing w:line="440" w:lineRule="exact"/>
              <w:jc w:val="center"/>
              <w:rPr>
                <w:rFonts w:hint="eastAsia" w:ascii="仿宋" w:hAnsi="仿宋" w:eastAsia="仿宋" w:cs="仿宋"/>
                <w:szCs w:val="21"/>
                <w:highlight w:val="none"/>
              </w:rPr>
            </w:pPr>
          </w:p>
        </w:tc>
        <w:tc>
          <w:tcPr>
            <w:tcW w:w="669" w:type="dxa"/>
            <w:noWrap w:val="0"/>
            <w:vAlign w:val="top"/>
          </w:tcPr>
          <w:p>
            <w:pPr>
              <w:spacing w:line="440" w:lineRule="exact"/>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noWrap w:val="0"/>
            <w:vAlign w:val="top"/>
          </w:tcPr>
          <w:p>
            <w:pPr>
              <w:spacing w:line="440" w:lineRule="exact"/>
              <w:jc w:val="center"/>
              <w:rPr>
                <w:rFonts w:hint="eastAsia" w:ascii="仿宋" w:hAnsi="仿宋" w:eastAsia="仿宋" w:cs="仿宋"/>
                <w:szCs w:val="21"/>
                <w:highlight w:val="none"/>
              </w:rPr>
            </w:pPr>
          </w:p>
        </w:tc>
        <w:tc>
          <w:tcPr>
            <w:tcW w:w="72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108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72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2524" w:type="dxa"/>
            <w:noWrap w:val="0"/>
            <w:vAlign w:val="top"/>
          </w:tcPr>
          <w:p>
            <w:pPr>
              <w:spacing w:line="440" w:lineRule="exact"/>
              <w:jc w:val="center"/>
              <w:rPr>
                <w:rFonts w:hint="eastAsia" w:ascii="仿宋" w:hAnsi="仿宋" w:eastAsia="仿宋" w:cs="仿宋"/>
                <w:szCs w:val="21"/>
                <w:highlight w:val="none"/>
              </w:rPr>
            </w:pPr>
          </w:p>
        </w:tc>
        <w:tc>
          <w:tcPr>
            <w:tcW w:w="669" w:type="dxa"/>
            <w:noWrap w:val="0"/>
            <w:vAlign w:val="top"/>
          </w:tcPr>
          <w:p>
            <w:pPr>
              <w:spacing w:line="440" w:lineRule="exact"/>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noWrap w:val="0"/>
            <w:vAlign w:val="top"/>
          </w:tcPr>
          <w:p>
            <w:pPr>
              <w:spacing w:line="440" w:lineRule="exact"/>
              <w:jc w:val="center"/>
              <w:rPr>
                <w:rFonts w:hint="eastAsia" w:ascii="仿宋" w:hAnsi="仿宋" w:eastAsia="仿宋" w:cs="仿宋"/>
                <w:szCs w:val="21"/>
                <w:highlight w:val="none"/>
              </w:rPr>
            </w:pPr>
          </w:p>
        </w:tc>
        <w:tc>
          <w:tcPr>
            <w:tcW w:w="72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108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72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2524" w:type="dxa"/>
            <w:noWrap w:val="0"/>
            <w:vAlign w:val="top"/>
          </w:tcPr>
          <w:p>
            <w:pPr>
              <w:spacing w:line="440" w:lineRule="exact"/>
              <w:jc w:val="center"/>
              <w:rPr>
                <w:rFonts w:hint="eastAsia" w:ascii="仿宋" w:hAnsi="仿宋" w:eastAsia="仿宋" w:cs="仿宋"/>
                <w:szCs w:val="21"/>
                <w:highlight w:val="none"/>
              </w:rPr>
            </w:pPr>
          </w:p>
        </w:tc>
        <w:tc>
          <w:tcPr>
            <w:tcW w:w="669" w:type="dxa"/>
            <w:noWrap w:val="0"/>
            <w:vAlign w:val="top"/>
          </w:tcPr>
          <w:p>
            <w:pPr>
              <w:spacing w:line="440" w:lineRule="exact"/>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noWrap w:val="0"/>
            <w:vAlign w:val="top"/>
          </w:tcPr>
          <w:p>
            <w:pPr>
              <w:spacing w:line="440" w:lineRule="exact"/>
              <w:jc w:val="center"/>
              <w:rPr>
                <w:rFonts w:hint="eastAsia" w:ascii="仿宋" w:hAnsi="仿宋" w:eastAsia="仿宋" w:cs="仿宋"/>
                <w:szCs w:val="21"/>
                <w:highlight w:val="none"/>
              </w:rPr>
            </w:pPr>
          </w:p>
        </w:tc>
        <w:tc>
          <w:tcPr>
            <w:tcW w:w="72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108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72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2524" w:type="dxa"/>
            <w:noWrap w:val="0"/>
            <w:vAlign w:val="top"/>
          </w:tcPr>
          <w:p>
            <w:pPr>
              <w:spacing w:line="440" w:lineRule="exact"/>
              <w:jc w:val="center"/>
              <w:rPr>
                <w:rFonts w:hint="eastAsia" w:ascii="仿宋" w:hAnsi="仿宋" w:eastAsia="仿宋" w:cs="仿宋"/>
                <w:szCs w:val="21"/>
                <w:highlight w:val="none"/>
              </w:rPr>
            </w:pPr>
          </w:p>
        </w:tc>
        <w:tc>
          <w:tcPr>
            <w:tcW w:w="669" w:type="dxa"/>
            <w:noWrap w:val="0"/>
            <w:vAlign w:val="top"/>
          </w:tcPr>
          <w:p>
            <w:pPr>
              <w:spacing w:line="440" w:lineRule="exact"/>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noWrap w:val="0"/>
            <w:vAlign w:val="top"/>
          </w:tcPr>
          <w:p>
            <w:pPr>
              <w:spacing w:line="440" w:lineRule="exact"/>
              <w:jc w:val="center"/>
              <w:rPr>
                <w:rFonts w:hint="eastAsia" w:ascii="仿宋" w:hAnsi="仿宋" w:eastAsia="仿宋" w:cs="仿宋"/>
                <w:szCs w:val="21"/>
                <w:highlight w:val="none"/>
              </w:rPr>
            </w:pPr>
          </w:p>
        </w:tc>
        <w:tc>
          <w:tcPr>
            <w:tcW w:w="72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108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72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2524" w:type="dxa"/>
            <w:noWrap w:val="0"/>
            <w:vAlign w:val="top"/>
          </w:tcPr>
          <w:p>
            <w:pPr>
              <w:spacing w:line="440" w:lineRule="exact"/>
              <w:jc w:val="center"/>
              <w:rPr>
                <w:rFonts w:hint="eastAsia" w:ascii="仿宋" w:hAnsi="仿宋" w:eastAsia="仿宋" w:cs="仿宋"/>
                <w:szCs w:val="21"/>
                <w:highlight w:val="none"/>
              </w:rPr>
            </w:pPr>
          </w:p>
        </w:tc>
        <w:tc>
          <w:tcPr>
            <w:tcW w:w="669" w:type="dxa"/>
            <w:noWrap w:val="0"/>
            <w:vAlign w:val="top"/>
          </w:tcPr>
          <w:p>
            <w:pPr>
              <w:spacing w:line="440" w:lineRule="exact"/>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noWrap w:val="0"/>
            <w:vAlign w:val="top"/>
          </w:tcPr>
          <w:p>
            <w:pPr>
              <w:spacing w:line="440" w:lineRule="exact"/>
              <w:jc w:val="center"/>
              <w:rPr>
                <w:rFonts w:hint="eastAsia" w:ascii="仿宋" w:hAnsi="仿宋" w:eastAsia="仿宋" w:cs="仿宋"/>
                <w:szCs w:val="21"/>
                <w:highlight w:val="none"/>
              </w:rPr>
            </w:pPr>
          </w:p>
        </w:tc>
        <w:tc>
          <w:tcPr>
            <w:tcW w:w="72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108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721" w:type="dxa"/>
            <w:noWrap w:val="0"/>
            <w:vAlign w:val="top"/>
          </w:tcPr>
          <w:p>
            <w:pPr>
              <w:spacing w:line="440" w:lineRule="exact"/>
              <w:jc w:val="center"/>
              <w:rPr>
                <w:rFonts w:hint="eastAsia" w:ascii="仿宋" w:hAnsi="仿宋" w:eastAsia="仿宋" w:cs="仿宋"/>
                <w:szCs w:val="21"/>
                <w:highlight w:val="none"/>
              </w:rPr>
            </w:pPr>
          </w:p>
        </w:tc>
        <w:tc>
          <w:tcPr>
            <w:tcW w:w="720" w:type="dxa"/>
            <w:noWrap w:val="0"/>
            <w:vAlign w:val="top"/>
          </w:tcPr>
          <w:p>
            <w:pPr>
              <w:spacing w:line="440" w:lineRule="exact"/>
              <w:jc w:val="center"/>
              <w:rPr>
                <w:rFonts w:hint="eastAsia" w:ascii="仿宋" w:hAnsi="仿宋" w:eastAsia="仿宋" w:cs="仿宋"/>
                <w:szCs w:val="21"/>
                <w:highlight w:val="none"/>
              </w:rPr>
            </w:pPr>
          </w:p>
        </w:tc>
        <w:tc>
          <w:tcPr>
            <w:tcW w:w="2524" w:type="dxa"/>
            <w:noWrap w:val="0"/>
            <w:vAlign w:val="top"/>
          </w:tcPr>
          <w:p>
            <w:pPr>
              <w:spacing w:line="440" w:lineRule="exact"/>
              <w:jc w:val="center"/>
              <w:rPr>
                <w:rFonts w:hint="eastAsia" w:ascii="仿宋" w:hAnsi="仿宋" w:eastAsia="仿宋" w:cs="仿宋"/>
                <w:szCs w:val="21"/>
                <w:highlight w:val="none"/>
              </w:rPr>
            </w:pPr>
          </w:p>
        </w:tc>
        <w:tc>
          <w:tcPr>
            <w:tcW w:w="669" w:type="dxa"/>
            <w:noWrap w:val="0"/>
            <w:vAlign w:val="top"/>
          </w:tcPr>
          <w:p>
            <w:pPr>
              <w:spacing w:line="440" w:lineRule="exact"/>
              <w:jc w:val="center"/>
              <w:rPr>
                <w:rFonts w:hint="eastAsia" w:ascii="仿宋" w:hAnsi="仿宋" w:eastAsia="仿宋" w:cs="仿宋"/>
                <w:szCs w:val="21"/>
                <w:highlight w:val="none"/>
              </w:rPr>
            </w:pPr>
          </w:p>
        </w:tc>
      </w:tr>
    </w:tbl>
    <w:p>
      <w:pPr>
        <w:spacing w:line="440" w:lineRule="exact"/>
        <w:ind w:left="210" w:leftChars="100"/>
        <w:jc w:val="center"/>
        <w:rPr>
          <w:rFonts w:hint="eastAsia" w:ascii="仿宋" w:hAnsi="仿宋" w:eastAsia="仿宋" w:cs="仿宋"/>
          <w:sz w:val="20"/>
          <w:szCs w:val="20"/>
          <w:highlight w:val="none"/>
        </w:rPr>
      </w:pPr>
    </w:p>
    <w:p>
      <w:pPr>
        <w:spacing w:line="440" w:lineRule="exact"/>
        <w:ind w:left="210" w:leftChars="100"/>
        <w:jc w:val="center"/>
        <w:rPr>
          <w:rFonts w:hint="eastAsia" w:ascii="仿宋" w:hAnsi="仿宋" w:eastAsia="仿宋" w:cs="仿宋"/>
          <w:sz w:val="20"/>
          <w:szCs w:val="20"/>
          <w:highlight w:val="none"/>
        </w:rPr>
      </w:pPr>
    </w:p>
    <w:p>
      <w:pPr>
        <w:spacing w:line="440" w:lineRule="exact"/>
        <w:ind w:left="210" w:leftChars="100"/>
        <w:jc w:val="center"/>
        <w:rPr>
          <w:rFonts w:hint="eastAsia" w:ascii="仿宋" w:hAnsi="仿宋" w:eastAsia="仿宋" w:cs="仿宋"/>
          <w:sz w:val="20"/>
          <w:szCs w:val="20"/>
          <w:highlight w:val="none"/>
        </w:rPr>
      </w:pPr>
    </w:p>
    <w:p>
      <w:pPr>
        <w:spacing w:line="440" w:lineRule="exact"/>
        <w:rPr>
          <w:rFonts w:hint="eastAsia" w:ascii="仿宋" w:hAnsi="仿宋" w:eastAsia="仿宋" w:cs="仿宋"/>
          <w:sz w:val="20"/>
          <w:szCs w:val="20"/>
          <w:highlight w:val="none"/>
        </w:rPr>
      </w:pPr>
    </w:p>
    <w:p>
      <w:pPr>
        <w:pStyle w:val="4"/>
        <w:jc w:val="center"/>
        <w:rPr>
          <w:rFonts w:hint="eastAsia" w:ascii="仿宋" w:hAnsi="仿宋" w:eastAsia="仿宋" w:cs="仿宋"/>
          <w:sz w:val="21"/>
          <w:szCs w:val="21"/>
          <w:highlight w:val="none"/>
        </w:rPr>
      </w:pPr>
      <w:bookmarkStart w:id="99" w:name="_Toc301957337"/>
      <w:bookmarkStart w:id="100" w:name="_Toc500331880"/>
      <w:bookmarkStart w:id="101" w:name="_Toc500331987"/>
      <w:r>
        <w:rPr>
          <w:rFonts w:hint="eastAsia" w:ascii="仿宋" w:hAnsi="仿宋" w:eastAsia="仿宋" w:cs="仿宋"/>
          <w:sz w:val="21"/>
          <w:szCs w:val="21"/>
          <w:highlight w:val="none"/>
        </w:rPr>
        <w:t>（二）主要人员简历表</w:t>
      </w:r>
      <w:bookmarkEnd w:id="99"/>
      <w:bookmarkEnd w:id="100"/>
      <w:bookmarkEnd w:id="101"/>
    </w:p>
    <w:p>
      <w:pPr>
        <w:pStyle w:val="5"/>
        <w:rPr>
          <w:rFonts w:hint="eastAsia" w:ascii="仿宋" w:hAnsi="仿宋" w:eastAsia="仿宋" w:cs="仿宋"/>
          <w:highlight w:val="none"/>
        </w:rPr>
      </w:pPr>
      <w:bookmarkStart w:id="102" w:name="_Toc500331881"/>
      <w:bookmarkStart w:id="103" w:name="_Toc500331988"/>
      <w:r>
        <w:rPr>
          <w:rFonts w:hint="eastAsia" w:ascii="仿宋" w:hAnsi="仿宋" w:eastAsia="仿宋" w:cs="仿宋"/>
          <w:sz w:val="21"/>
          <w:szCs w:val="21"/>
          <w:highlight w:val="none"/>
        </w:rPr>
        <w:t>附1：项目经理简历表</w:t>
      </w:r>
      <w:bookmarkEnd w:id="102"/>
      <w:bookmarkEnd w:id="103"/>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1079"/>
        <w:gridCol w:w="927"/>
        <w:gridCol w:w="1065"/>
        <w:gridCol w:w="1969"/>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186" w:type="dxa"/>
            <w:noWrap w:val="0"/>
            <w:vAlign w:val="center"/>
          </w:tcPr>
          <w:p>
            <w:pPr>
              <w:spacing w:line="440" w:lineRule="exact"/>
              <w:jc w:val="center"/>
              <w:rPr>
                <w:rFonts w:hint="eastAsia" w:ascii="仿宋" w:hAnsi="仿宋" w:eastAsia="仿宋" w:cs="仿宋"/>
                <w:szCs w:val="21"/>
                <w:highlight w:val="none"/>
              </w:rPr>
            </w:pPr>
            <w:r>
              <w:rPr>
                <w:rFonts w:hint="eastAsia" w:ascii="仿宋" w:hAnsi="仿宋" w:eastAsia="仿宋" w:cs="仿宋"/>
                <w:szCs w:val="21"/>
                <w:highlight w:val="none"/>
              </w:rPr>
              <w:t>姓  名</w:t>
            </w:r>
          </w:p>
        </w:tc>
        <w:tc>
          <w:tcPr>
            <w:tcW w:w="1079" w:type="dxa"/>
            <w:noWrap w:val="0"/>
            <w:vAlign w:val="center"/>
          </w:tcPr>
          <w:p>
            <w:pPr>
              <w:spacing w:line="440" w:lineRule="exact"/>
              <w:jc w:val="center"/>
              <w:rPr>
                <w:rFonts w:hint="eastAsia" w:ascii="仿宋" w:hAnsi="仿宋" w:eastAsia="仿宋" w:cs="仿宋"/>
                <w:szCs w:val="21"/>
                <w:highlight w:val="none"/>
              </w:rPr>
            </w:pPr>
          </w:p>
        </w:tc>
        <w:tc>
          <w:tcPr>
            <w:tcW w:w="927" w:type="dxa"/>
            <w:noWrap w:val="0"/>
            <w:vAlign w:val="center"/>
          </w:tcPr>
          <w:p>
            <w:pPr>
              <w:spacing w:line="440" w:lineRule="exact"/>
              <w:jc w:val="center"/>
              <w:rPr>
                <w:rFonts w:hint="eastAsia" w:ascii="仿宋" w:hAnsi="仿宋" w:eastAsia="仿宋" w:cs="仿宋"/>
                <w:szCs w:val="21"/>
                <w:highlight w:val="none"/>
              </w:rPr>
            </w:pPr>
            <w:r>
              <w:rPr>
                <w:rFonts w:hint="eastAsia" w:ascii="仿宋" w:hAnsi="仿宋" w:eastAsia="仿宋" w:cs="仿宋"/>
                <w:szCs w:val="21"/>
                <w:highlight w:val="none"/>
              </w:rPr>
              <w:t>年 龄</w:t>
            </w:r>
          </w:p>
        </w:tc>
        <w:tc>
          <w:tcPr>
            <w:tcW w:w="1065" w:type="dxa"/>
            <w:noWrap w:val="0"/>
            <w:vAlign w:val="center"/>
          </w:tcPr>
          <w:p>
            <w:pPr>
              <w:spacing w:line="440" w:lineRule="exact"/>
              <w:jc w:val="center"/>
              <w:rPr>
                <w:rFonts w:hint="eastAsia" w:ascii="仿宋" w:hAnsi="仿宋" w:eastAsia="仿宋" w:cs="仿宋"/>
                <w:szCs w:val="21"/>
                <w:highlight w:val="none"/>
              </w:rPr>
            </w:pPr>
          </w:p>
        </w:tc>
        <w:tc>
          <w:tcPr>
            <w:tcW w:w="2130" w:type="dxa"/>
            <w:gridSpan w:val="2"/>
            <w:noWrap w:val="0"/>
            <w:vAlign w:val="center"/>
          </w:tcPr>
          <w:p>
            <w:pPr>
              <w:spacing w:line="440" w:lineRule="exact"/>
              <w:jc w:val="center"/>
              <w:rPr>
                <w:rFonts w:hint="eastAsia" w:ascii="仿宋" w:hAnsi="仿宋" w:eastAsia="仿宋" w:cs="仿宋"/>
                <w:szCs w:val="21"/>
                <w:highlight w:val="none"/>
              </w:rPr>
            </w:pPr>
            <w:r>
              <w:rPr>
                <w:rFonts w:hint="eastAsia" w:ascii="仿宋" w:hAnsi="仿宋" w:eastAsia="仿宋" w:cs="仿宋"/>
                <w:szCs w:val="21"/>
                <w:highlight w:val="none"/>
              </w:rPr>
              <w:t>学 历</w:t>
            </w:r>
          </w:p>
        </w:tc>
        <w:tc>
          <w:tcPr>
            <w:tcW w:w="2135" w:type="dxa"/>
            <w:noWrap w:val="0"/>
            <w:vAlign w:val="center"/>
          </w:tcPr>
          <w:p>
            <w:pPr>
              <w:spacing w:line="440" w:lineRule="exact"/>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noWrap w:val="0"/>
            <w:vAlign w:val="center"/>
          </w:tcPr>
          <w:p>
            <w:pPr>
              <w:spacing w:line="440" w:lineRule="exact"/>
              <w:jc w:val="center"/>
              <w:rPr>
                <w:rFonts w:hint="eastAsia" w:ascii="仿宋" w:hAnsi="仿宋" w:eastAsia="仿宋" w:cs="仿宋"/>
                <w:szCs w:val="21"/>
                <w:highlight w:val="none"/>
              </w:rPr>
            </w:pPr>
            <w:r>
              <w:rPr>
                <w:rFonts w:hint="eastAsia" w:ascii="仿宋" w:hAnsi="仿宋" w:eastAsia="仿宋" w:cs="仿宋"/>
                <w:szCs w:val="21"/>
                <w:highlight w:val="none"/>
              </w:rPr>
              <w:t>职  称</w:t>
            </w:r>
          </w:p>
        </w:tc>
        <w:tc>
          <w:tcPr>
            <w:tcW w:w="1079" w:type="dxa"/>
            <w:noWrap w:val="0"/>
            <w:vAlign w:val="center"/>
          </w:tcPr>
          <w:p>
            <w:pPr>
              <w:spacing w:line="440" w:lineRule="exact"/>
              <w:jc w:val="center"/>
              <w:rPr>
                <w:rFonts w:hint="eastAsia" w:ascii="仿宋" w:hAnsi="仿宋" w:eastAsia="仿宋" w:cs="仿宋"/>
                <w:szCs w:val="21"/>
                <w:highlight w:val="none"/>
              </w:rPr>
            </w:pPr>
          </w:p>
        </w:tc>
        <w:tc>
          <w:tcPr>
            <w:tcW w:w="927" w:type="dxa"/>
            <w:noWrap w:val="0"/>
            <w:vAlign w:val="center"/>
          </w:tcPr>
          <w:p>
            <w:pPr>
              <w:spacing w:line="440" w:lineRule="exact"/>
              <w:jc w:val="center"/>
              <w:rPr>
                <w:rFonts w:hint="eastAsia" w:ascii="仿宋" w:hAnsi="仿宋" w:eastAsia="仿宋" w:cs="仿宋"/>
                <w:szCs w:val="21"/>
                <w:highlight w:val="none"/>
              </w:rPr>
            </w:pPr>
            <w:r>
              <w:rPr>
                <w:rFonts w:hint="eastAsia" w:ascii="仿宋" w:hAnsi="仿宋" w:eastAsia="仿宋" w:cs="仿宋"/>
                <w:szCs w:val="21"/>
                <w:highlight w:val="none"/>
              </w:rPr>
              <w:t>职 务</w:t>
            </w:r>
          </w:p>
        </w:tc>
        <w:tc>
          <w:tcPr>
            <w:tcW w:w="1065" w:type="dxa"/>
            <w:noWrap w:val="0"/>
            <w:vAlign w:val="center"/>
          </w:tcPr>
          <w:p>
            <w:pPr>
              <w:spacing w:line="440" w:lineRule="exact"/>
              <w:jc w:val="center"/>
              <w:rPr>
                <w:rFonts w:hint="eastAsia" w:ascii="仿宋" w:hAnsi="仿宋" w:eastAsia="仿宋" w:cs="仿宋"/>
                <w:szCs w:val="21"/>
                <w:highlight w:val="none"/>
              </w:rPr>
            </w:pPr>
          </w:p>
        </w:tc>
        <w:tc>
          <w:tcPr>
            <w:tcW w:w="2130" w:type="dxa"/>
            <w:gridSpan w:val="2"/>
            <w:noWrap w:val="0"/>
            <w:vAlign w:val="center"/>
          </w:tcPr>
          <w:p>
            <w:pPr>
              <w:spacing w:line="440" w:lineRule="exact"/>
              <w:jc w:val="center"/>
              <w:rPr>
                <w:rFonts w:hint="eastAsia" w:ascii="仿宋" w:hAnsi="仿宋" w:eastAsia="仿宋" w:cs="仿宋"/>
                <w:szCs w:val="21"/>
                <w:highlight w:val="none"/>
              </w:rPr>
            </w:pPr>
            <w:r>
              <w:rPr>
                <w:rFonts w:hint="eastAsia" w:ascii="仿宋" w:hAnsi="仿宋" w:eastAsia="仿宋" w:cs="仿宋"/>
                <w:szCs w:val="21"/>
                <w:highlight w:val="none"/>
              </w:rPr>
              <w:t>拟在本工程任职</w:t>
            </w:r>
          </w:p>
        </w:tc>
        <w:tc>
          <w:tcPr>
            <w:tcW w:w="2135" w:type="dxa"/>
            <w:noWrap w:val="0"/>
            <w:vAlign w:val="center"/>
          </w:tcPr>
          <w:p>
            <w:pPr>
              <w:spacing w:line="440" w:lineRule="exact"/>
              <w:jc w:val="center"/>
              <w:rPr>
                <w:rFonts w:hint="eastAsia" w:ascii="仿宋" w:hAnsi="仿宋" w:eastAsia="仿宋" w:cs="仿宋"/>
                <w:szCs w:val="21"/>
                <w:highlight w:val="none"/>
              </w:rPr>
            </w:pPr>
            <w:r>
              <w:rPr>
                <w:rFonts w:hint="eastAsia" w:ascii="仿宋" w:hAnsi="仿宋" w:eastAsia="仿宋" w:cs="仿宋"/>
                <w:szCs w:val="21"/>
                <w:highlight w:val="none"/>
              </w:rPr>
              <w:t>项目经理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2" w:type="dxa"/>
            <w:gridSpan w:val="3"/>
            <w:noWrap w:val="0"/>
            <w:vAlign w:val="center"/>
          </w:tcPr>
          <w:p>
            <w:pPr>
              <w:spacing w:line="440" w:lineRule="exact"/>
              <w:jc w:val="center"/>
              <w:rPr>
                <w:rFonts w:hint="eastAsia" w:ascii="仿宋" w:hAnsi="仿宋" w:eastAsia="仿宋" w:cs="仿宋"/>
                <w:szCs w:val="21"/>
                <w:highlight w:val="none"/>
              </w:rPr>
            </w:pPr>
            <w:r>
              <w:rPr>
                <w:rFonts w:hint="eastAsia" w:ascii="仿宋" w:hAnsi="仿宋" w:eastAsia="仿宋" w:cs="仿宋"/>
                <w:szCs w:val="21"/>
                <w:highlight w:val="none"/>
              </w:rPr>
              <w:t>注册建造师执业资格等级</w:t>
            </w:r>
          </w:p>
        </w:tc>
        <w:tc>
          <w:tcPr>
            <w:tcW w:w="1065" w:type="dxa"/>
            <w:noWrap w:val="0"/>
            <w:vAlign w:val="center"/>
          </w:tcPr>
          <w:p>
            <w:pPr>
              <w:spacing w:line="440" w:lineRule="exact"/>
              <w:rPr>
                <w:rFonts w:hint="eastAsia" w:ascii="仿宋" w:hAnsi="仿宋" w:eastAsia="仿宋" w:cs="仿宋"/>
                <w:szCs w:val="21"/>
                <w:highlight w:val="none"/>
              </w:rPr>
            </w:pPr>
            <w:r>
              <w:rPr>
                <w:rFonts w:hint="eastAsia" w:ascii="仿宋" w:hAnsi="仿宋" w:eastAsia="仿宋" w:cs="仿宋"/>
                <w:szCs w:val="21"/>
                <w:highlight w:val="none"/>
              </w:rPr>
              <w:t xml:space="preserve">      级</w:t>
            </w:r>
          </w:p>
        </w:tc>
        <w:tc>
          <w:tcPr>
            <w:tcW w:w="2130" w:type="dxa"/>
            <w:gridSpan w:val="2"/>
            <w:noWrap w:val="0"/>
            <w:vAlign w:val="center"/>
          </w:tcPr>
          <w:p>
            <w:pPr>
              <w:spacing w:line="440" w:lineRule="exact"/>
              <w:jc w:val="center"/>
              <w:rPr>
                <w:rFonts w:hint="eastAsia" w:ascii="仿宋" w:hAnsi="仿宋" w:eastAsia="仿宋" w:cs="仿宋"/>
                <w:szCs w:val="21"/>
                <w:highlight w:val="none"/>
              </w:rPr>
            </w:pPr>
            <w:r>
              <w:rPr>
                <w:rFonts w:hint="eastAsia" w:ascii="仿宋" w:hAnsi="仿宋" w:eastAsia="仿宋" w:cs="仿宋"/>
                <w:szCs w:val="21"/>
                <w:highlight w:val="none"/>
              </w:rPr>
              <w:t>建造师专业</w:t>
            </w:r>
          </w:p>
        </w:tc>
        <w:tc>
          <w:tcPr>
            <w:tcW w:w="2135" w:type="dxa"/>
            <w:noWrap w:val="0"/>
            <w:vAlign w:val="center"/>
          </w:tcPr>
          <w:p>
            <w:pPr>
              <w:spacing w:line="440" w:lineRule="exact"/>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2" w:type="dxa"/>
            <w:gridSpan w:val="3"/>
            <w:noWrap w:val="0"/>
            <w:vAlign w:val="center"/>
          </w:tcPr>
          <w:p>
            <w:pPr>
              <w:spacing w:line="440" w:lineRule="exact"/>
              <w:jc w:val="center"/>
              <w:rPr>
                <w:rFonts w:hint="eastAsia" w:ascii="仿宋" w:hAnsi="仿宋" w:eastAsia="仿宋" w:cs="仿宋"/>
                <w:szCs w:val="21"/>
                <w:highlight w:val="none"/>
              </w:rPr>
            </w:pPr>
            <w:r>
              <w:rPr>
                <w:rFonts w:hint="eastAsia" w:ascii="仿宋" w:hAnsi="仿宋" w:eastAsia="仿宋" w:cs="仿宋"/>
                <w:szCs w:val="21"/>
                <w:highlight w:val="none"/>
              </w:rPr>
              <w:t>安全生产考核合格证书</w:t>
            </w:r>
          </w:p>
        </w:tc>
        <w:tc>
          <w:tcPr>
            <w:tcW w:w="5330" w:type="dxa"/>
            <w:gridSpan w:val="4"/>
            <w:noWrap w:val="0"/>
            <w:vAlign w:val="center"/>
          </w:tcPr>
          <w:p>
            <w:pPr>
              <w:spacing w:line="440" w:lineRule="exact"/>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noWrap w:val="0"/>
            <w:vAlign w:val="center"/>
          </w:tcPr>
          <w:p>
            <w:pPr>
              <w:spacing w:line="440" w:lineRule="exact"/>
              <w:jc w:val="center"/>
              <w:rPr>
                <w:rFonts w:hint="eastAsia" w:ascii="仿宋" w:hAnsi="仿宋" w:eastAsia="仿宋" w:cs="仿宋"/>
                <w:szCs w:val="21"/>
                <w:highlight w:val="none"/>
              </w:rPr>
            </w:pPr>
            <w:r>
              <w:rPr>
                <w:rFonts w:hint="eastAsia" w:ascii="仿宋" w:hAnsi="仿宋" w:eastAsia="仿宋" w:cs="仿宋"/>
                <w:szCs w:val="21"/>
                <w:highlight w:val="none"/>
              </w:rPr>
              <w:t>毕业学校</w:t>
            </w:r>
          </w:p>
        </w:tc>
        <w:tc>
          <w:tcPr>
            <w:tcW w:w="7336" w:type="dxa"/>
            <w:gridSpan w:val="6"/>
            <w:noWrap w:val="0"/>
            <w:vAlign w:val="top"/>
          </w:tcPr>
          <w:p>
            <w:pPr>
              <w:spacing w:line="440" w:lineRule="exact"/>
              <w:rPr>
                <w:rFonts w:hint="eastAsia" w:ascii="仿宋" w:hAnsi="仿宋" w:eastAsia="仿宋" w:cs="仿宋"/>
                <w:szCs w:val="21"/>
                <w:highlight w:val="none"/>
              </w:rPr>
            </w:pPr>
            <w:r>
              <w:rPr>
                <w:rFonts w:hint="eastAsia" w:ascii="仿宋" w:hAnsi="仿宋" w:eastAsia="仿宋" w:cs="仿宋"/>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7"/>
            <w:noWrap w:val="0"/>
            <w:vAlign w:val="center"/>
          </w:tcPr>
          <w:p>
            <w:pPr>
              <w:spacing w:line="440" w:lineRule="exact"/>
              <w:jc w:val="center"/>
              <w:rPr>
                <w:rFonts w:hint="eastAsia" w:ascii="仿宋" w:hAnsi="仿宋" w:eastAsia="仿宋" w:cs="仿宋"/>
                <w:szCs w:val="21"/>
                <w:highlight w:val="none"/>
              </w:rPr>
            </w:pPr>
            <w:r>
              <w:rPr>
                <w:rFonts w:hint="eastAsia" w:ascii="仿宋" w:hAnsi="仿宋" w:eastAsia="仿宋" w:cs="仿宋"/>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86" w:type="dxa"/>
            <w:noWrap w:val="0"/>
            <w:vAlign w:val="center"/>
          </w:tcPr>
          <w:p>
            <w:pPr>
              <w:spacing w:line="440" w:lineRule="exact"/>
              <w:jc w:val="center"/>
              <w:rPr>
                <w:rFonts w:hint="eastAsia" w:ascii="仿宋" w:hAnsi="仿宋" w:eastAsia="仿宋" w:cs="仿宋"/>
                <w:szCs w:val="21"/>
                <w:highlight w:val="none"/>
              </w:rPr>
            </w:pPr>
            <w:r>
              <w:rPr>
                <w:rFonts w:hint="eastAsia" w:ascii="仿宋" w:hAnsi="仿宋" w:eastAsia="仿宋" w:cs="仿宋"/>
                <w:szCs w:val="21"/>
                <w:highlight w:val="none"/>
              </w:rPr>
              <w:t>时  间</w:t>
            </w:r>
          </w:p>
        </w:tc>
        <w:tc>
          <w:tcPr>
            <w:tcW w:w="3071" w:type="dxa"/>
            <w:gridSpan w:val="3"/>
            <w:noWrap w:val="0"/>
            <w:vAlign w:val="center"/>
          </w:tcPr>
          <w:p>
            <w:pPr>
              <w:spacing w:line="440" w:lineRule="exact"/>
              <w:jc w:val="center"/>
              <w:rPr>
                <w:rFonts w:hint="eastAsia" w:ascii="仿宋" w:hAnsi="仿宋" w:eastAsia="仿宋" w:cs="仿宋"/>
                <w:szCs w:val="21"/>
                <w:highlight w:val="none"/>
              </w:rPr>
            </w:pPr>
            <w:r>
              <w:rPr>
                <w:rFonts w:hint="eastAsia" w:ascii="仿宋" w:hAnsi="仿宋" w:eastAsia="仿宋" w:cs="仿宋"/>
                <w:szCs w:val="21"/>
                <w:highlight w:val="none"/>
              </w:rPr>
              <w:t>参加过的</w:t>
            </w:r>
            <w:r>
              <w:rPr>
                <w:rFonts w:hint="eastAsia" w:ascii="仿宋" w:hAnsi="仿宋" w:eastAsia="仿宋" w:cs="仿宋"/>
                <w:szCs w:val="21"/>
                <w:highlight w:val="none"/>
                <w:lang w:eastAsia="zh-CN"/>
              </w:rPr>
              <w:t>工程</w:t>
            </w:r>
            <w:r>
              <w:rPr>
                <w:rFonts w:hint="eastAsia" w:ascii="仿宋" w:hAnsi="仿宋" w:eastAsia="仿宋" w:cs="仿宋"/>
                <w:szCs w:val="21"/>
                <w:highlight w:val="none"/>
              </w:rPr>
              <w:t>项目名称</w:t>
            </w:r>
          </w:p>
        </w:tc>
        <w:tc>
          <w:tcPr>
            <w:tcW w:w="1969" w:type="dxa"/>
            <w:noWrap w:val="0"/>
            <w:vAlign w:val="center"/>
          </w:tcPr>
          <w:p>
            <w:pPr>
              <w:spacing w:line="440" w:lineRule="exact"/>
              <w:jc w:val="center"/>
              <w:rPr>
                <w:rFonts w:hint="eastAsia" w:ascii="仿宋" w:hAnsi="仿宋" w:eastAsia="仿宋" w:cs="仿宋"/>
                <w:szCs w:val="21"/>
                <w:highlight w:val="none"/>
              </w:rPr>
            </w:pPr>
            <w:r>
              <w:rPr>
                <w:rFonts w:hint="eastAsia" w:ascii="仿宋" w:hAnsi="仿宋" w:eastAsia="仿宋" w:cs="仿宋"/>
                <w:szCs w:val="21"/>
                <w:highlight w:val="none"/>
              </w:rPr>
              <w:t>工程概况说明</w:t>
            </w:r>
          </w:p>
        </w:tc>
        <w:tc>
          <w:tcPr>
            <w:tcW w:w="2296" w:type="dxa"/>
            <w:gridSpan w:val="2"/>
            <w:noWrap w:val="0"/>
            <w:vAlign w:val="center"/>
          </w:tcPr>
          <w:p>
            <w:pPr>
              <w:spacing w:line="440" w:lineRule="exact"/>
              <w:jc w:val="center"/>
              <w:rPr>
                <w:rFonts w:hint="eastAsia" w:ascii="仿宋" w:hAnsi="仿宋" w:eastAsia="仿宋" w:cs="仿宋"/>
                <w:szCs w:val="21"/>
                <w:highlight w:val="none"/>
              </w:rPr>
            </w:pPr>
            <w:r>
              <w:rPr>
                <w:rFonts w:hint="eastAsia" w:ascii="仿宋" w:hAnsi="仿宋" w:eastAsia="仿宋" w:cs="仿宋"/>
                <w:szCs w:val="21"/>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top"/>
          </w:tcPr>
          <w:p>
            <w:pPr>
              <w:spacing w:line="440" w:lineRule="exact"/>
              <w:rPr>
                <w:rFonts w:hint="eastAsia" w:ascii="仿宋" w:hAnsi="仿宋" w:eastAsia="仿宋" w:cs="仿宋"/>
                <w:szCs w:val="21"/>
                <w:highlight w:val="none"/>
              </w:rPr>
            </w:pPr>
          </w:p>
        </w:tc>
        <w:tc>
          <w:tcPr>
            <w:tcW w:w="3071" w:type="dxa"/>
            <w:gridSpan w:val="3"/>
            <w:noWrap w:val="0"/>
            <w:vAlign w:val="top"/>
          </w:tcPr>
          <w:p>
            <w:pPr>
              <w:spacing w:line="440" w:lineRule="exact"/>
              <w:rPr>
                <w:rFonts w:hint="eastAsia" w:ascii="仿宋" w:hAnsi="仿宋" w:eastAsia="仿宋" w:cs="仿宋"/>
                <w:szCs w:val="21"/>
                <w:highlight w:val="none"/>
              </w:rPr>
            </w:pPr>
          </w:p>
        </w:tc>
        <w:tc>
          <w:tcPr>
            <w:tcW w:w="1969" w:type="dxa"/>
            <w:noWrap w:val="0"/>
            <w:vAlign w:val="top"/>
          </w:tcPr>
          <w:p>
            <w:pPr>
              <w:spacing w:line="440" w:lineRule="exact"/>
              <w:rPr>
                <w:rFonts w:hint="eastAsia" w:ascii="仿宋" w:hAnsi="仿宋" w:eastAsia="仿宋" w:cs="仿宋"/>
                <w:szCs w:val="21"/>
                <w:highlight w:val="none"/>
              </w:rPr>
            </w:pPr>
          </w:p>
        </w:tc>
        <w:tc>
          <w:tcPr>
            <w:tcW w:w="2296" w:type="dxa"/>
            <w:gridSpan w:val="2"/>
            <w:noWrap w:val="0"/>
            <w:vAlign w:val="top"/>
          </w:tcPr>
          <w:p>
            <w:pPr>
              <w:spacing w:line="440" w:lineRule="exact"/>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top"/>
          </w:tcPr>
          <w:p>
            <w:pPr>
              <w:spacing w:line="440" w:lineRule="exact"/>
              <w:rPr>
                <w:rFonts w:hint="eastAsia" w:ascii="仿宋" w:hAnsi="仿宋" w:eastAsia="仿宋" w:cs="仿宋"/>
                <w:szCs w:val="21"/>
                <w:highlight w:val="none"/>
              </w:rPr>
            </w:pPr>
          </w:p>
        </w:tc>
        <w:tc>
          <w:tcPr>
            <w:tcW w:w="3071" w:type="dxa"/>
            <w:gridSpan w:val="3"/>
            <w:noWrap w:val="0"/>
            <w:vAlign w:val="top"/>
          </w:tcPr>
          <w:p>
            <w:pPr>
              <w:spacing w:line="440" w:lineRule="exact"/>
              <w:rPr>
                <w:rFonts w:hint="eastAsia" w:ascii="仿宋" w:hAnsi="仿宋" w:eastAsia="仿宋" w:cs="仿宋"/>
                <w:szCs w:val="21"/>
                <w:highlight w:val="none"/>
              </w:rPr>
            </w:pPr>
          </w:p>
        </w:tc>
        <w:tc>
          <w:tcPr>
            <w:tcW w:w="1969" w:type="dxa"/>
            <w:noWrap w:val="0"/>
            <w:vAlign w:val="top"/>
          </w:tcPr>
          <w:p>
            <w:pPr>
              <w:spacing w:line="440" w:lineRule="exact"/>
              <w:rPr>
                <w:rFonts w:hint="eastAsia" w:ascii="仿宋" w:hAnsi="仿宋" w:eastAsia="仿宋" w:cs="仿宋"/>
                <w:szCs w:val="21"/>
                <w:highlight w:val="none"/>
              </w:rPr>
            </w:pPr>
          </w:p>
        </w:tc>
        <w:tc>
          <w:tcPr>
            <w:tcW w:w="2296" w:type="dxa"/>
            <w:gridSpan w:val="2"/>
            <w:noWrap w:val="0"/>
            <w:vAlign w:val="top"/>
          </w:tcPr>
          <w:p>
            <w:pPr>
              <w:spacing w:line="440" w:lineRule="exact"/>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top"/>
          </w:tcPr>
          <w:p>
            <w:pPr>
              <w:spacing w:line="440" w:lineRule="exact"/>
              <w:rPr>
                <w:rFonts w:hint="eastAsia" w:ascii="仿宋" w:hAnsi="仿宋" w:eastAsia="仿宋" w:cs="仿宋"/>
                <w:szCs w:val="21"/>
                <w:highlight w:val="none"/>
              </w:rPr>
            </w:pPr>
          </w:p>
        </w:tc>
        <w:tc>
          <w:tcPr>
            <w:tcW w:w="3071" w:type="dxa"/>
            <w:gridSpan w:val="3"/>
            <w:noWrap w:val="0"/>
            <w:vAlign w:val="top"/>
          </w:tcPr>
          <w:p>
            <w:pPr>
              <w:spacing w:line="440" w:lineRule="exact"/>
              <w:rPr>
                <w:rFonts w:hint="eastAsia" w:ascii="仿宋" w:hAnsi="仿宋" w:eastAsia="仿宋" w:cs="仿宋"/>
                <w:szCs w:val="21"/>
                <w:highlight w:val="none"/>
              </w:rPr>
            </w:pPr>
          </w:p>
        </w:tc>
        <w:tc>
          <w:tcPr>
            <w:tcW w:w="1969" w:type="dxa"/>
            <w:noWrap w:val="0"/>
            <w:vAlign w:val="top"/>
          </w:tcPr>
          <w:p>
            <w:pPr>
              <w:spacing w:line="440" w:lineRule="exact"/>
              <w:rPr>
                <w:rFonts w:hint="eastAsia" w:ascii="仿宋" w:hAnsi="仿宋" w:eastAsia="仿宋" w:cs="仿宋"/>
                <w:szCs w:val="21"/>
                <w:highlight w:val="none"/>
              </w:rPr>
            </w:pPr>
          </w:p>
        </w:tc>
        <w:tc>
          <w:tcPr>
            <w:tcW w:w="2296" w:type="dxa"/>
            <w:gridSpan w:val="2"/>
            <w:noWrap w:val="0"/>
            <w:vAlign w:val="top"/>
          </w:tcPr>
          <w:p>
            <w:pPr>
              <w:spacing w:line="440" w:lineRule="exact"/>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center"/>
          </w:tcPr>
          <w:p>
            <w:pPr>
              <w:spacing w:line="440" w:lineRule="exact"/>
              <w:rPr>
                <w:rFonts w:hint="eastAsia" w:ascii="仿宋" w:hAnsi="仿宋" w:eastAsia="仿宋" w:cs="仿宋"/>
                <w:szCs w:val="21"/>
                <w:highlight w:val="none"/>
              </w:rPr>
            </w:pPr>
          </w:p>
        </w:tc>
        <w:tc>
          <w:tcPr>
            <w:tcW w:w="3071" w:type="dxa"/>
            <w:gridSpan w:val="3"/>
            <w:noWrap w:val="0"/>
            <w:vAlign w:val="center"/>
          </w:tcPr>
          <w:p>
            <w:pPr>
              <w:spacing w:line="440" w:lineRule="exact"/>
              <w:rPr>
                <w:rFonts w:hint="eastAsia" w:ascii="仿宋" w:hAnsi="仿宋" w:eastAsia="仿宋" w:cs="仿宋"/>
                <w:szCs w:val="21"/>
                <w:highlight w:val="none"/>
              </w:rPr>
            </w:pPr>
          </w:p>
        </w:tc>
        <w:tc>
          <w:tcPr>
            <w:tcW w:w="1969" w:type="dxa"/>
            <w:noWrap w:val="0"/>
            <w:vAlign w:val="center"/>
          </w:tcPr>
          <w:p>
            <w:pPr>
              <w:spacing w:line="440" w:lineRule="exact"/>
              <w:rPr>
                <w:rFonts w:hint="eastAsia" w:ascii="仿宋" w:hAnsi="仿宋" w:eastAsia="仿宋" w:cs="仿宋"/>
                <w:szCs w:val="21"/>
                <w:highlight w:val="none"/>
              </w:rPr>
            </w:pPr>
          </w:p>
        </w:tc>
        <w:tc>
          <w:tcPr>
            <w:tcW w:w="2296" w:type="dxa"/>
            <w:gridSpan w:val="2"/>
            <w:noWrap w:val="0"/>
            <w:vAlign w:val="center"/>
          </w:tcPr>
          <w:p>
            <w:pPr>
              <w:spacing w:line="440" w:lineRule="exact"/>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center"/>
          </w:tcPr>
          <w:p>
            <w:pPr>
              <w:spacing w:line="440" w:lineRule="exact"/>
              <w:rPr>
                <w:rFonts w:hint="eastAsia" w:ascii="仿宋" w:hAnsi="仿宋" w:eastAsia="仿宋" w:cs="仿宋"/>
                <w:szCs w:val="21"/>
                <w:highlight w:val="none"/>
              </w:rPr>
            </w:pPr>
          </w:p>
        </w:tc>
        <w:tc>
          <w:tcPr>
            <w:tcW w:w="3071" w:type="dxa"/>
            <w:gridSpan w:val="3"/>
            <w:noWrap w:val="0"/>
            <w:vAlign w:val="center"/>
          </w:tcPr>
          <w:p>
            <w:pPr>
              <w:spacing w:line="440" w:lineRule="exact"/>
              <w:rPr>
                <w:rFonts w:hint="eastAsia" w:ascii="仿宋" w:hAnsi="仿宋" w:eastAsia="仿宋" w:cs="仿宋"/>
                <w:szCs w:val="21"/>
                <w:highlight w:val="none"/>
              </w:rPr>
            </w:pPr>
          </w:p>
        </w:tc>
        <w:tc>
          <w:tcPr>
            <w:tcW w:w="1969" w:type="dxa"/>
            <w:noWrap w:val="0"/>
            <w:vAlign w:val="center"/>
          </w:tcPr>
          <w:p>
            <w:pPr>
              <w:spacing w:line="440" w:lineRule="exact"/>
              <w:rPr>
                <w:rFonts w:hint="eastAsia" w:ascii="仿宋" w:hAnsi="仿宋" w:eastAsia="仿宋" w:cs="仿宋"/>
                <w:szCs w:val="21"/>
                <w:highlight w:val="none"/>
              </w:rPr>
            </w:pPr>
          </w:p>
        </w:tc>
        <w:tc>
          <w:tcPr>
            <w:tcW w:w="2296" w:type="dxa"/>
            <w:gridSpan w:val="2"/>
            <w:noWrap w:val="0"/>
            <w:vAlign w:val="center"/>
          </w:tcPr>
          <w:p>
            <w:pPr>
              <w:spacing w:line="440" w:lineRule="exact"/>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center"/>
          </w:tcPr>
          <w:p>
            <w:pPr>
              <w:spacing w:line="440" w:lineRule="exact"/>
              <w:rPr>
                <w:rFonts w:hint="eastAsia" w:ascii="仿宋" w:hAnsi="仿宋" w:eastAsia="仿宋" w:cs="仿宋"/>
                <w:szCs w:val="21"/>
                <w:highlight w:val="none"/>
              </w:rPr>
            </w:pPr>
          </w:p>
        </w:tc>
        <w:tc>
          <w:tcPr>
            <w:tcW w:w="3071" w:type="dxa"/>
            <w:gridSpan w:val="3"/>
            <w:noWrap w:val="0"/>
            <w:vAlign w:val="center"/>
          </w:tcPr>
          <w:p>
            <w:pPr>
              <w:spacing w:line="440" w:lineRule="exact"/>
              <w:rPr>
                <w:rFonts w:hint="eastAsia" w:ascii="仿宋" w:hAnsi="仿宋" w:eastAsia="仿宋" w:cs="仿宋"/>
                <w:szCs w:val="21"/>
                <w:highlight w:val="none"/>
              </w:rPr>
            </w:pPr>
          </w:p>
        </w:tc>
        <w:tc>
          <w:tcPr>
            <w:tcW w:w="1969" w:type="dxa"/>
            <w:noWrap w:val="0"/>
            <w:vAlign w:val="center"/>
          </w:tcPr>
          <w:p>
            <w:pPr>
              <w:spacing w:line="440" w:lineRule="exact"/>
              <w:rPr>
                <w:rFonts w:hint="eastAsia" w:ascii="仿宋" w:hAnsi="仿宋" w:eastAsia="仿宋" w:cs="仿宋"/>
                <w:szCs w:val="21"/>
                <w:highlight w:val="none"/>
              </w:rPr>
            </w:pPr>
          </w:p>
        </w:tc>
        <w:tc>
          <w:tcPr>
            <w:tcW w:w="2296" w:type="dxa"/>
            <w:gridSpan w:val="2"/>
            <w:noWrap w:val="0"/>
            <w:vAlign w:val="center"/>
          </w:tcPr>
          <w:p>
            <w:pPr>
              <w:spacing w:line="440" w:lineRule="exact"/>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center"/>
          </w:tcPr>
          <w:p>
            <w:pPr>
              <w:spacing w:line="440" w:lineRule="exact"/>
              <w:rPr>
                <w:rFonts w:hint="eastAsia" w:ascii="仿宋" w:hAnsi="仿宋" w:eastAsia="仿宋" w:cs="仿宋"/>
                <w:szCs w:val="21"/>
                <w:highlight w:val="none"/>
              </w:rPr>
            </w:pPr>
          </w:p>
        </w:tc>
        <w:tc>
          <w:tcPr>
            <w:tcW w:w="3071" w:type="dxa"/>
            <w:gridSpan w:val="3"/>
            <w:noWrap w:val="0"/>
            <w:vAlign w:val="center"/>
          </w:tcPr>
          <w:p>
            <w:pPr>
              <w:spacing w:line="440" w:lineRule="exact"/>
              <w:rPr>
                <w:rFonts w:hint="eastAsia" w:ascii="仿宋" w:hAnsi="仿宋" w:eastAsia="仿宋" w:cs="仿宋"/>
                <w:szCs w:val="21"/>
                <w:highlight w:val="none"/>
              </w:rPr>
            </w:pPr>
          </w:p>
        </w:tc>
        <w:tc>
          <w:tcPr>
            <w:tcW w:w="1969" w:type="dxa"/>
            <w:noWrap w:val="0"/>
            <w:vAlign w:val="center"/>
          </w:tcPr>
          <w:p>
            <w:pPr>
              <w:spacing w:line="440" w:lineRule="exact"/>
              <w:rPr>
                <w:rFonts w:hint="eastAsia" w:ascii="仿宋" w:hAnsi="仿宋" w:eastAsia="仿宋" w:cs="仿宋"/>
                <w:szCs w:val="21"/>
                <w:highlight w:val="none"/>
              </w:rPr>
            </w:pPr>
          </w:p>
        </w:tc>
        <w:tc>
          <w:tcPr>
            <w:tcW w:w="2296" w:type="dxa"/>
            <w:gridSpan w:val="2"/>
            <w:noWrap w:val="0"/>
            <w:vAlign w:val="center"/>
          </w:tcPr>
          <w:p>
            <w:pPr>
              <w:spacing w:line="440" w:lineRule="exact"/>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center"/>
          </w:tcPr>
          <w:p>
            <w:pPr>
              <w:spacing w:line="440" w:lineRule="exact"/>
              <w:rPr>
                <w:rFonts w:hint="eastAsia" w:ascii="仿宋" w:hAnsi="仿宋" w:eastAsia="仿宋" w:cs="仿宋"/>
                <w:szCs w:val="21"/>
                <w:highlight w:val="none"/>
              </w:rPr>
            </w:pPr>
          </w:p>
        </w:tc>
        <w:tc>
          <w:tcPr>
            <w:tcW w:w="3071" w:type="dxa"/>
            <w:gridSpan w:val="3"/>
            <w:noWrap w:val="0"/>
            <w:vAlign w:val="center"/>
          </w:tcPr>
          <w:p>
            <w:pPr>
              <w:spacing w:line="440" w:lineRule="exact"/>
              <w:rPr>
                <w:rFonts w:hint="eastAsia" w:ascii="仿宋" w:hAnsi="仿宋" w:eastAsia="仿宋" w:cs="仿宋"/>
                <w:szCs w:val="21"/>
                <w:highlight w:val="none"/>
              </w:rPr>
            </w:pPr>
          </w:p>
        </w:tc>
        <w:tc>
          <w:tcPr>
            <w:tcW w:w="1969" w:type="dxa"/>
            <w:noWrap w:val="0"/>
            <w:vAlign w:val="center"/>
          </w:tcPr>
          <w:p>
            <w:pPr>
              <w:spacing w:line="440" w:lineRule="exact"/>
              <w:rPr>
                <w:rFonts w:hint="eastAsia" w:ascii="仿宋" w:hAnsi="仿宋" w:eastAsia="仿宋" w:cs="仿宋"/>
                <w:szCs w:val="21"/>
                <w:highlight w:val="none"/>
              </w:rPr>
            </w:pPr>
          </w:p>
        </w:tc>
        <w:tc>
          <w:tcPr>
            <w:tcW w:w="2296" w:type="dxa"/>
            <w:gridSpan w:val="2"/>
            <w:noWrap w:val="0"/>
            <w:vAlign w:val="center"/>
          </w:tcPr>
          <w:p>
            <w:pPr>
              <w:spacing w:line="440" w:lineRule="exact"/>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center"/>
          </w:tcPr>
          <w:p>
            <w:pPr>
              <w:spacing w:line="440" w:lineRule="exact"/>
              <w:rPr>
                <w:rFonts w:hint="eastAsia" w:ascii="仿宋" w:hAnsi="仿宋" w:eastAsia="仿宋" w:cs="仿宋"/>
                <w:szCs w:val="21"/>
                <w:highlight w:val="none"/>
              </w:rPr>
            </w:pPr>
          </w:p>
        </w:tc>
        <w:tc>
          <w:tcPr>
            <w:tcW w:w="3071" w:type="dxa"/>
            <w:gridSpan w:val="3"/>
            <w:noWrap w:val="0"/>
            <w:vAlign w:val="center"/>
          </w:tcPr>
          <w:p>
            <w:pPr>
              <w:spacing w:line="440" w:lineRule="exact"/>
              <w:rPr>
                <w:rFonts w:hint="eastAsia" w:ascii="仿宋" w:hAnsi="仿宋" w:eastAsia="仿宋" w:cs="仿宋"/>
                <w:szCs w:val="21"/>
                <w:highlight w:val="none"/>
              </w:rPr>
            </w:pPr>
          </w:p>
        </w:tc>
        <w:tc>
          <w:tcPr>
            <w:tcW w:w="1969" w:type="dxa"/>
            <w:noWrap w:val="0"/>
            <w:vAlign w:val="center"/>
          </w:tcPr>
          <w:p>
            <w:pPr>
              <w:spacing w:line="440" w:lineRule="exact"/>
              <w:rPr>
                <w:rFonts w:hint="eastAsia" w:ascii="仿宋" w:hAnsi="仿宋" w:eastAsia="仿宋" w:cs="仿宋"/>
                <w:szCs w:val="21"/>
                <w:highlight w:val="none"/>
              </w:rPr>
            </w:pPr>
          </w:p>
        </w:tc>
        <w:tc>
          <w:tcPr>
            <w:tcW w:w="2296" w:type="dxa"/>
            <w:gridSpan w:val="2"/>
            <w:noWrap w:val="0"/>
            <w:vAlign w:val="center"/>
          </w:tcPr>
          <w:p>
            <w:pPr>
              <w:spacing w:line="440" w:lineRule="exact"/>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center"/>
          </w:tcPr>
          <w:p>
            <w:pPr>
              <w:spacing w:line="440" w:lineRule="exact"/>
              <w:rPr>
                <w:rFonts w:hint="eastAsia" w:ascii="仿宋" w:hAnsi="仿宋" w:eastAsia="仿宋" w:cs="仿宋"/>
                <w:szCs w:val="21"/>
                <w:highlight w:val="none"/>
              </w:rPr>
            </w:pPr>
          </w:p>
        </w:tc>
        <w:tc>
          <w:tcPr>
            <w:tcW w:w="3071" w:type="dxa"/>
            <w:gridSpan w:val="3"/>
            <w:noWrap w:val="0"/>
            <w:vAlign w:val="center"/>
          </w:tcPr>
          <w:p>
            <w:pPr>
              <w:spacing w:line="440" w:lineRule="exact"/>
              <w:rPr>
                <w:rFonts w:hint="eastAsia" w:ascii="仿宋" w:hAnsi="仿宋" w:eastAsia="仿宋" w:cs="仿宋"/>
                <w:szCs w:val="21"/>
                <w:highlight w:val="none"/>
              </w:rPr>
            </w:pPr>
          </w:p>
        </w:tc>
        <w:tc>
          <w:tcPr>
            <w:tcW w:w="1969" w:type="dxa"/>
            <w:noWrap w:val="0"/>
            <w:vAlign w:val="center"/>
          </w:tcPr>
          <w:p>
            <w:pPr>
              <w:spacing w:line="440" w:lineRule="exact"/>
              <w:rPr>
                <w:rFonts w:hint="eastAsia" w:ascii="仿宋" w:hAnsi="仿宋" w:eastAsia="仿宋" w:cs="仿宋"/>
                <w:szCs w:val="21"/>
                <w:highlight w:val="none"/>
              </w:rPr>
            </w:pPr>
          </w:p>
        </w:tc>
        <w:tc>
          <w:tcPr>
            <w:tcW w:w="2296" w:type="dxa"/>
            <w:gridSpan w:val="2"/>
            <w:noWrap w:val="0"/>
            <w:vAlign w:val="center"/>
          </w:tcPr>
          <w:p>
            <w:pPr>
              <w:spacing w:line="440" w:lineRule="exact"/>
              <w:rPr>
                <w:rFonts w:hint="eastAsia" w:ascii="仿宋" w:hAnsi="仿宋" w:eastAsia="仿宋" w:cs="仿宋"/>
                <w:szCs w:val="21"/>
                <w:highlight w:val="none"/>
              </w:rPr>
            </w:pPr>
          </w:p>
        </w:tc>
      </w:tr>
    </w:tbl>
    <w:p>
      <w:pPr>
        <w:spacing w:line="400" w:lineRule="exact"/>
        <w:ind w:firstLine="420" w:firstLineChars="200"/>
        <w:rPr>
          <w:rFonts w:hint="eastAsia" w:ascii="仿宋" w:hAnsi="仿宋" w:eastAsia="仿宋" w:cs="仿宋"/>
          <w:highlight w:val="none"/>
        </w:rPr>
      </w:pPr>
      <w:r>
        <w:rPr>
          <w:rFonts w:hint="eastAsia" w:ascii="仿宋" w:hAnsi="仿宋" w:eastAsia="仿宋" w:cs="仿宋"/>
          <w:highlight w:val="none"/>
        </w:rPr>
        <w:br w:type="page"/>
      </w:r>
    </w:p>
    <w:p>
      <w:pPr>
        <w:pStyle w:val="5"/>
        <w:rPr>
          <w:rFonts w:hint="eastAsia" w:ascii="仿宋" w:hAnsi="仿宋" w:eastAsia="仿宋" w:cs="仿宋"/>
          <w:sz w:val="21"/>
          <w:szCs w:val="21"/>
          <w:highlight w:val="none"/>
        </w:rPr>
      </w:pPr>
      <w:bookmarkStart w:id="104" w:name="_Toc500331882"/>
      <w:bookmarkStart w:id="105" w:name="_Toc500331989"/>
      <w:r>
        <w:rPr>
          <w:rFonts w:hint="eastAsia" w:ascii="仿宋" w:hAnsi="仿宋" w:eastAsia="仿宋" w:cs="仿宋"/>
          <w:sz w:val="21"/>
          <w:szCs w:val="21"/>
          <w:highlight w:val="none"/>
        </w:rPr>
        <w:t>附2：主要项目管理人员简历表</w:t>
      </w:r>
      <w:bookmarkEnd w:id="104"/>
      <w:bookmarkEnd w:id="105"/>
    </w:p>
    <w:tbl>
      <w:tblPr>
        <w:tblStyle w:val="2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2"/>
        <w:gridCol w:w="2082"/>
        <w:gridCol w:w="2082"/>
        <w:gridCol w:w="2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082" w:type="dxa"/>
            <w:noWrap w:val="0"/>
            <w:vAlign w:val="center"/>
          </w:tcPr>
          <w:p>
            <w:pPr>
              <w:pStyle w:val="6"/>
              <w:rPr>
                <w:rFonts w:hint="eastAsia" w:ascii="仿宋" w:hAnsi="仿宋" w:eastAsia="仿宋" w:cs="仿宋"/>
                <w:b w:val="0"/>
                <w:bCs w:val="0"/>
                <w:sz w:val="21"/>
                <w:highlight w:val="none"/>
              </w:rPr>
            </w:pPr>
            <w:r>
              <w:rPr>
                <w:rFonts w:hint="eastAsia" w:ascii="仿宋" w:hAnsi="仿宋" w:eastAsia="仿宋" w:cs="仿宋"/>
                <w:b w:val="0"/>
                <w:bCs w:val="0"/>
                <w:sz w:val="21"/>
                <w:highlight w:val="none"/>
              </w:rPr>
              <w:t>岗位名称</w:t>
            </w:r>
          </w:p>
        </w:tc>
        <w:tc>
          <w:tcPr>
            <w:tcW w:w="6247" w:type="dxa"/>
            <w:gridSpan w:val="3"/>
            <w:noWrap w:val="0"/>
            <w:vAlign w:val="center"/>
          </w:tcPr>
          <w:p>
            <w:pPr>
              <w:pStyle w:val="6"/>
              <w:rPr>
                <w:rFonts w:hint="eastAsia" w:ascii="仿宋" w:hAnsi="仿宋" w:eastAsia="仿宋" w:cs="仿宋"/>
                <w:b w:val="0"/>
                <w:bCs w:val="0"/>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082" w:type="dxa"/>
            <w:noWrap w:val="0"/>
            <w:vAlign w:val="center"/>
          </w:tcPr>
          <w:p>
            <w:pPr>
              <w:pStyle w:val="6"/>
              <w:rPr>
                <w:rFonts w:hint="eastAsia" w:ascii="仿宋" w:hAnsi="仿宋" w:eastAsia="仿宋" w:cs="仿宋"/>
                <w:b w:val="0"/>
                <w:bCs w:val="0"/>
                <w:sz w:val="21"/>
                <w:highlight w:val="none"/>
              </w:rPr>
            </w:pPr>
            <w:r>
              <w:rPr>
                <w:rFonts w:hint="eastAsia" w:ascii="仿宋" w:hAnsi="仿宋" w:eastAsia="仿宋" w:cs="仿宋"/>
                <w:b w:val="0"/>
                <w:bCs w:val="0"/>
                <w:sz w:val="21"/>
                <w:highlight w:val="none"/>
              </w:rPr>
              <w:t>姓     名</w:t>
            </w:r>
          </w:p>
        </w:tc>
        <w:tc>
          <w:tcPr>
            <w:tcW w:w="2082" w:type="dxa"/>
            <w:noWrap w:val="0"/>
            <w:vAlign w:val="center"/>
          </w:tcPr>
          <w:p>
            <w:pPr>
              <w:pStyle w:val="6"/>
              <w:rPr>
                <w:rFonts w:hint="eastAsia" w:ascii="仿宋" w:hAnsi="仿宋" w:eastAsia="仿宋" w:cs="仿宋"/>
                <w:b w:val="0"/>
                <w:bCs w:val="0"/>
                <w:sz w:val="21"/>
                <w:highlight w:val="none"/>
              </w:rPr>
            </w:pPr>
          </w:p>
        </w:tc>
        <w:tc>
          <w:tcPr>
            <w:tcW w:w="2082" w:type="dxa"/>
            <w:noWrap w:val="0"/>
            <w:vAlign w:val="center"/>
          </w:tcPr>
          <w:p>
            <w:pPr>
              <w:pStyle w:val="6"/>
              <w:rPr>
                <w:rFonts w:hint="eastAsia" w:ascii="仿宋" w:hAnsi="仿宋" w:eastAsia="仿宋" w:cs="仿宋"/>
                <w:b w:val="0"/>
                <w:bCs w:val="0"/>
                <w:sz w:val="21"/>
                <w:highlight w:val="none"/>
              </w:rPr>
            </w:pPr>
            <w:r>
              <w:rPr>
                <w:rFonts w:hint="eastAsia" w:ascii="仿宋" w:hAnsi="仿宋" w:eastAsia="仿宋" w:cs="仿宋"/>
                <w:b w:val="0"/>
                <w:bCs w:val="0"/>
                <w:sz w:val="21"/>
                <w:highlight w:val="none"/>
              </w:rPr>
              <w:t>年    龄</w:t>
            </w:r>
          </w:p>
        </w:tc>
        <w:tc>
          <w:tcPr>
            <w:tcW w:w="2083" w:type="dxa"/>
            <w:noWrap w:val="0"/>
            <w:vAlign w:val="center"/>
          </w:tcPr>
          <w:p>
            <w:pPr>
              <w:pStyle w:val="6"/>
              <w:rPr>
                <w:rFonts w:hint="eastAsia" w:ascii="仿宋" w:hAnsi="仿宋" w:eastAsia="仿宋" w:cs="仿宋"/>
                <w:b w:val="0"/>
                <w:bCs w:val="0"/>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082" w:type="dxa"/>
            <w:noWrap w:val="0"/>
            <w:vAlign w:val="center"/>
          </w:tcPr>
          <w:p>
            <w:pPr>
              <w:pStyle w:val="6"/>
              <w:rPr>
                <w:rFonts w:hint="eastAsia" w:ascii="仿宋" w:hAnsi="仿宋" w:eastAsia="仿宋" w:cs="仿宋"/>
                <w:b w:val="0"/>
                <w:bCs w:val="0"/>
                <w:sz w:val="21"/>
                <w:highlight w:val="none"/>
              </w:rPr>
            </w:pPr>
            <w:r>
              <w:rPr>
                <w:rFonts w:hint="eastAsia" w:ascii="仿宋" w:hAnsi="仿宋" w:eastAsia="仿宋" w:cs="仿宋"/>
                <w:b w:val="0"/>
                <w:bCs w:val="0"/>
                <w:sz w:val="21"/>
                <w:highlight w:val="none"/>
              </w:rPr>
              <w:t>性     别</w:t>
            </w:r>
          </w:p>
        </w:tc>
        <w:tc>
          <w:tcPr>
            <w:tcW w:w="2082" w:type="dxa"/>
            <w:noWrap w:val="0"/>
            <w:vAlign w:val="center"/>
          </w:tcPr>
          <w:p>
            <w:pPr>
              <w:pStyle w:val="6"/>
              <w:rPr>
                <w:rFonts w:hint="eastAsia" w:ascii="仿宋" w:hAnsi="仿宋" w:eastAsia="仿宋" w:cs="仿宋"/>
                <w:b w:val="0"/>
                <w:bCs w:val="0"/>
                <w:sz w:val="21"/>
                <w:highlight w:val="none"/>
              </w:rPr>
            </w:pPr>
          </w:p>
        </w:tc>
        <w:tc>
          <w:tcPr>
            <w:tcW w:w="2082" w:type="dxa"/>
            <w:noWrap w:val="0"/>
            <w:vAlign w:val="center"/>
          </w:tcPr>
          <w:p>
            <w:pPr>
              <w:pStyle w:val="6"/>
              <w:rPr>
                <w:rFonts w:hint="eastAsia" w:ascii="仿宋" w:hAnsi="仿宋" w:eastAsia="仿宋" w:cs="仿宋"/>
                <w:b w:val="0"/>
                <w:bCs w:val="0"/>
                <w:sz w:val="21"/>
                <w:highlight w:val="none"/>
              </w:rPr>
            </w:pPr>
            <w:r>
              <w:rPr>
                <w:rFonts w:hint="eastAsia" w:ascii="仿宋" w:hAnsi="仿宋" w:eastAsia="仿宋" w:cs="仿宋"/>
                <w:b w:val="0"/>
                <w:bCs w:val="0"/>
                <w:sz w:val="21"/>
                <w:highlight w:val="none"/>
              </w:rPr>
              <w:t>毕业学校</w:t>
            </w:r>
          </w:p>
        </w:tc>
        <w:tc>
          <w:tcPr>
            <w:tcW w:w="2083" w:type="dxa"/>
            <w:noWrap w:val="0"/>
            <w:vAlign w:val="center"/>
          </w:tcPr>
          <w:p>
            <w:pPr>
              <w:pStyle w:val="6"/>
              <w:rPr>
                <w:rFonts w:hint="eastAsia" w:ascii="仿宋" w:hAnsi="仿宋" w:eastAsia="仿宋" w:cs="仿宋"/>
                <w:b w:val="0"/>
                <w:bCs w:val="0"/>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082" w:type="dxa"/>
            <w:noWrap w:val="0"/>
            <w:vAlign w:val="center"/>
          </w:tcPr>
          <w:p>
            <w:pPr>
              <w:pStyle w:val="6"/>
              <w:rPr>
                <w:rFonts w:hint="eastAsia" w:ascii="仿宋" w:hAnsi="仿宋" w:eastAsia="仿宋" w:cs="仿宋"/>
                <w:b w:val="0"/>
                <w:bCs w:val="0"/>
                <w:sz w:val="21"/>
                <w:highlight w:val="none"/>
              </w:rPr>
            </w:pPr>
            <w:r>
              <w:rPr>
                <w:rFonts w:hint="eastAsia" w:ascii="仿宋" w:hAnsi="仿宋" w:eastAsia="仿宋" w:cs="仿宋"/>
                <w:b w:val="0"/>
                <w:bCs w:val="0"/>
                <w:sz w:val="21"/>
                <w:highlight w:val="none"/>
              </w:rPr>
              <w:t>学历和专业</w:t>
            </w:r>
          </w:p>
        </w:tc>
        <w:tc>
          <w:tcPr>
            <w:tcW w:w="2082" w:type="dxa"/>
            <w:noWrap w:val="0"/>
            <w:vAlign w:val="center"/>
          </w:tcPr>
          <w:p>
            <w:pPr>
              <w:pStyle w:val="6"/>
              <w:rPr>
                <w:rFonts w:hint="eastAsia" w:ascii="仿宋" w:hAnsi="仿宋" w:eastAsia="仿宋" w:cs="仿宋"/>
                <w:b w:val="0"/>
                <w:bCs w:val="0"/>
                <w:sz w:val="21"/>
                <w:highlight w:val="none"/>
              </w:rPr>
            </w:pPr>
          </w:p>
        </w:tc>
        <w:tc>
          <w:tcPr>
            <w:tcW w:w="2082" w:type="dxa"/>
            <w:noWrap w:val="0"/>
            <w:vAlign w:val="center"/>
          </w:tcPr>
          <w:p>
            <w:pPr>
              <w:pStyle w:val="6"/>
              <w:rPr>
                <w:rFonts w:hint="eastAsia" w:ascii="仿宋" w:hAnsi="仿宋" w:eastAsia="仿宋" w:cs="仿宋"/>
                <w:b w:val="0"/>
                <w:bCs w:val="0"/>
                <w:sz w:val="21"/>
                <w:highlight w:val="none"/>
              </w:rPr>
            </w:pPr>
            <w:r>
              <w:rPr>
                <w:rFonts w:hint="eastAsia" w:ascii="仿宋" w:hAnsi="仿宋" w:eastAsia="仿宋" w:cs="仿宋"/>
                <w:b w:val="0"/>
                <w:bCs w:val="0"/>
                <w:sz w:val="21"/>
                <w:highlight w:val="none"/>
              </w:rPr>
              <w:t>毕业时间</w:t>
            </w:r>
          </w:p>
        </w:tc>
        <w:tc>
          <w:tcPr>
            <w:tcW w:w="2083" w:type="dxa"/>
            <w:noWrap w:val="0"/>
            <w:vAlign w:val="center"/>
          </w:tcPr>
          <w:p>
            <w:pPr>
              <w:pStyle w:val="6"/>
              <w:rPr>
                <w:rFonts w:hint="eastAsia" w:ascii="仿宋" w:hAnsi="仿宋" w:eastAsia="仿宋" w:cs="仿宋"/>
                <w:b w:val="0"/>
                <w:bCs w:val="0"/>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082" w:type="dxa"/>
            <w:noWrap w:val="0"/>
            <w:vAlign w:val="center"/>
          </w:tcPr>
          <w:p>
            <w:pPr>
              <w:pStyle w:val="6"/>
              <w:rPr>
                <w:rFonts w:hint="eastAsia" w:ascii="仿宋" w:hAnsi="仿宋" w:eastAsia="仿宋" w:cs="仿宋"/>
                <w:b w:val="0"/>
                <w:bCs w:val="0"/>
                <w:sz w:val="21"/>
                <w:highlight w:val="none"/>
              </w:rPr>
            </w:pPr>
            <w:r>
              <w:rPr>
                <w:rFonts w:hint="eastAsia" w:ascii="仿宋" w:hAnsi="仿宋" w:eastAsia="仿宋" w:cs="仿宋"/>
                <w:b w:val="0"/>
                <w:bCs w:val="0"/>
                <w:sz w:val="21"/>
                <w:highlight w:val="none"/>
              </w:rPr>
              <w:t>拥有的执业资格</w:t>
            </w:r>
          </w:p>
        </w:tc>
        <w:tc>
          <w:tcPr>
            <w:tcW w:w="2082" w:type="dxa"/>
            <w:noWrap w:val="0"/>
            <w:vAlign w:val="center"/>
          </w:tcPr>
          <w:p>
            <w:pPr>
              <w:pStyle w:val="6"/>
              <w:rPr>
                <w:rFonts w:hint="eastAsia" w:ascii="仿宋" w:hAnsi="仿宋" w:eastAsia="仿宋" w:cs="仿宋"/>
                <w:b w:val="0"/>
                <w:bCs w:val="0"/>
                <w:sz w:val="21"/>
                <w:highlight w:val="none"/>
              </w:rPr>
            </w:pPr>
          </w:p>
        </w:tc>
        <w:tc>
          <w:tcPr>
            <w:tcW w:w="2082" w:type="dxa"/>
            <w:noWrap w:val="0"/>
            <w:vAlign w:val="center"/>
          </w:tcPr>
          <w:p>
            <w:pPr>
              <w:pStyle w:val="6"/>
              <w:rPr>
                <w:rFonts w:hint="eastAsia" w:ascii="仿宋" w:hAnsi="仿宋" w:eastAsia="仿宋" w:cs="仿宋"/>
                <w:b w:val="0"/>
                <w:bCs w:val="0"/>
                <w:sz w:val="21"/>
                <w:highlight w:val="none"/>
              </w:rPr>
            </w:pPr>
            <w:r>
              <w:rPr>
                <w:rFonts w:hint="eastAsia" w:ascii="仿宋" w:hAnsi="仿宋" w:eastAsia="仿宋" w:cs="仿宋"/>
                <w:b w:val="0"/>
                <w:bCs w:val="0"/>
                <w:sz w:val="21"/>
                <w:highlight w:val="none"/>
              </w:rPr>
              <w:t>专业职称</w:t>
            </w:r>
          </w:p>
        </w:tc>
        <w:tc>
          <w:tcPr>
            <w:tcW w:w="2083" w:type="dxa"/>
            <w:noWrap w:val="0"/>
            <w:vAlign w:val="center"/>
          </w:tcPr>
          <w:p>
            <w:pPr>
              <w:pStyle w:val="6"/>
              <w:rPr>
                <w:rFonts w:hint="eastAsia" w:ascii="仿宋" w:hAnsi="仿宋" w:eastAsia="仿宋" w:cs="仿宋"/>
                <w:b w:val="0"/>
                <w:bCs w:val="0"/>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082" w:type="dxa"/>
            <w:noWrap w:val="0"/>
            <w:vAlign w:val="center"/>
          </w:tcPr>
          <w:p>
            <w:pPr>
              <w:pStyle w:val="6"/>
              <w:rPr>
                <w:rFonts w:hint="eastAsia" w:ascii="仿宋" w:hAnsi="仿宋" w:eastAsia="仿宋" w:cs="仿宋"/>
                <w:b w:val="0"/>
                <w:bCs w:val="0"/>
                <w:sz w:val="21"/>
                <w:highlight w:val="none"/>
              </w:rPr>
            </w:pPr>
            <w:r>
              <w:rPr>
                <w:rFonts w:hint="eastAsia" w:ascii="仿宋" w:hAnsi="仿宋" w:eastAsia="仿宋" w:cs="仿宋"/>
                <w:b w:val="0"/>
                <w:bCs w:val="0"/>
                <w:sz w:val="21"/>
                <w:highlight w:val="none"/>
              </w:rPr>
              <w:t>执业资格证书编号</w:t>
            </w:r>
          </w:p>
        </w:tc>
        <w:tc>
          <w:tcPr>
            <w:tcW w:w="2082" w:type="dxa"/>
            <w:noWrap w:val="0"/>
            <w:vAlign w:val="center"/>
          </w:tcPr>
          <w:p>
            <w:pPr>
              <w:pStyle w:val="6"/>
              <w:rPr>
                <w:rFonts w:hint="eastAsia" w:ascii="仿宋" w:hAnsi="仿宋" w:eastAsia="仿宋" w:cs="仿宋"/>
                <w:b w:val="0"/>
                <w:bCs w:val="0"/>
                <w:sz w:val="21"/>
                <w:highlight w:val="none"/>
              </w:rPr>
            </w:pPr>
          </w:p>
        </w:tc>
        <w:tc>
          <w:tcPr>
            <w:tcW w:w="2082" w:type="dxa"/>
            <w:noWrap w:val="0"/>
            <w:vAlign w:val="center"/>
          </w:tcPr>
          <w:p>
            <w:pPr>
              <w:pStyle w:val="6"/>
              <w:rPr>
                <w:rFonts w:hint="eastAsia" w:ascii="仿宋" w:hAnsi="仿宋" w:eastAsia="仿宋" w:cs="仿宋"/>
                <w:b w:val="0"/>
                <w:bCs w:val="0"/>
                <w:sz w:val="21"/>
                <w:highlight w:val="none"/>
              </w:rPr>
            </w:pPr>
            <w:r>
              <w:rPr>
                <w:rFonts w:hint="eastAsia" w:ascii="仿宋" w:hAnsi="仿宋" w:eastAsia="仿宋" w:cs="仿宋"/>
                <w:b w:val="0"/>
                <w:bCs w:val="0"/>
                <w:sz w:val="21"/>
                <w:highlight w:val="none"/>
              </w:rPr>
              <w:t>工作年限</w:t>
            </w:r>
          </w:p>
        </w:tc>
        <w:tc>
          <w:tcPr>
            <w:tcW w:w="2083" w:type="dxa"/>
            <w:noWrap w:val="0"/>
            <w:vAlign w:val="center"/>
          </w:tcPr>
          <w:p>
            <w:pPr>
              <w:pStyle w:val="6"/>
              <w:rPr>
                <w:rFonts w:hint="eastAsia" w:ascii="仿宋" w:hAnsi="仿宋" w:eastAsia="仿宋" w:cs="仿宋"/>
                <w:b w:val="0"/>
                <w:bCs w:val="0"/>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1" w:hRule="atLeast"/>
        </w:trPr>
        <w:tc>
          <w:tcPr>
            <w:tcW w:w="2082" w:type="dxa"/>
            <w:noWrap w:val="0"/>
            <w:textDirection w:val="tbRlV"/>
            <w:vAlign w:val="center"/>
          </w:tcPr>
          <w:p>
            <w:pPr>
              <w:pStyle w:val="6"/>
              <w:ind w:firstLine="210" w:firstLineChars="100"/>
              <w:rPr>
                <w:rFonts w:hint="eastAsia" w:ascii="仿宋" w:hAnsi="仿宋" w:eastAsia="仿宋" w:cs="仿宋"/>
                <w:b w:val="0"/>
                <w:bCs w:val="0"/>
                <w:sz w:val="21"/>
                <w:highlight w:val="none"/>
              </w:rPr>
            </w:pPr>
            <w:r>
              <w:rPr>
                <w:rFonts w:hint="eastAsia" w:ascii="仿宋" w:hAnsi="仿宋" w:eastAsia="仿宋" w:cs="仿宋"/>
                <w:b w:val="0"/>
                <w:bCs w:val="0"/>
                <w:sz w:val="21"/>
                <w:highlight w:val="none"/>
              </w:rPr>
              <w:t>主要工作业绩及担任的主要工作</w:t>
            </w:r>
          </w:p>
        </w:tc>
        <w:tc>
          <w:tcPr>
            <w:tcW w:w="6247" w:type="dxa"/>
            <w:gridSpan w:val="3"/>
            <w:noWrap w:val="0"/>
            <w:vAlign w:val="center"/>
          </w:tcPr>
          <w:p>
            <w:pPr>
              <w:pStyle w:val="6"/>
              <w:rPr>
                <w:rFonts w:hint="eastAsia" w:ascii="仿宋" w:hAnsi="仿宋" w:eastAsia="仿宋" w:cs="仿宋"/>
                <w:b w:val="0"/>
                <w:bCs w:val="0"/>
                <w:sz w:val="21"/>
                <w:highlight w:val="none"/>
              </w:rPr>
            </w:pPr>
          </w:p>
        </w:tc>
      </w:tr>
    </w:tbl>
    <w:p>
      <w:pPr>
        <w:spacing w:line="440" w:lineRule="exact"/>
        <w:rPr>
          <w:rFonts w:hint="eastAsia" w:ascii="仿宋" w:hAnsi="仿宋" w:eastAsia="仿宋" w:cs="仿宋"/>
          <w:highlight w:val="none"/>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type="lines" w:linePitch="319" w:charSpace="0"/>
        </w:sectPr>
      </w:pPr>
      <w:r>
        <w:rPr>
          <w:rFonts w:hint="eastAsia" w:ascii="仿宋" w:hAnsi="仿宋" w:eastAsia="仿宋" w:cs="仿宋"/>
          <w:highlight w:val="none"/>
        </w:rPr>
        <w:t xml:space="preserve"> </w:t>
      </w:r>
    </w:p>
    <w:bookmarkEnd w:id="94"/>
    <w:bookmarkEnd w:id="95"/>
    <w:p>
      <w:pPr>
        <w:pStyle w:val="2"/>
        <w:pageBreakBefore w:val="0"/>
        <w:widowControl w:val="0"/>
        <w:numPr>
          <w:ilvl w:val="0"/>
          <w:numId w:val="2"/>
        </w:numPr>
        <w:kinsoku/>
        <w:wordWrap/>
        <w:overflowPunct/>
        <w:topLinePunct w:val="0"/>
        <w:autoSpaceDE/>
        <w:autoSpaceDN/>
        <w:bidi w:val="0"/>
        <w:adjustRightInd/>
        <w:spacing w:line="440" w:lineRule="exact"/>
        <w:jc w:val="center"/>
        <w:textAlignment w:val="auto"/>
        <w:rPr>
          <w:rFonts w:hint="eastAsia" w:ascii="仿宋_GB2312" w:hAnsi="宋体" w:eastAsia="仿宋_GB2312"/>
          <w:b/>
          <w:color w:val="auto"/>
          <w:sz w:val="44"/>
          <w:szCs w:val="44"/>
          <w:highlight w:val="none"/>
        </w:rPr>
      </w:pPr>
      <w:bookmarkStart w:id="106" w:name="_Toc4485644"/>
      <w:r>
        <w:rPr>
          <w:rFonts w:hint="eastAsia" w:ascii="仿宋" w:hAnsi="仿宋" w:eastAsia="仿宋" w:cs="仿宋"/>
          <w:b/>
          <w:color w:val="auto"/>
          <w:highlight w:val="none"/>
          <w:lang w:eastAsia="zh-CN"/>
        </w:rPr>
        <w:t>项目需求</w:t>
      </w:r>
    </w:p>
    <w:p>
      <w:pPr>
        <w:spacing w:line="360" w:lineRule="auto"/>
        <w:ind w:firstLine="420" w:firstLineChars="200"/>
        <w:rPr>
          <w:rFonts w:hint="eastAsia" w:ascii="仿宋_GB2312" w:hAnsi="宋体" w:eastAsia="仿宋_GB2312"/>
          <w:b w:val="0"/>
          <w:bCs/>
          <w:color w:val="auto"/>
          <w:sz w:val="21"/>
          <w:szCs w:val="21"/>
          <w:highlight w:val="none"/>
          <w:lang w:eastAsia="zh-CN"/>
        </w:rPr>
      </w:pPr>
      <w:r>
        <w:rPr>
          <w:rFonts w:hint="eastAsia" w:ascii="仿宋_GB2312" w:hAnsi="宋体" w:eastAsia="仿宋_GB2312"/>
          <w:b w:val="0"/>
          <w:bCs/>
          <w:color w:val="auto"/>
          <w:sz w:val="21"/>
          <w:szCs w:val="21"/>
          <w:highlight w:val="none"/>
        </w:rPr>
        <w:t>一、工程</w:t>
      </w:r>
      <w:r>
        <w:rPr>
          <w:rFonts w:hint="eastAsia" w:ascii="仿宋_GB2312" w:hAnsi="宋体" w:eastAsia="仿宋_GB2312"/>
          <w:b w:val="0"/>
          <w:bCs/>
          <w:color w:val="auto"/>
          <w:sz w:val="21"/>
          <w:szCs w:val="21"/>
          <w:highlight w:val="none"/>
          <w:lang w:val="en-US" w:eastAsia="zh-CN"/>
        </w:rPr>
        <w:t>名称</w:t>
      </w:r>
    </w:p>
    <w:p>
      <w:pPr>
        <w:spacing w:line="360" w:lineRule="auto"/>
        <w:ind w:firstLine="420" w:firstLineChars="200"/>
        <w:rPr>
          <w:rFonts w:hint="eastAsia" w:ascii="仿宋_GB2312" w:hAnsi="宋体" w:eastAsia="仿宋_GB2312"/>
          <w:b w:val="0"/>
          <w:bCs/>
          <w:color w:val="auto"/>
          <w:sz w:val="21"/>
          <w:szCs w:val="21"/>
          <w:highlight w:val="none"/>
          <w:lang w:eastAsia="zh-CN"/>
        </w:rPr>
      </w:pPr>
      <w:r>
        <w:rPr>
          <w:rFonts w:hint="eastAsia" w:ascii="仿宋_GB2312" w:hAnsi="宋体" w:eastAsia="仿宋_GB2312"/>
          <w:b w:val="0"/>
          <w:bCs/>
          <w:color w:val="auto"/>
          <w:sz w:val="21"/>
          <w:szCs w:val="21"/>
          <w:highlight w:val="none"/>
          <w:lang w:eastAsia="zh-CN"/>
        </w:rPr>
        <w:t>白庙子棚改区域基础设施改造工程</w:t>
      </w:r>
    </w:p>
    <w:p>
      <w:pPr>
        <w:spacing w:line="360" w:lineRule="auto"/>
        <w:ind w:firstLine="420" w:firstLineChars="200"/>
        <w:rPr>
          <w:rFonts w:hint="eastAsia" w:ascii="仿宋_GB2312" w:hAnsi="宋体" w:eastAsia="仿宋_GB2312"/>
          <w:b w:val="0"/>
          <w:bCs/>
          <w:color w:val="auto"/>
          <w:sz w:val="21"/>
          <w:szCs w:val="21"/>
          <w:highlight w:val="none"/>
        </w:rPr>
      </w:pPr>
      <w:r>
        <w:rPr>
          <w:rFonts w:hint="eastAsia" w:ascii="仿宋_GB2312" w:hAnsi="宋体" w:eastAsia="仿宋_GB2312"/>
          <w:b w:val="0"/>
          <w:bCs/>
          <w:color w:val="auto"/>
          <w:sz w:val="21"/>
          <w:szCs w:val="21"/>
          <w:highlight w:val="none"/>
        </w:rPr>
        <w:t>二、</w:t>
      </w:r>
      <w:r>
        <w:rPr>
          <w:rFonts w:hint="eastAsia" w:ascii="仿宋_GB2312" w:hAnsi="宋体" w:eastAsia="仿宋_GB2312"/>
          <w:b w:val="0"/>
          <w:bCs/>
          <w:color w:val="auto"/>
          <w:sz w:val="21"/>
          <w:szCs w:val="21"/>
          <w:highlight w:val="none"/>
          <w:lang w:eastAsia="zh-CN"/>
        </w:rPr>
        <w:t>采购需求</w:t>
      </w:r>
    </w:p>
    <w:p>
      <w:pPr>
        <w:spacing w:line="360" w:lineRule="auto"/>
        <w:ind w:firstLine="420" w:firstLineChars="200"/>
        <w:rPr>
          <w:rFonts w:hint="eastAsia" w:ascii="仿宋_GB2312" w:hAnsi="宋体" w:eastAsia="仿宋_GB2312"/>
          <w:b w:val="0"/>
          <w:bCs/>
          <w:color w:val="auto"/>
          <w:sz w:val="21"/>
          <w:szCs w:val="21"/>
          <w:highlight w:val="none"/>
          <w:lang w:val="en-US" w:eastAsia="zh-CN"/>
        </w:rPr>
      </w:pPr>
      <w:r>
        <w:rPr>
          <w:rFonts w:hint="eastAsia" w:ascii="仿宋_GB2312" w:hAnsi="宋体" w:eastAsia="仿宋_GB2312"/>
          <w:b w:val="0"/>
          <w:bCs/>
          <w:color w:val="auto"/>
          <w:sz w:val="21"/>
          <w:szCs w:val="21"/>
          <w:highlight w:val="none"/>
          <w:lang w:val="en-US" w:eastAsia="zh-CN"/>
        </w:rPr>
        <w:t>白庙子棚改区域基础设施改造工程，包含：改善居民出行，平整夯实居住区道路，保障该区域群众出行顺畅；保障排水等公共服务便利，对此区域的排水系统进行提升改造，保障居民正常的生产生活；为保障未棚改居民生活区域环境干净整洁、设置围挡；为改善居民生活质量，便于村民晚间出行，设置路灯；白庙子路北侧路段雨水排水管网。（具体详见工程量清单所示全部内容）。</w:t>
      </w:r>
    </w:p>
    <w:p>
      <w:pPr>
        <w:jc w:val="center"/>
        <w:rPr>
          <w:rFonts w:hint="eastAsia" w:ascii="仿宋" w:hAnsi="仿宋" w:eastAsia="仿宋" w:cs="仿宋"/>
          <w:b/>
          <w:color w:val="auto"/>
          <w:kern w:val="44"/>
          <w:sz w:val="44"/>
          <w:szCs w:val="44"/>
          <w:highlight w:val="none"/>
          <w:lang w:val="en-US" w:eastAsia="zh-CN" w:bidi="ar-SA"/>
        </w:rPr>
      </w:pPr>
    </w:p>
    <w:p>
      <w:pPr>
        <w:rPr>
          <w:rFonts w:hint="eastAsia" w:ascii="仿宋" w:hAnsi="仿宋" w:eastAsia="仿宋" w:cs="仿宋"/>
          <w:color w:val="auto"/>
          <w:szCs w:val="44"/>
          <w:highlight w:val="none"/>
          <w:lang w:val="en-US" w:eastAsia="zh-CN"/>
        </w:rPr>
      </w:pPr>
      <w:bookmarkStart w:id="107" w:name="_Toc26854"/>
      <w:r>
        <w:rPr>
          <w:rFonts w:hint="eastAsia" w:ascii="仿宋" w:hAnsi="仿宋" w:eastAsia="仿宋" w:cs="仿宋"/>
          <w:color w:val="auto"/>
          <w:szCs w:val="44"/>
          <w:highlight w:val="none"/>
          <w:lang w:val="en-US" w:eastAsia="zh-CN"/>
        </w:rPr>
        <w:br w:type="page"/>
      </w:r>
    </w:p>
    <w:bookmarkEnd w:id="106"/>
    <w:bookmarkEnd w:id="107"/>
    <w:p>
      <w:pPr>
        <w:pStyle w:val="2"/>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第四章 磋商内容、磋商过程中可能实质性变动的内容</w:t>
      </w:r>
    </w:p>
    <w:p>
      <w:pPr>
        <w:widowControl/>
        <w:snapToGrid w:val="0"/>
        <w:spacing w:line="500" w:lineRule="exact"/>
        <w:jc w:val="left"/>
        <w:rPr>
          <w:rFonts w:hint="eastAsia"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 xml:space="preserve">    磋商小组根据与供应商磋商情况可能实质性变动的内容（不得变动采购文件中的其他内容）： </w:t>
      </w:r>
    </w:p>
    <w:p>
      <w:pPr>
        <w:rPr>
          <w:rFonts w:hint="eastAsia" w:ascii="仿宋_GB2312" w:hAnsi="仿宋_GB2312" w:eastAsia="仿宋_GB2312" w:cs="仿宋_GB2312"/>
          <w:bCs/>
          <w:color w:val="auto"/>
          <w:kern w:val="0"/>
          <w:szCs w:val="21"/>
        </w:rPr>
      </w:pPr>
    </w:p>
    <w:p>
      <w:pPr>
        <w:rPr>
          <w:rFonts w:hint="eastAsia"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1、技术要求</w:t>
      </w:r>
    </w:p>
    <w:p>
      <w:pPr>
        <w:rPr>
          <w:rFonts w:hint="eastAsia"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p>
      <w:pPr>
        <w:numPr>
          <w:ilvl w:val="0"/>
          <w:numId w:val="3"/>
        </w:numPr>
        <w:rPr>
          <w:rFonts w:hint="eastAsia"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服务要求</w:t>
      </w:r>
    </w:p>
    <w:p>
      <w:pPr>
        <w:rPr>
          <w:rFonts w:hint="eastAsia"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p>
      <w:pPr>
        <w:rPr>
          <w:rFonts w:hint="eastAsia"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3、合同草案条款</w:t>
      </w:r>
    </w:p>
    <w:p>
      <w:pPr>
        <w:rPr>
          <w:rFonts w:hint="eastAsia" w:ascii="仿宋_GB2312" w:hAnsi="仿宋_GB2312" w:eastAsia="仿宋_GB2312" w:cs="仿宋_GB2312"/>
          <w:color w:val="auto"/>
        </w:rPr>
      </w:pPr>
      <w:r>
        <w:rPr>
          <w:rFonts w:hint="eastAsia" w:ascii="仿宋_GB2312" w:hAnsi="仿宋_GB2312" w:eastAsia="仿宋_GB2312" w:cs="仿宋_GB2312"/>
          <w:color w:val="auto"/>
        </w:rPr>
        <w:t>……</w:t>
      </w:r>
    </w:p>
    <w:p>
      <w:pPr>
        <w:rPr>
          <w:rFonts w:hint="eastAsia" w:ascii="仿宋_GB2312" w:hAnsi="仿宋_GB2312" w:eastAsia="仿宋_GB2312" w:cs="仿宋_GB2312"/>
          <w:color w:val="auto"/>
        </w:rPr>
      </w:pPr>
    </w:p>
    <w:p>
      <w:pPr>
        <w:rPr>
          <w:rFonts w:hint="eastAsia" w:ascii="仿宋_GB2312" w:hAnsi="仿宋_GB2312" w:eastAsia="仿宋_GB2312" w:cs="仿宋_GB2312"/>
          <w:color w:val="auto"/>
        </w:rPr>
      </w:pPr>
    </w:p>
    <w:p>
      <w:pPr>
        <w:rPr>
          <w:rFonts w:hint="eastAsia" w:ascii="仿宋_GB2312" w:hAnsi="仿宋_GB2312" w:eastAsia="仿宋_GB2312" w:cs="仿宋_GB2312"/>
          <w:color w:val="auto"/>
        </w:rPr>
      </w:pPr>
    </w:p>
    <w:p>
      <w:pPr>
        <w:rPr>
          <w:rFonts w:hint="eastAsia" w:ascii="仿宋_GB2312" w:hAnsi="仿宋_GB2312" w:eastAsia="仿宋_GB2312" w:cs="仿宋_GB2312"/>
          <w:color w:val="auto"/>
        </w:rPr>
      </w:pPr>
    </w:p>
    <w:p>
      <w:pPr>
        <w:rPr>
          <w:rFonts w:hint="eastAsia" w:ascii="仿宋_GB2312" w:hAnsi="仿宋_GB2312" w:eastAsia="仿宋_GB2312" w:cs="仿宋_GB2312"/>
          <w:color w:val="auto"/>
        </w:rPr>
      </w:pPr>
    </w:p>
    <w:p>
      <w:pPr>
        <w:rPr>
          <w:rFonts w:hint="eastAsia" w:ascii="仿宋_GB2312" w:hAnsi="仿宋_GB2312" w:eastAsia="仿宋_GB2312" w:cs="仿宋_GB2312"/>
          <w:color w:val="auto"/>
        </w:rPr>
      </w:pPr>
    </w:p>
    <w:p>
      <w:pPr>
        <w:rPr>
          <w:rFonts w:hint="eastAsia" w:ascii="仿宋_GB2312" w:hAnsi="仿宋_GB2312" w:eastAsia="仿宋_GB2312" w:cs="仿宋_GB2312"/>
          <w:color w:val="auto"/>
        </w:rPr>
      </w:pPr>
    </w:p>
    <w:p>
      <w:pPr>
        <w:rPr>
          <w:rFonts w:hint="eastAsia" w:ascii="仿宋_GB2312" w:hAnsi="仿宋_GB2312" w:eastAsia="仿宋_GB2312" w:cs="仿宋_GB2312"/>
          <w:color w:val="auto"/>
        </w:rPr>
      </w:pPr>
    </w:p>
    <w:p>
      <w:pPr>
        <w:rPr>
          <w:rFonts w:hint="eastAsia"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注：采购人不同意采购文件在磋商过程中有任何变动的，直接写无，实质性变动的内容，须经采购人代表确认。</w:t>
      </w:r>
    </w:p>
    <w:p>
      <w:pPr>
        <w:widowControl/>
        <w:jc w:val="left"/>
        <w:rPr>
          <w:rFonts w:hint="eastAsia" w:ascii="仿宋_GB2312" w:hAnsi="仿宋_GB2312" w:eastAsia="仿宋_GB2312" w:cs="仿宋_GB2312"/>
          <w:color w:val="auto"/>
        </w:rPr>
      </w:pPr>
    </w:p>
    <w:p>
      <w:pPr>
        <w:pStyle w:val="2"/>
        <w:jc w:val="center"/>
        <w:rPr>
          <w:rFonts w:hint="eastAsia" w:ascii="仿宋_GB2312" w:hAnsi="仿宋_GB2312" w:eastAsia="仿宋_GB2312" w:cs="仿宋_GB2312"/>
          <w:color w:val="auto"/>
        </w:rPr>
      </w:pPr>
      <w:bookmarkStart w:id="108" w:name="_Toc4485645"/>
      <w:bookmarkStart w:id="109" w:name="_Toc29226"/>
      <w:r>
        <w:rPr>
          <w:rFonts w:ascii="仿宋_GB2312" w:hAnsi="仿宋_GB2312" w:eastAsia="仿宋_GB2312" w:cs="仿宋_GB2312"/>
          <w:color w:val="auto"/>
        </w:rPr>
        <w:br w:type="page"/>
      </w:r>
      <w:r>
        <w:rPr>
          <w:rFonts w:hint="eastAsia" w:ascii="仿宋_GB2312" w:hAnsi="仿宋_GB2312" w:eastAsia="仿宋_GB2312" w:cs="仿宋_GB2312"/>
          <w:color w:val="auto"/>
        </w:rPr>
        <w:t>第五章 评审办法</w:t>
      </w:r>
      <w:bookmarkEnd w:id="108"/>
      <w:bookmarkEnd w:id="109"/>
    </w:p>
    <w:p>
      <w:pPr>
        <w:adjustRightInd w:val="0"/>
        <w:snapToGrid w:val="0"/>
        <w:spacing w:line="360" w:lineRule="auto"/>
        <w:ind w:firstLine="420" w:firstLineChars="200"/>
        <w:rPr>
          <w:rFonts w:hint="eastAsia"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本项目将按照采购文件第一章供应商须知中“六 磋商及评审”、“七 确定成交”及本章的规定评审。</w:t>
      </w:r>
    </w:p>
    <w:p>
      <w:pPr>
        <w:adjustRightInd w:val="0"/>
        <w:snapToGrid w:val="0"/>
        <w:spacing w:line="360" w:lineRule="auto"/>
        <w:ind w:firstLine="422" w:firstLineChars="200"/>
        <w:rPr>
          <w:rFonts w:hint="eastAsia" w:ascii="仿宋_GB2312" w:hAnsi="仿宋_GB2312" w:eastAsia="仿宋_GB2312" w:cs="仿宋_GB2312"/>
          <w:b/>
          <w:color w:val="auto"/>
          <w:kern w:val="0"/>
          <w:szCs w:val="21"/>
        </w:rPr>
      </w:pPr>
      <w:r>
        <w:rPr>
          <w:rFonts w:hint="eastAsia" w:ascii="仿宋_GB2312" w:hAnsi="仿宋_GB2312" w:eastAsia="仿宋_GB2312" w:cs="仿宋_GB2312"/>
          <w:b/>
          <w:color w:val="auto"/>
          <w:kern w:val="0"/>
          <w:szCs w:val="21"/>
        </w:rPr>
        <w:t>一、评审方法</w:t>
      </w:r>
    </w:p>
    <w:p>
      <w:pPr>
        <w:adjustRightInd w:val="0"/>
        <w:snapToGrid w:val="0"/>
        <w:spacing w:line="360" w:lineRule="auto"/>
        <w:ind w:firstLine="420" w:firstLineChars="200"/>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本项目采用</w:t>
      </w:r>
      <w:r>
        <w:rPr>
          <w:rFonts w:hint="eastAsia" w:ascii="仿宋_GB2312" w:hAnsi="仿宋_GB2312" w:eastAsia="仿宋_GB2312" w:cs="仿宋_GB2312"/>
          <w:color w:val="auto"/>
          <w:kern w:val="0"/>
          <w:szCs w:val="21"/>
          <w:u w:val="single"/>
        </w:rPr>
        <w:t xml:space="preserve">     综合评分法     </w:t>
      </w:r>
      <w:r>
        <w:rPr>
          <w:rFonts w:hint="eastAsia" w:ascii="仿宋_GB2312" w:hAnsi="仿宋_GB2312" w:eastAsia="仿宋_GB2312" w:cs="仿宋_GB2312"/>
          <w:color w:val="auto"/>
          <w:kern w:val="0"/>
          <w:szCs w:val="21"/>
        </w:rPr>
        <w:t>进行</w:t>
      </w:r>
      <w:r>
        <w:rPr>
          <w:rFonts w:hint="eastAsia" w:ascii="仿宋_GB2312" w:hAnsi="仿宋_GB2312" w:eastAsia="仿宋_GB2312" w:cs="仿宋_GB2312"/>
          <w:bCs/>
          <w:color w:val="auto"/>
          <w:kern w:val="0"/>
          <w:szCs w:val="21"/>
        </w:rPr>
        <w:t>评审</w:t>
      </w:r>
      <w:r>
        <w:rPr>
          <w:rFonts w:hint="eastAsia" w:ascii="仿宋_GB2312" w:hAnsi="仿宋_GB2312" w:eastAsia="仿宋_GB2312" w:cs="仿宋_GB2312"/>
          <w:color w:val="auto"/>
          <w:kern w:val="0"/>
          <w:szCs w:val="21"/>
        </w:rPr>
        <w:t>。</w:t>
      </w:r>
    </w:p>
    <w:p>
      <w:pPr>
        <w:adjustRightInd w:val="0"/>
        <w:snapToGrid w:val="0"/>
        <w:spacing w:line="360" w:lineRule="auto"/>
        <w:ind w:firstLine="422" w:firstLineChars="200"/>
        <w:textAlignment w:val="baseline"/>
        <w:rPr>
          <w:rFonts w:hint="eastAsia" w:ascii="仿宋_GB2312" w:hAnsi="仿宋_GB2312" w:eastAsia="仿宋_GB2312" w:cs="仿宋_GB2312"/>
          <w:b/>
          <w:color w:val="auto"/>
          <w:kern w:val="0"/>
          <w:szCs w:val="21"/>
        </w:rPr>
      </w:pPr>
      <w:r>
        <w:rPr>
          <w:rFonts w:hint="eastAsia" w:ascii="仿宋_GB2312" w:hAnsi="仿宋_GB2312" w:eastAsia="仿宋_GB2312" w:cs="仿宋_GB2312"/>
          <w:b/>
          <w:color w:val="auto"/>
          <w:kern w:val="0"/>
          <w:szCs w:val="21"/>
        </w:rPr>
        <w:t>二、评审原则及程序</w:t>
      </w:r>
    </w:p>
    <w:p>
      <w:pPr>
        <w:adjustRightInd w:val="0"/>
        <w:snapToGrid w:val="0"/>
        <w:spacing w:line="360" w:lineRule="auto"/>
        <w:ind w:firstLine="422" w:firstLineChars="200"/>
        <w:textAlignment w:val="baseline"/>
        <w:rPr>
          <w:rFonts w:hint="eastAsia" w:ascii="仿宋_GB2312" w:hAnsi="仿宋_GB2312" w:eastAsia="仿宋_GB2312" w:cs="仿宋_GB2312"/>
          <w:b/>
          <w:color w:val="auto"/>
          <w:kern w:val="0"/>
          <w:szCs w:val="21"/>
        </w:rPr>
      </w:pPr>
      <w:r>
        <w:rPr>
          <w:rFonts w:hint="eastAsia" w:ascii="仿宋_GB2312" w:hAnsi="仿宋_GB2312" w:eastAsia="仿宋_GB2312" w:cs="仿宋_GB2312"/>
          <w:b/>
          <w:color w:val="auto"/>
          <w:kern w:val="0"/>
          <w:szCs w:val="21"/>
        </w:rPr>
        <w:t>（一）评审原则</w:t>
      </w:r>
    </w:p>
    <w:p>
      <w:pPr>
        <w:adjustRightInd w:val="0"/>
        <w:snapToGrid w:val="0"/>
        <w:spacing w:line="360" w:lineRule="auto"/>
        <w:ind w:firstLine="420" w:firstLineChars="200"/>
        <w:textAlignment w:val="baseline"/>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磋商小组应当按照客观、公正、审慎的原则，根据采购文件规定的评审程序、评审办法和评审标准进行独立评审。采购文件内容违反国家有关强制性规定的，磋商小组应当停止评审并向采购人或者采购代理机构说明情况。</w:t>
      </w:r>
    </w:p>
    <w:p>
      <w:pPr>
        <w:adjustRightInd w:val="0"/>
        <w:snapToGrid w:val="0"/>
        <w:spacing w:line="360" w:lineRule="auto"/>
        <w:ind w:firstLine="422" w:firstLineChars="200"/>
        <w:textAlignment w:val="baseline"/>
        <w:rPr>
          <w:rFonts w:hint="eastAsia" w:ascii="仿宋_GB2312" w:hAnsi="仿宋_GB2312" w:eastAsia="仿宋_GB2312" w:cs="仿宋_GB2312"/>
          <w:b/>
          <w:color w:val="auto"/>
          <w:kern w:val="0"/>
          <w:szCs w:val="21"/>
        </w:rPr>
      </w:pPr>
      <w:r>
        <w:rPr>
          <w:rFonts w:hint="eastAsia" w:ascii="仿宋_GB2312" w:hAnsi="仿宋_GB2312" w:eastAsia="仿宋_GB2312" w:cs="仿宋_GB2312"/>
          <w:b/>
          <w:color w:val="auto"/>
          <w:kern w:val="0"/>
          <w:szCs w:val="21"/>
        </w:rPr>
        <w:t>（二）评审程序</w:t>
      </w:r>
    </w:p>
    <w:p>
      <w:pPr>
        <w:adjustRightInd w:val="0"/>
        <w:snapToGrid w:val="0"/>
        <w:spacing w:line="360" w:lineRule="auto"/>
        <w:ind w:firstLine="422" w:firstLineChars="200"/>
        <w:textAlignment w:val="baseline"/>
        <w:rPr>
          <w:rFonts w:hint="eastAsia" w:ascii="仿宋_GB2312" w:hAnsi="仿宋_GB2312" w:eastAsia="仿宋_GB2312" w:cs="仿宋_GB2312"/>
          <w:b/>
          <w:color w:val="auto"/>
          <w:kern w:val="0"/>
          <w:szCs w:val="21"/>
        </w:rPr>
      </w:pPr>
      <w:r>
        <w:rPr>
          <w:rFonts w:hint="eastAsia" w:ascii="仿宋_GB2312" w:hAnsi="仿宋_GB2312" w:eastAsia="仿宋_GB2312" w:cs="仿宋_GB2312"/>
          <w:b/>
          <w:color w:val="auto"/>
          <w:kern w:val="0"/>
          <w:szCs w:val="21"/>
        </w:rPr>
        <w:t>1、资格审查</w:t>
      </w:r>
    </w:p>
    <w:p>
      <w:pPr>
        <w:adjustRightInd w:val="0"/>
        <w:snapToGrid w:val="0"/>
        <w:spacing w:line="360" w:lineRule="auto"/>
        <w:ind w:firstLine="420" w:firstLineChars="200"/>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详见供应商须知22条。资格审查表详见本章附件1。</w:t>
      </w:r>
    </w:p>
    <w:p>
      <w:pPr>
        <w:numPr>
          <w:ilvl w:val="0"/>
          <w:numId w:val="4"/>
        </w:numPr>
        <w:adjustRightInd w:val="0"/>
        <w:snapToGrid w:val="0"/>
        <w:spacing w:line="360" w:lineRule="auto"/>
        <w:ind w:firstLine="422" w:firstLineChars="200"/>
        <w:textAlignment w:val="baseline"/>
        <w:rPr>
          <w:rFonts w:hint="eastAsia" w:ascii="仿宋_GB2312" w:hAnsi="仿宋_GB2312" w:eastAsia="仿宋_GB2312" w:cs="仿宋_GB2312"/>
          <w:b/>
          <w:bCs/>
          <w:color w:val="auto"/>
          <w:kern w:val="0"/>
          <w:szCs w:val="21"/>
        </w:rPr>
      </w:pPr>
      <w:r>
        <w:rPr>
          <w:rFonts w:hint="eastAsia" w:ascii="仿宋_GB2312" w:hAnsi="仿宋_GB2312" w:eastAsia="仿宋_GB2312" w:cs="仿宋_GB2312"/>
          <w:b/>
          <w:bCs/>
          <w:color w:val="auto"/>
          <w:kern w:val="0"/>
          <w:szCs w:val="21"/>
        </w:rPr>
        <w:t>符合性审查</w:t>
      </w:r>
    </w:p>
    <w:p>
      <w:pPr>
        <w:adjustRightInd w:val="0"/>
        <w:snapToGrid w:val="0"/>
        <w:spacing w:line="360" w:lineRule="auto"/>
        <w:ind w:firstLine="420" w:firstLineChars="200"/>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2.1详见供应商须知23条。符合性审查表详见本章附件2。</w:t>
      </w:r>
    </w:p>
    <w:p>
      <w:pPr>
        <w:adjustRightInd w:val="0"/>
        <w:snapToGrid w:val="0"/>
        <w:spacing w:line="360" w:lineRule="auto"/>
        <w:ind w:firstLine="422" w:firstLineChars="200"/>
        <w:textAlignment w:val="baseline"/>
        <w:rPr>
          <w:rFonts w:hint="eastAsia" w:ascii="仿宋_GB2312" w:hAnsi="仿宋_GB2312" w:eastAsia="仿宋_GB2312" w:cs="仿宋_GB2312"/>
          <w:b/>
          <w:color w:val="auto"/>
          <w:kern w:val="0"/>
          <w:szCs w:val="21"/>
        </w:rPr>
      </w:pPr>
      <w:r>
        <w:rPr>
          <w:rFonts w:hint="eastAsia" w:ascii="仿宋_GB2312" w:hAnsi="仿宋_GB2312" w:eastAsia="仿宋_GB2312" w:cs="仿宋_GB2312"/>
          <w:b/>
          <w:color w:val="auto"/>
          <w:kern w:val="0"/>
          <w:szCs w:val="21"/>
        </w:rPr>
        <w:t>3、样品及演示</w:t>
      </w:r>
    </w:p>
    <w:p>
      <w:pPr>
        <w:adjustRightInd w:val="0"/>
        <w:snapToGrid w:val="0"/>
        <w:spacing w:line="360" w:lineRule="auto"/>
        <w:ind w:firstLine="420" w:firstLineChars="200"/>
        <w:textAlignment w:val="baseline"/>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3.1</w:t>
      </w:r>
      <w:r>
        <w:rPr>
          <w:rFonts w:hint="eastAsia" w:ascii="仿宋_GB2312" w:hAnsi="仿宋_GB2312" w:eastAsia="仿宋_GB2312" w:cs="仿宋_GB2312"/>
          <w:color w:val="auto"/>
          <w:kern w:val="0"/>
          <w:szCs w:val="21"/>
        </w:rPr>
        <w:t>供应商须知表11.3条</w:t>
      </w:r>
      <w:r>
        <w:rPr>
          <w:rFonts w:hint="eastAsia" w:ascii="仿宋_GB2312" w:hAnsi="仿宋_GB2312" w:eastAsia="仿宋_GB2312" w:cs="仿宋_GB2312"/>
          <w:color w:val="auto"/>
          <w:szCs w:val="21"/>
        </w:rPr>
        <w:t>中要求供应商提供样品或演示的，按照供</w:t>
      </w:r>
      <w:r>
        <w:rPr>
          <w:rFonts w:hint="eastAsia" w:ascii="仿宋_GB2312" w:hAnsi="仿宋_GB2312" w:eastAsia="仿宋_GB2312" w:cs="仿宋_GB2312"/>
          <w:color w:val="auto"/>
          <w:kern w:val="0"/>
          <w:szCs w:val="21"/>
        </w:rPr>
        <w:t>应商须知表24.1条</w:t>
      </w:r>
      <w:r>
        <w:rPr>
          <w:rFonts w:hint="eastAsia" w:ascii="仿宋_GB2312" w:hAnsi="仿宋_GB2312" w:eastAsia="仿宋_GB2312" w:cs="仿宋_GB2312"/>
          <w:color w:val="auto"/>
          <w:szCs w:val="21"/>
        </w:rPr>
        <w:t>中确定的评审方法以及评审标准进行评审。(样品或演示属于符合性审查的，按照供应商</w:t>
      </w:r>
      <w:r>
        <w:rPr>
          <w:rFonts w:hint="eastAsia" w:ascii="仿宋_GB2312" w:hAnsi="仿宋_GB2312" w:eastAsia="仿宋_GB2312" w:cs="仿宋_GB2312"/>
          <w:color w:val="auto"/>
          <w:kern w:val="0"/>
          <w:szCs w:val="21"/>
        </w:rPr>
        <w:t>须知23条</w:t>
      </w:r>
      <w:r>
        <w:rPr>
          <w:rFonts w:hint="eastAsia" w:ascii="仿宋_GB2312" w:hAnsi="仿宋_GB2312" w:eastAsia="仿宋_GB2312" w:cs="仿宋_GB2312"/>
          <w:color w:val="auto"/>
          <w:szCs w:val="21"/>
        </w:rPr>
        <w:t>规定执行）</w:t>
      </w:r>
    </w:p>
    <w:p>
      <w:pPr>
        <w:adjustRightInd w:val="0"/>
        <w:snapToGrid w:val="0"/>
        <w:spacing w:line="360" w:lineRule="auto"/>
        <w:ind w:firstLine="422" w:firstLineChars="200"/>
        <w:textAlignment w:val="baseline"/>
        <w:rPr>
          <w:rFonts w:hint="eastAsia" w:ascii="仿宋_GB2312" w:hAnsi="仿宋_GB2312" w:eastAsia="仿宋_GB2312" w:cs="仿宋_GB2312"/>
          <w:b/>
          <w:bCs/>
          <w:color w:val="auto"/>
          <w:kern w:val="0"/>
          <w:szCs w:val="21"/>
        </w:rPr>
      </w:pPr>
      <w:r>
        <w:rPr>
          <w:rFonts w:hint="eastAsia" w:ascii="仿宋_GB2312" w:hAnsi="仿宋_GB2312" w:eastAsia="仿宋_GB2312" w:cs="仿宋_GB2312"/>
          <w:b/>
          <w:bCs/>
          <w:color w:val="auto"/>
          <w:kern w:val="0"/>
          <w:szCs w:val="21"/>
        </w:rPr>
        <w:t>4、磋商</w:t>
      </w:r>
    </w:p>
    <w:p>
      <w:pPr>
        <w:adjustRightInd w:val="0"/>
        <w:snapToGrid w:val="0"/>
        <w:spacing w:line="360" w:lineRule="auto"/>
        <w:ind w:firstLine="420" w:firstLineChars="200"/>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详见供应商须知26条。</w:t>
      </w:r>
    </w:p>
    <w:p>
      <w:pPr>
        <w:adjustRightInd w:val="0"/>
        <w:snapToGrid w:val="0"/>
        <w:spacing w:line="360" w:lineRule="auto"/>
        <w:ind w:firstLine="422" w:firstLineChars="200"/>
        <w:rPr>
          <w:rFonts w:hint="eastAsia" w:ascii="仿宋_GB2312" w:hAnsi="仿宋_GB2312" w:eastAsia="仿宋_GB2312" w:cs="仿宋_GB2312"/>
          <w:b/>
          <w:bCs/>
          <w:color w:val="auto"/>
          <w:kern w:val="0"/>
          <w:szCs w:val="21"/>
        </w:rPr>
      </w:pPr>
      <w:r>
        <w:rPr>
          <w:rFonts w:hint="eastAsia" w:ascii="仿宋_GB2312" w:hAnsi="仿宋_GB2312" w:eastAsia="仿宋_GB2312" w:cs="仿宋_GB2312"/>
          <w:b/>
          <w:bCs/>
          <w:color w:val="auto"/>
          <w:kern w:val="0"/>
          <w:szCs w:val="21"/>
        </w:rPr>
        <w:t>5、最后报价</w:t>
      </w:r>
    </w:p>
    <w:p>
      <w:pPr>
        <w:adjustRightInd w:val="0"/>
        <w:snapToGrid w:val="0"/>
        <w:spacing w:line="360" w:lineRule="auto"/>
        <w:ind w:firstLine="420" w:firstLineChars="200"/>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详见供应商须知27条。</w:t>
      </w:r>
    </w:p>
    <w:p>
      <w:pPr>
        <w:adjustRightInd w:val="0"/>
        <w:snapToGrid w:val="0"/>
        <w:spacing w:line="360" w:lineRule="auto"/>
        <w:ind w:firstLine="413" w:firstLineChars="196"/>
        <w:rPr>
          <w:rFonts w:hint="eastAsia" w:ascii="仿宋_GB2312" w:hAnsi="仿宋_GB2312" w:eastAsia="仿宋_GB2312" w:cs="仿宋_GB2312"/>
          <w:b/>
          <w:bCs/>
          <w:color w:val="auto"/>
          <w:kern w:val="0"/>
          <w:szCs w:val="21"/>
        </w:rPr>
      </w:pPr>
      <w:r>
        <w:rPr>
          <w:rFonts w:hint="eastAsia" w:ascii="仿宋_GB2312" w:hAnsi="仿宋_GB2312" w:eastAsia="仿宋_GB2312" w:cs="仿宋_GB2312"/>
          <w:b/>
          <w:bCs/>
          <w:color w:val="auto"/>
          <w:kern w:val="0"/>
          <w:szCs w:val="21"/>
        </w:rPr>
        <w:t>6、比较及评价</w:t>
      </w:r>
    </w:p>
    <w:p>
      <w:pPr>
        <w:adjustRightInd w:val="0"/>
        <w:snapToGrid w:val="0"/>
        <w:spacing w:line="360" w:lineRule="auto"/>
        <w:ind w:firstLine="420" w:firstLineChars="200"/>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6.1磋商小组对通过资格审查、符合性审查的响应文件进行比较和评价。</w:t>
      </w:r>
    </w:p>
    <w:p>
      <w:pPr>
        <w:adjustRightInd w:val="0"/>
        <w:snapToGrid w:val="0"/>
        <w:spacing w:line="360" w:lineRule="auto"/>
        <w:ind w:firstLine="420" w:firstLineChars="200"/>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6.2在磋商期间，对响应文件的澄清按供应商须知25条内容执行。</w:t>
      </w:r>
    </w:p>
    <w:p>
      <w:pPr>
        <w:adjustRightInd w:val="0"/>
        <w:snapToGrid w:val="0"/>
        <w:spacing w:line="360" w:lineRule="auto"/>
        <w:ind w:firstLine="420" w:firstLineChars="200"/>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6.3磋商小组</w:t>
      </w:r>
      <w:r>
        <w:rPr>
          <w:rFonts w:hint="eastAsia" w:ascii="仿宋_GB2312" w:hAnsi="仿宋_GB2312" w:eastAsia="仿宋_GB2312" w:cs="仿宋_GB2312"/>
          <w:color w:val="auto"/>
          <w:szCs w:val="21"/>
        </w:rPr>
        <w:t>认为供应商的报价明显低于其他通过符合性审查的供应商报价，有可能影响服务质量或者不能诚信履约的，磋商小组应当要求其在评审现场合理的时间（</w:t>
      </w:r>
      <w:r>
        <w:rPr>
          <w:rFonts w:hint="eastAsia" w:ascii="仿宋_GB2312" w:hAnsi="仿宋_GB2312" w:eastAsia="仿宋_GB2312" w:cs="仿宋_GB2312"/>
          <w:color w:val="auto"/>
          <w:kern w:val="0"/>
          <w:szCs w:val="21"/>
        </w:rPr>
        <w:t>接到通知后</w:t>
      </w:r>
    </w:p>
    <w:p>
      <w:pPr>
        <w:adjustRightInd w:val="0"/>
        <w:snapToGrid w:val="0"/>
        <w:spacing w:line="360" w:lineRule="auto"/>
        <w:rPr>
          <w:rFonts w:hint="eastAsia" w:ascii="仿宋_GB2312" w:hAnsi="仿宋_GB2312" w:eastAsia="仿宋_GB2312" w:cs="仿宋_GB2312"/>
          <w:color w:val="auto"/>
          <w:szCs w:val="21"/>
        </w:rPr>
      </w:pPr>
      <w:r>
        <w:rPr>
          <w:rFonts w:hint="eastAsia" w:ascii="仿宋_GB2312" w:hAnsi="仿宋_GB2312" w:eastAsia="仿宋_GB2312" w:cs="仿宋_GB2312"/>
          <w:color w:val="auto"/>
          <w:kern w:val="0"/>
          <w:szCs w:val="21"/>
          <w:u w:val="single"/>
        </w:rPr>
        <w:t xml:space="preserve">   </w:t>
      </w:r>
      <w:r>
        <w:rPr>
          <w:rFonts w:hint="eastAsia" w:ascii="仿宋_GB2312" w:hAnsi="仿宋_GB2312" w:eastAsia="仿宋_GB2312" w:cs="仿宋_GB2312"/>
          <w:color w:val="auto"/>
          <w:kern w:val="0"/>
          <w:szCs w:val="21"/>
          <w:u w:val="single"/>
          <w:lang w:val="en-US" w:eastAsia="zh-CN"/>
        </w:rPr>
        <w:t>0.5</w:t>
      </w:r>
      <w:r>
        <w:rPr>
          <w:rFonts w:hint="eastAsia" w:ascii="仿宋_GB2312" w:hAnsi="仿宋_GB2312" w:eastAsia="仿宋_GB2312" w:cs="仿宋_GB2312"/>
          <w:color w:val="auto"/>
          <w:kern w:val="0"/>
          <w:szCs w:val="21"/>
          <w:u w:val="single"/>
        </w:rPr>
        <w:t xml:space="preserve">  </w:t>
      </w:r>
      <w:r>
        <w:rPr>
          <w:rFonts w:hint="eastAsia" w:ascii="仿宋_GB2312" w:hAnsi="仿宋_GB2312" w:eastAsia="仿宋_GB2312" w:cs="仿宋_GB2312"/>
          <w:color w:val="auto"/>
          <w:kern w:val="0"/>
          <w:szCs w:val="21"/>
        </w:rPr>
        <w:t>小时</w:t>
      </w:r>
      <w:r>
        <w:rPr>
          <w:rFonts w:hint="eastAsia" w:ascii="仿宋_GB2312" w:hAnsi="仿宋_GB2312" w:eastAsia="仿宋_GB2312" w:cs="仿宋_GB2312"/>
          <w:color w:val="auto"/>
          <w:szCs w:val="21"/>
        </w:rPr>
        <w:t>）内提供书面说明，</w:t>
      </w:r>
      <w:r>
        <w:rPr>
          <w:rFonts w:hint="eastAsia" w:ascii="仿宋_GB2312" w:hAnsi="仿宋_GB2312" w:eastAsia="仿宋_GB2312" w:cs="仿宋_GB2312"/>
          <w:color w:val="auto"/>
          <w:szCs w:val="21"/>
          <w:lang w:val="en-US" w:eastAsia="zh-CN"/>
        </w:rPr>
        <w:t>必要时</w:t>
      </w:r>
      <w:r>
        <w:rPr>
          <w:rFonts w:hint="eastAsia" w:ascii="仿宋_GB2312" w:hAnsi="仿宋_GB2312" w:eastAsia="仿宋_GB2312" w:cs="仿宋_GB2312"/>
          <w:color w:val="auto"/>
          <w:szCs w:val="21"/>
        </w:rPr>
        <w:t>提交相关证明材料，</w:t>
      </w:r>
      <w:r>
        <w:rPr>
          <w:rFonts w:hint="eastAsia" w:ascii="仿宋_GB2312" w:hAnsi="仿宋_GB2312" w:eastAsia="仿宋_GB2312" w:cs="仿宋_GB2312"/>
          <w:color w:val="auto"/>
          <w:kern w:val="0"/>
          <w:szCs w:val="21"/>
        </w:rPr>
        <w:t>供应商不能证明其报价合理性的，磋商小组应当将</w:t>
      </w:r>
      <w:r>
        <w:rPr>
          <w:rFonts w:hint="eastAsia" w:ascii="仿宋_GB2312" w:hAnsi="仿宋_GB2312" w:eastAsia="仿宋_GB2312" w:cs="仿宋_GB2312"/>
          <w:color w:val="auto"/>
          <w:szCs w:val="21"/>
        </w:rPr>
        <w:t>其响应作为</w:t>
      </w:r>
      <w:r>
        <w:rPr>
          <w:rFonts w:hint="eastAsia" w:ascii="仿宋_GB2312" w:hAnsi="仿宋_GB2312" w:eastAsia="仿宋_GB2312" w:cs="仿宋_GB2312"/>
          <w:b/>
          <w:bCs/>
          <w:color w:val="auto"/>
          <w:szCs w:val="21"/>
        </w:rPr>
        <w:t>无效响应处理</w:t>
      </w:r>
      <w:r>
        <w:rPr>
          <w:rFonts w:hint="eastAsia" w:ascii="仿宋_GB2312" w:hAnsi="仿宋_GB2312" w:eastAsia="仿宋_GB2312" w:cs="仿宋_GB2312"/>
          <w:color w:val="auto"/>
          <w:szCs w:val="21"/>
        </w:rPr>
        <w:t>。</w:t>
      </w:r>
    </w:p>
    <w:p>
      <w:pPr>
        <w:adjustRightInd w:val="0"/>
        <w:snapToGrid w:val="0"/>
        <w:spacing w:line="360" w:lineRule="auto"/>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供应商的书面说明材料包含服务本身成本、人工费用、运输、税收等，以及最后报价不会影响服务质量或诚信履约能力的说明等。</w:t>
      </w:r>
    </w:p>
    <w:p>
      <w:pPr>
        <w:adjustRightInd w:val="0"/>
        <w:snapToGrid w:val="0"/>
        <w:spacing w:line="360" w:lineRule="auto"/>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供应商的书面说明应当签字确认或者加盖公章，否则无效。书面说明的签字确认，由其法定代表人（非法人单位负责人或自然人本人）或者其授权代表签字确认。</w:t>
      </w:r>
    </w:p>
    <w:p>
      <w:pPr>
        <w:adjustRightInd w:val="0"/>
        <w:snapToGrid w:val="0"/>
        <w:spacing w:line="360" w:lineRule="auto"/>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供应商提供书面说明后，磋商小组应当结合采购项目采购需求、专业实际情况、供应商财务状况报告、与其他供应商比较情况等就供应商的书面说明进行审查评价。供应商如有下列情况的，磋商小组应当将其响应文件作为无效处理：</w:t>
      </w:r>
    </w:p>
    <w:p>
      <w:pPr>
        <w:adjustRightInd w:val="0"/>
        <w:snapToGrid w:val="0"/>
        <w:spacing w:line="360" w:lineRule="auto"/>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（1）拒绝或者变相拒绝提供有效书面说明；</w:t>
      </w:r>
    </w:p>
    <w:p>
      <w:pPr>
        <w:adjustRightInd w:val="0"/>
        <w:snapToGrid w:val="0"/>
        <w:spacing w:line="360" w:lineRule="auto"/>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（2）书面说明不能证明其报价合理性的；</w:t>
      </w:r>
    </w:p>
    <w:p>
      <w:pPr>
        <w:adjustRightInd w:val="0"/>
        <w:snapToGrid w:val="0"/>
        <w:spacing w:line="360" w:lineRule="auto"/>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（3）未在规定时间内递交有效书面说明书的。</w:t>
      </w:r>
    </w:p>
    <w:p>
      <w:pPr>
        <w:adjustRightInd w:val="0"/>
        <w:snapToGrid w:val="0"/>
        <w:spacing w:line="360" w:lineRule="auto"/>
        <w:ind w:firstLine="422" w:firstLineChars="200"/>
        <w:rPr>
          <w:rFonts w:hint="eastAsia" w:ascii="仿宋_GB2312" w:hAnsi="仿宋_GB2312" w:eastAsia="仿宋_GB2312" w:cs="仿宋_GB2312"/>
          <w:b/>
          <w:color w:val="auto"/>
          <w:kern w:val="0"/>
          <w:szCs w:val="21"/>
        </w:rPr>
      </w:pPr>
      <w:r>
        <w:rPr>
          <w:rFonts w:hint="eastAsia" w:ascii="仿宋_GB2312" w:hAnsi="仿宋_GB2312" w:eastAsia="仿宋_GB2312" w:cs="仿宋_GB2312"/>
          <w:b/>
          <w:bCs/>
          <w:color w:val="auto"/>
          <w:kern w:val="0"/>
          <w:szCs w:val="21"/>
        </w:rPr>
        <w:t>7、需落实的政府采购政</w:t>
      </w:r>
      <w:r>
        <w:rPr>
          <w:rFonts w:hint="eastAsia" w:ascii="仿宋_GB2312" w:hAnsi="仿宋_GB2312" w:eastAsia="仿宋_GB2312" w:cs="仿宋_GB2312"/>
          <w:b/>
          <w:color w:val="auto"/>
          <w:kern w:val="0"/>
          <w:szCs w:val="21"/>
        </w:rPr>
        <w:t>策性规定：</w:t>
      </w:r>
    </w:p>
    <w:p>
      <w:pPr>
        <w:adjustRightInd w:val="0"/>
        <w:snapToGrid w:val="0"/>
        <w:spacing w:line="360" w:lineRule="auto"/>
        <w:ind w:firstLine="422" w:firstLineChars="200"/>
        <w:rPr>
          <w:rFonts w:ascii="仿宋_GB2312" w:hAnsi="仿宋_GB2312" w:eastAsia="仿宋_GB2312" w:cs="仿宋_GB2312"/>
          <w:b/>
          <w:color w:val="auto"/>
          <w:kern w:val="0"/>
          <w:szCs w:val="21"/>
        </w:rPr>
      </w:pPr>
      <w:r>
        <w:rPr>
          <w:rFonts w:hint="eastAsia" w:ascii="仿宋_GB2312" w:hAnsi="仿宋_GB2312" w:eastAsia="仿宋_GB2312" w:cs="仿宋_GB2312"/>
          <w:b/>
          <w:color w:val="auto"/>
          <w:kern w:val="0"/>
          <w:szCs w:val="21"/>
        </w:rPr>
        <w:t>7.1对于中小微企业的相关规定</w:t>
      </w:r>
    </w:p>
    <w:p>
      <w:pPr>
        <w:adjustRightInd w:val="0"/>
        <w:snapToGrid w:val="0"/>
        <w:spacing w:line="360" w:lineRule="auto"/>
        <w:ind w:firstLine="420" w:firstLineChars="200"/>
        <w:jc w:val="left"/>
        <w:rPr>
          <w:rFonts w:ascii="仿宋_GB2312" w:hAnsi="仿宋_GB2312" w:eastAsia="仿宋_GB2312" w:cs="仿宋_GB2312"/>
          <w:color w:val="auto"/>
          <w:szCs w:val="21"/>
        </w:rPr>
      </w:pPr>
      <w:r>
        <w:rPr>
          <w:rFonts w:hint="eastAsia" w:ascii="仿宋_GB2312" w:hAnsi="仿宋_GB2312" w:eastAsia="仿宋_GB2312" w:cs="仿宋_GB2312"/>
          <w:color w:val="auto"/>
          <w:szCs w:val="21"/>
        </w:rPr>
        <w:t>7.1.1对于非专门面向中小企业的项目，在满足价格扣除条件且在响应文件中按要求提交了《中小企业声明函》</w:t>
      </w:r>
      <w:r>
        <w:rPr>
          <w:rFonts w:hint="eastAsia" w:ascii="仿宋_GB2312" w:hAnsi="仿宋_GB2312" w:eastAsia="仿宋_GB2312" w:cs="仿宋_GB2312"/>
          <w:color w:val="auto"/>
          <w:kern w:val="0"/>
          <w:szCs w:val="21"/>
        </w:rPr>
        <w:t>的，</w:t>
      </w:r>
      <w:r>
        <w:rPr>
          <w:rFonts w:hint="eastAsia" w:ascii="仿宋_GB2312" w:hAnsi="仿宋_GB2312" w:eastAsia="仿宋_GB2312" w:cs="仿宋_GB2312"/>
          <w:color w:val="auto"/>
          <w:szCs w:val="21"/>
        </w:rPr>
        <w:t>对最后报价给予价格扣除，用扣除后的价格参与评审。最后报价扣除比例如下：</w:t>
      </w:r>
    </w:p>
    <w:p>
      <w:pPr>
        <w:adjustRightInd w:val="0"/>
        <w:snapToGrid w:val="0"/>
        <w:spacing w:line="360" w:lineRule="auto"/>
        <w:ind w:firstLine="210" w:firstLineChars="100"/>
        <w:jc w:val="left"/>
        <w:rPr>
          <w:rFonts w:ascii="仿宋_GB2312" w:hAnsi="仿宋_GB2312" w:eastAsia="仿宋_GB2312" w:cs="仿宋_GB2312"/>
          <w:color w:val="auto"/>
          <w:szCs w:val="21"/>
        </w:rPr>
      </w:pPr>
      <w:r>
        <w:rPr>
          <w:rFonts w:hint="eastAsia" w:ascii="仿宋_GB2312" w:hAnsi="仿宋_GB2312" w:eastAsia="仿宋_GB2312" w:cs="仿宋_GB2312"/>
          <w:color w:val="auto"/>
          <w:szCs w:val="21"/>
        </w:rPr>
        <w:t>（1）非联合体投标</w:t>
      </w:r>
    </w:p>
    <w:p>
      <w:pPr>
        <w:adjustRightInd w:val="0"/>
        <w:snapToGrid w:val="0"/>
        <w:spacing w:line="360" w:lineRule="auto"/>
        <w:jc w:val="left"/>
        <w:rPr>
          <w:rFonts w:ascii="仿宋_GB2312" w:hAnsi="仿宋_GB2312" w:eastAsia="仿宋_GB2312" w:cs="仿宋_GB2312"/>
          <w:color w:val="auto"/>
          <w:szCs w:val="21"/>
        </w:rPr>
      </w:pPr>
      <w:r>
        <w:rPr>
          <w:rFonts w:hint="eastAsia" w:ascii="仿宋_GB2312" w:hAnsi="仿宋_GB2312" w:eastAsia="仿宋_GB2312" w:cs="仿宋_GB2312"/>
          <w:color w:val="auto"/>
          <w:szCs w:val="21"/>
        </w:rPr>
        <w:t xml:space="preserve">       小型和微型企业相应产品、服务最后报价的</w:t>
      </w:r>
      <w:r>
        <w:rPr>
          <w:rFonts w:hint="eastAsia" w:ascii="仿宋_GB2312" w:hAnsi="仿宋_GB2312" w:eastAsia="仿宋_GB2312" w:cs="仿宋_GB2312"/>
          <w:color w:val="auto"/>
          <w:kern w:val="0"/>
          <w:szCs w:val="21"/>
          <w:u w:val="single"/>
        </w:rPr>
        <w:t xml:space="preserve">   </w:t>
      </w:r>
      <w:r>
        <w:rPr>
          <w:rFonts w:hint="eastAsia" w:ascii="仿宋_GB2312" w:hAnsi="仿宋_GB2312" w:eastAsia="仿宋_GB2312" w:cs="仿宋_GB2312"/>
          <w:color w:val="auto"/>
          <w:kern w:val="0"/>
          <w:szCs w:val="21"/>
          <w:u w:val="single"/>
          <w:lang w:val="en-US" w:eastAsia="zh-CN"/>
        </w:rPr>
        <w:t>/</w:t>
      </w:r>
      <w:r>
        <w:rPr>
          <w:rFonts w:hint="eastAsia" w:ascii="仿宋_GB2312" w:hAnsi="仿宋_GB2312" w:eastAsia="仿宋_GB2312" w:cs="仿宋_GB2312"/>
          <w:color w:val="auto"/>
          <w:kern w:val="0"/>
          <w:szCs w:val="21"/>
          <w:u w:val="single"/>
        </w:rPr>
        <w:t xml:space="preserve">   </w:t>
      </w:r>
      <w:r>
        <w:rPr>
          <w:rFonts w:hint="eastAsia" w:ascii="仿宋_GB2312" w:hAnsi="仿宋_GB2312" w:eastAsia="仿宋_GB2312" w:cs="仿宋_GB2312"/>
          <w:color w:val="auto"/>
          <w:kern w:val="0"/>
          <w:szCs w:val="21"/>
        </w:rPr>
        <w:t>（</w:t>
      </w:r>
      <w:r>
        <w:rPr>
          <w:rFonts w:hint="eastAsia" w:ascii="仿宋_GB2312" w:hAnsi="仿宋_GB2312" w:eastAsia="仿宋_GB2312" w:cs="仿宋_GB2312"/>
          <w:color w:val="auto"/>
          <w:szCs w:val="21"/>
        </w:rPr>
        <w:t>10%-20%）</w:t>
      </w:r>
    </w:p>
    <w:p>
      <w:pPr>
        <w:adjustRightInd w:val="0"/>
        <w:snapToGrid w:val="0"/>
        <w:spacing w:line="360" w:lineRule="auto"/>
        <w:ind w:firstLine="210" w:firstLineChars="100"/>
        <w:jc w:val="left"/>
        <w:rPr>
          <w:rFonts w:ascii="仿宋_GB2312" w:hAnsi="仿宋_GB2312" w:eastAsia="仿宋_GB2312" w:cs="仿宋_GB2312"/>
          <w:color w:val="auto"/>
          <w:szCs w:val="21"/>
        </w:rPr>
      </w:pPr>
      <w:r>
        <w:rPr>
          <w:rFonts w:hint="eastAsia" w:ascii="仿宋_GB2312" w:hAnsi="仿宋_GB2312" w:eastAsia="仿宋_GB2312" w:cs="仿宋_GB2312"/>
          <w:color w:val="auto"/>
          <w:szCs w:val="21"/>
        </w:rPr>
        <w:t>（2）联合体投标</w:t>
      </w:r>
    </w:p>
    <w:p>
      <w:pPr>
        <w:adjustRightInd w:val="0"/>
        <w:snapToGrid w:val="0"/>
        <w:spacing w:line="360" w:lineRule="auto"/>
        <w:ind w:firstLine="420" w:firstLineChars="200"/>
        <w:jc w:val="left"/>
        <w:rPr>
          <w:rFonts w:ascii="仿宋_GB2312" w:hAnsi="仿宋_GB2312" w:eastAsia="仿宋_GB2312" w:cs="仿宋_GB2312"/>
          <w:color w:val="auto"/>
          <w:szCs w:val="21"/>
        </w:rPr>
      </w:pPr>
      <w:r>
        <w:rPr>
          <w:rFonts w:hint="eastAsia" w:ascii="仿宋_GB2312" w:hAnsi="仿宋_GB2312" w:eastAsia="仿宋_GB2312" w:cs="仿宋_GB2312"/>
          <w:color w:val="auto"/>
          <w:szCs w:val="21"/>
        </w:rPr>
        <w:t>大中型企业和其他自然人、法人或者其他组织与小型、微型企业组成联合体共同参加非专门面向中小企业的政府采购活动的，联合体报价协议中约定，小型、微型企业的协议合同金额占到联合体报价协议合同总金额30%以上的，最后报价扣除</w:t>
      </w:r>
      <w:r>
        <w:rPr>
          <w:rFonts w:hint="eastAsia" w:ascii="仿宋_GB2312" w:hAnsi="仿宋_GB2312" w:eastAsia="仿宋_GB2312" w:cs="仿宋_GB2312"/>
          <w:color w:val="auto"/>
          <w:kern w:val="0"/>
          <w:szCs w:val="21"/>
          <w:u w:val="single"/>
        </w:rPr>
        <w:t xml:space="preserve">   </w:t>
      </w:r>
      <w:r>
        <w:rPr>
          <w:rFonts w:hint="eastAsia" w:ascii="仿宋_GB2312" w:hAnsi="仿宋_GB2312" w:eastAsia="仿宋_GB2312" w:cs="仿宋_GB2312"/>
          <w:color w:val="auto"/>
          <w:kern w:val="0"/>
          <w:szCs w:val="21"/>
          <w:u w:val="single"/>
          <w:lang w:val="en-US" w:eastAsia="zh-CN"/>
        </w:rPr>
        <w:t>/</w:t>
      </w:r>
      <w:r>
        <w:rPr>
          <w:rFonts w:hint="eastAsia" w:ascii="仿宋_GB2312" w:hAnsi="仿宋_GB2312" w:eastAsia="仿宋_GB2312" w:cs="仿宋_GB2312"/>
          <w:color w:val="auto"/>
          <w:kern w:val="0"/>
          <w:szCs w:val="21"/>
          <w:u w:val="single"/>
        </w:rPr>
        <w:t xml:space="preserve">   </w:t>
      </w:r>
      <w:r>
        <w:rPr>
          <w:rFonts w:hint="eastAsia" w:ascii="仿宋_GB2312" w:hAnsi="仿宋_GB2312" w:eastAsia="仿宋_GB2312" w:cs="仿宋_GB2312"/>
          <w:color w:val="auto"/>
          <w:kern w:val="0"/>
          <w:szCs w:val="21"/>
        </w:rPr>
        <w:t>（</w:t>
      </w:r>
      <w:r>
        <w:rPr>
          <w:rFonts w:hint="eastAsia" w:ascii="仿宋_GB2312" w:hAnsi="仿宋_GB2312" w:eastAsia="仿宋_GB2312" w:cs="仿宋_GB2312"/>
          <w:color w:val="auto"/>
          <w:szCs w:val="21"/>
        </w:rPr>
        <w:t>4%-6%）。</w:t>
      </w:r>
    </w:p>
    <w:p>
      <w:pPr>
        <w:adjustRightInd w:val="0"/>
        <w:snapToGrid w:val="0"/>
        <w:spacing w:line="360" w:lineRule="auto"/>
        <w:ind w:firstLine="420" w:firstLineChars="200"/>
        <w:jc w:val="left"/>
        <w:rPr>
          <w:rFonts w:ascii="仿宋_GB2312" w:hAnsi="仿宋_GB2312" w:eastAsia="仿宋_GB2312" w:cs="仿宋_GB2312"/>
          <w:color w:val="auto"/>
          <w:szCs w:val="21"/>
        </w:rPr>
      </w:pPr>
      <w:r>
        <w:rPr>
          <w:rFonts w:hint="eastAsia" w:ascii="仿宋_GB2312" w:hAnsi="仿宋_GB2312" w:eastAsia="仿宋_GB2312" w:cs="仿宋_GB2312"/>
          <w:color w:val="auto"/>
          <w:szCs w:val="21"/>
        </w:rPr>
        <w:t xml:space="preserve">联合体各方均为小型、微型企业的，联合体视同为小型、微型企业，按第本款（1）条规定享受扶持政策。组成联合体的大中型企业和其他自然人、法人或者其他组织，与小型、微型企业之间不得存在投资关系。 </w:t>
      </w:r>
    </w:p>
    <w:p>
      <w:pPr>
        <w:adjustRightInd w:val="0"/>
        <w:snapToGrid w:val="0"/>
        <w:spacing w:line="360" w:lineRule="auto"/>
        <w:ind w:firstLine="420" w:firstLineChars="200"/>
        <w:jc w:val="left"/>
        <w:rPr>
          <w:rFonts w:ascii="仿宋_GB2312" w:hAnsi="仿宋_GB2312" w:eastAsia="仿宋_GB2312" w:cs="仿宋_GB2312"/>
          <w:color w:val="auto"/>
          <w:szCs w:val="21"/>
        </w:rPr>
      </w:pPr>
      <w:r>
        <w:rPr>
          <w:rFonts w:hint="eastAsia" w:ascii="仿宋_GB2312" w:hAnsi="仿宋_GB2312" w:eastAsia="仿宋_GB2312" w:cs="仿宋_GB2312"/>
          <w:color w:val="auto"/>
          <w:szCs w:val="21"/>
        </w:rPr>
        <w:t>7.1.2监狱企业视同小型、微型企业，在满足价格扣除条件且在响应文件中按要求提交了省级以上监狱管理局、戒毒管理局（含新疆生产建设兵团）出具的属于监狱企业的证明文件的，对其最后报价按本章5.1.1条款的比例予以扣除，</w:t>
      </w:r>
      <w:r>
        <w:rPr>
          <w:rFonts w:hint="eastAsia" w:ascii="仿宋_GB2312" w:hAnsi="仿宋_GB2312" w:eastAsia="仿宋_GB2312" w:cs="仿宋_GB2312"/>
          <w:color w:val="auto"/>
          <w:kern w:val="0"/>
          <w:szCs w:val="21"/>
        </w:rPr>
        <w:t>用扣除后的价格参与评审</w:t>
      </w:r>
      <w:r>
        <w:rPr>
          <w:rFonts w:hint="eastAsia" w:ascii="仿宋_GB2312" w:hAnsi="仿宋_GB2312" w:eastAsia="仿宋_GB2312" w:cs="仿宋_GB2312"/>
          <w:color w:val="auto"/>
          <w:szCs w:val="21"/>
        </w:rPr>
        <w:t>。</w:t>
      </w:r>
    </w:p>
    <w:p>
      <w:pPr>
        <w:adjustRightInd w:val="0"/>
        <w:snapToGrid w:val="0"/>
        <w:spacing w:line="360" w:lineRule="auto"/>
        <w:ind w:firstLine="422" w:firstLineChars="200"/>
        <w:jc w:val="left"/>
        <w:rPr>
          <w:rFonts w:ascii="仿宋_GB2312" w:hAnsi="仿宋_GB2312" w:eastAsia="仿宋_GB2312" w:cs="仿宋_GB2312"/>
          <w:color w:val="auto"/>
          <w:szCs w:val="21"/>
        </w:rPr>
      </w:pPr>
      <w:r>
        <w:rPr>
          <w:rFonts w:hint="eastAsia" w:ascii="仿宋_GB2312" w:hAnsi="仿宋_GB2312" w:eastAsia="仿宋_GB2312" w:cs="仿宋_GB2312"/>
          <w:b/>
          <w:color w:val="auto"/>
          <w:kern w:val="0"/>
          <w:szCs w:val="21"/>
        </w:rPr>
        <w:t>7.1.3</w:t>
      </w:r>
      <w:r>
        <w:rPr>
          <w:rFonts w:hint="eastAsia" w:ascii="仿宋_GB2312" w:hAnsi="仿宋_GB2312" w:eastAsia="仿宋_GB2312" w:cs="仿宋_GB2312"/>
          <w:color w:val="auto"/>
          <w:szCs w:val="21"/>
        </w:rPr>
        <w:t>残疾人福利性单位视同小型、微型企业，在满足价格扣除条件且在</w:t>
      </w:r>
      <w:r>
        <w:rPr>
          <w:rFonts w:hint="eastAsia" w:ascii="仿宋_GB2312" w:hAnsi="仿宋_GB2312" w:eastAsia="仿宋_GB2312" w:cs="仿宋_GB2312"/>
          <w:color w:val="auto"/>
          <w:kern w:val="0"/>
          <w:szCs w:val="21"/>
        </w:rPr>
        <w:t>响应文件中提供了《残疾人福利性单位声明函》的，</w:t>
      </w:r>
      <w:r>
        <w:rPr>
          <w:rFonts w:hint="eastAsia" w:ascii="仿宋_GB2312" w:hAnsi="仿宋_GB2312" w:eastAsia="仿宋_GB2312" w:cs="仿宋_GB2312"/>
          <w:color w:val="auto"/>
          <w:szCs w:val="21"/>
        </w:rPr>
        <w:t>对其最后报价按本章5.1.1条款的比例予以扣除</w:t>
      </w:r>
      <w:r>
        <w:rPr>
          <w:rFonts w:hint="eastAsia" w:ascii="仿宋_GB2312" w:hAnsi="仿宋_GB2312" w:eastAsia="仿宋_GB2312" w:cs="仿宋_GB2312"/>
          <w:color w:val="auto"/>
          <w:kern w:val="0"/>
          <w:szCs w:val="21"/>
        </w:rPr>
        <w:t>，用扣除后的价格参与评审。</w:t>
      </w:r>
    </w:p>
    <w:p>
      <w:pPr>
        <w:adjustRightInd w:val="0"/>
        <w:snapToGrid w:val="0"/>
        <w:spacing w:line="360" w:lineRule="auto"/>
        <w:ind w:firstLine="422" w:firstLineChars="200"/>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7.1.4残疾人福利性单位属于小型、微型企业的，不重复享受政策。</w:t>
      </w:r>
    </w:p>
    <w:p>
      <w:pPr>
        <w:adjustRightInd w:val="0"/>
        <w:snapToGrid w:val="0"/>
        <w:spacing w:line="360" w:lineRule="auto"/>
        <w:ind w:firstLine="422" w:firstLineChars="200"/>
        <w:rPr>
          <w:rFonts w:hint="eastAsia" w:ascii="仿宋_GB2312" w:hAnsi="仿宋_GB2312" w:eastAsia="仿宋_GB2312" w:cs="仿宋_GB2312"/>
          <w:b/>
          <w:color w:val="auto"/>
          <w:szCs w:val="21"/>
        </w:rPr>
      </w:pPr>
      <w:r>
        <w:rPr>
          <w:rFonts w:hint="eastAsia" w:ascii="仿宋_GB2312" w:hAnsi="仿宋_GB2312" w:eastAsia="仿宋_GB2312" w:cs="仿宋_GB2312"/>
          <w:b/>
          <w:color w:val="auto"/>
          <w:szCs w:val="21"/>
        </w:rPr>
        <w:t>7.2对于节能产品、环境标志产品的相关规定”</w:t>
      </w:r>
    </w:p>
    <w:p>
      <w:pPr>
        <w:adjustRightInd w:val="0"/>
        <w:snapToGrid w:val="0"/>
        <w:spacing w:line="360" w:lineRule="auto"/>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（1）采购人采购的服务</w:t>
      </w:r>
      <w:r>
        <w:rPr>
          <w:rFonts w:hint="eastAsia" w:ascii="仿宋_GB2312" w:hAnsi="仿宋_GB2312" w:eastAsia="仿宋_GB2312" w:cs="仿宋_GB2312"/>
          <w:color w:val="auto"/>
          <w:szCs w:val="21"/>
        </w:rPr>
        <w:t>有伴随货物的，如伴随的货物</w:t>
      </w:r>
      <w:r>
        <w:rPr>
          <w:rFonts w:hint="eastAsia" w:ascii="仿宋_GB2312" w:hAnsi="仿宋_GB2312" w:eastAsia="仿宋_GB2312" w:cs="仿宋_GB2312"/>
          <w:bCs/>
          <w:color w:val="auto"/>
          <w:szCs w:val="21"/>
        </w:rPr>
        <w:t>属于节能产品或环境标志产品，依据品目清单和认证证书实施政府优先采购。供应商应能够提供国家确定的认证机构出具的、处于有效期之内的节能产品、环境标志产品认证证书，方可对获得证书的产品优先推荐。</w:t>
      </w:r>
    </w:p>
    <w:p>
      <w:pPr>
        <w:adjustRightInd w:val="0"/>
        <w:snapToGrid w:val="0"/>
        <w:spacing w:line="360" w:lineRule="auto"/>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评审时，对清单中产品给予相应的加分。（详见评分细则）</w:t>
      </w:r>
    </w:p>
    <w:p>
      <w:pPr>
        <w:adjustRightInd w:val="0"/>
        <w:snapToGrid w:val="0"/>
        <w:spacing w:line="360" w:lineRule="auto"/>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（2）供应商应同时提供品目清单网络截图，并以明确标注所报产品信息和位置的方式，用以方便评审。</w:t>
      </w:r>
    </w:p>
    <w:p>
      <w:pPr>
        <w:adjustRightInd w:val="0"/>
        <w:snapToGrid w:val="0"/>
        <w:spacing w:line="360" w:lineRule="auto"/>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（3）认证机构和获证产品信息发布媒体：详见中国政府采购网（www.ccgp.gov.cn）建立的与认证结果信息发布平台的链接。</w:t>
      </w:r>
    </w:p>
    <w:p>
      <w:pPr>
        <w:adjustRightInd w:val="0"/>
        <w:snapToGrid w:val="0"/>
        <w:spacing w:line="360" w:lineRule="auto"/>
        <w:ind w:firstLine="422" w:firstLineChars="200"/>
        <w:rPr>
          <w:rFonts w:hint="eastAsia" w:ascii="仿宋_GB2312" w:hAnsi="仿宋_GB2312" w:eastAsia="仿宋_GB2312" w:cs="仿宋_GB2312"/>
          <w:b/>
          <w:color w:val="auto"/>
          <w:kern w:val="0"/>
          <w:szCs w:val="21"/>
        </w:rPr>
      </w:pPr>
      <w:r>
        <w:rPr>
          <w:rFonts w:hint="eastAsia" w:ascii="仿宋_GB2312" w:hAnsi="仿宋_GB2312" w:eastAsia="仿宋_GB2312" w:cs="仿宋_GB2312"/>
          <w:b/>
          <w:color w:val="auto"/>
          <w:kern w:val="0"/>
          <w:szCs w:val="21"/>
        </w:rPr>
        <w:t>7.3对于聘用建档立卡贫困人员物业公司的相关规定</w:t>
      </w:r>
    </w:p>
    <w:p>
      <w:pPr>
        <w:adjustRightInd w:val="0"/>
        <w:snapToGrid w:val="0"/>
        <w:spacing w:line="360" w:lineRule="auto"/>
        <w:ind w:firstLine="420" w:firstLineChars="200"/>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在满足价格扣除条件且在响应文件中按要求提交了《聘用建档立卡贫困人员物业公司声明函》的供应商，对最后报价给予价格扣除，用扣除后的价格参与评审。扣除比例为最后</w:t>
      </w:r>
      <w:r>
        <w:rPr>
          <w:rFonts w:hint="eastAsia" w:ascii="仿宋_GB2312" w:hAnsi="仿宋_GB2312" w:eastAsia="仿宋_GB2312" w:cs="仿宋_GB2312"/>
          <w:color w:val="auto"/>
          <w:kern w:val="0"/>
          <w:szCs w:val="21"/>
        </w:rPr>
        <w:t>报价的</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u w:val="single"/>
          <w:lang w:val="en-US" w:eastAsia="zh-CN"/>
        </w:rPr>
        <w:t>/</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 xml:space="preserve"> %。</w:t>
      </w:r>
    </w:p>
    <w:p>
      <w:pPr>
        <w:adjustRightInd w:val="0"/>
        <w:spacing w:line="360" w:lineRule="auto"/>
        <w:ind w:firstLine="422" w:firstLineChars="200"/>
        <w:jc w:val="left"/>
        <w:rPr>
          <w:rFonts w:hint="eastAsia"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7.4对于列入《</w:t>
      </w:r>
      <w:r>
        <w:rPr>
          <w:rFonts w:hint="eastAsia" w:ascii="仿宋_GB2312" w:hAnsi="仿宋_GB2312" w:eastAsia="仿宋_GB2312" w:cs="仿宋_GB2312"/>
          <w:b/>
          <w:bCs/>
          <w:color w:val="auto"/>
          <w:szCs w:val="21"/>
          <w:lang w:eastAsia="zh-CN"/>
        </w:rPr>
        <w:t>创新产品和服务目录</w:t>
      </w:r>
      <w:r>
        <w:rPr>
          <w:rFonts w:hint="eastAsia" w:ascii="仿宋_GB2312" w:hAnsi="仿宋_GB2312" w:eastAsia="仿宋_GB2312" w:cs="仿宋_GB2312"/>
          <w:b/>
          <w:bCs/>
          <w:color w:val="auto"/>
          <w:szCs w:val="21"/>
        </w:rPr>
        <w:t>》内的产品、服务的相关规定</w:t>
      </w:r>
    </w:p>
    <w:p>
      <w:pPr>
        <w:adjustRightInd w:val="0"/>
        <w:spacing w:line="360" w:lineRule="auto"/>
        <w:ind w:firstLine="420" w:firstLineChars="200"/>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对列入《</w:t>
      </w:r>
      <w:r>
        <w:rPr>
          <w:rFonts w:hint="eastAsia" w:ascii="仿宋_GB2312" w:hAnsi="仿宋_GB2312" w:eastAsia="仿宋_GB2312" w:cs="仿宋_GB2312"/>
          <w:color w:val="auto"/>
          <w:szCs w:val="21"/>
          <w:lang w:eastAsia="zh-CN"/>
        </w:rPr>
        <w:t>创新产品和服务目录</w:t>
      </w:r>
      <w:r>
        <w:rPr>
          <w:rFonts w:hint="eastAsia" w:ascii="仿宋_GB2312" w:hAnsi="仿宋_GB2312" w:eastAsia="仿宋_GB2312" w:cs="仿宋_GB2312"/>
          <w:color w:val="auto"/>
          <w:szCs w:val="21"/>
        </w:rPr>
        <w:t>》内的响应产品、服务给予其最后报价</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u w:val="single"/>
          <w:lang w:val="en-US" w:eastAsia="zh-CN"/>
        </w:rPr>
        <w:t>/</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（6-8%）的价格扣除，用扣除后的价格参与评审。</w:t>
      </w:r>
    </w:p>
    <w:p>
      <w:pPr>
        <w:adjustRightInd w:val="0"/>
        <w:snapToGrid w:val="0"/>
        <w:spacing w:line="360" w:lineRule="auto"/>
        <w:ind w:firstLine="422" w:firstLineChars="200"/>
        <w:rPr>
          <w:rFonts w:hint="eastAsia" w:ascii="仿宋_GB2312" w:hAnsi="仿宋_GB2312" w:eastAsia="仿宋_GB2312" w:cs="仿宋_GB2312"/>
          <w:b/>
          <w:bCs/>
          <w:color w:val="auto"/>
          <w:kern w:val="0"/>
          <w:szCs w:val="21"/>
        </w:rPr>
      </w:pPr>
      <w:r>
        <w:rPr>
          <w:rFonts w:hint="eastAsia" w:ascii="仿宋_GB2312" w:hAnsi="仿宋_GB2312" w:eastAsia="仿宋_GB2312" w:cs="仿宋_GB2312"/>
          <w:b/>
          <w:bCs/>
          <w:color w:val="auto"/>
          <w:kern w:val="0"/>
          <w:szCs w:val="21"/>
        </w:rPr>
        <w:t>8、响应无效</w:t>
      </w:r>
    </w:p>
    <w:p>
      <w:pPr>
        <w:adjustRightInd w:val="0"/>
        <w:snapToGrid w:val="0"/>
        <w:spacing w:line="360" w:lineRule="auto"/>
        <w:ind w:firstLine="420" w:firstLineChars="200"/>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详见供应商须知28条。</w:t>
      </w:r>
    </w:p>
    <w:p>
      <w:pPr>
        <w:adjustRightInd w:val="0"/>
        <w:snapToGrid w:val="0"/>
        <w:spacing w:line="360" w:lineRule="auto"/>
        <w:ind w:firstLine="422" w:firstLineChars="200"/>
        <w:rPr>
          <w:rFonts w:hint="eastAsia" w:ascii="仿宋_GB2312" w:hAnsi="仿宋_GB2312" w:eastAsia="仿宋_GB2312" w:cs="仿宋_GB2312"/>
          <w:b/>
          <w:bCs/>
          <w:color w:val="auto"/>
          <w:kern w:val="0"/>
          <w:szCs w:val="21"/>
        </w:rPr>
      </w:pPr>
      <w:r>
        <w:rPr>
          <w:rFonts w:hint="eastAsia" w:ascii="仿宋_GB2312" w:hAnsi="仿宋_GB2312" w:eastAsia="仿宋_GB2312" w:cs="仿宋_GB2312"/>
          <w:b/>
          <w:color w:val="auto"/>
          <w:kern w:val="0"/>
          <w:szCs w:val="21"/>
        </w:rPr>
        <w:t>★9</w:t>
      </w:r>
      <w:r>
        <w:rPr>
          <w:rFonts w:hint="eastAsia" w:ascii="仿宋_GB2312" w:hAnsi="仿宋_GB2312" w:eastAsia="仿宋_GB2312" w:cs="仿宋_GB2312"/>
          <w:b/>
          <w:bCs/>
          <w:color w:val="auto"/>
          <w:kern w:val="0"/>
          <w:szCs w:val="21"/>
        </w:rPr>
        <w:t>、推荐成标候选供应商的原则</w:t>
      </w:r>
    </w:p>
    <w:p>
      <w:pPr>
        <w:adjustRightInd w:val="0"/>
        <w:snapToGrid w:val="0"/>
        <w:spacing w:line="360" w:lineRule="auto"/>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详见第一章供应商须知第31条，具体处理办法如下：</w:t>
      </w:r>
    </w:p>
    <w:p>
      <w:pPr>
        <w:adjustRightInd w:val="0"/>
        <w:snapToGrid w:val="0"/>
        <w:spacing w:line="360" w:lineRule="auto"/>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得分相同的，按扣除后的最后报价由低到高顺序排序；</w:t>
      </w:r>
    </w:p>
    <w:p>
      <w:pPr>
        <w:adjustRightInd w:val="0"/>
        <w:snapToGrid w:val="0"/>
        <w:spacing w:line="360" w:lineRule="auto"/>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按前款不能区分的，按最后报价由低至高顺序排序；</w:t>
      </w:r>
    </w:p>
    <w:p>
      <w:pPr>
        <w:adjustRightInd w:val="0"/>
        <w:snapToGrid w:val="0"/>
        <w:spacing w:line="360" w:lineRule="auto"/>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按前款不能区分的，按技术指标优劣排序；</w:t>
      </w:r>
    </w:p>
    <w:p>
      <w:pPr>
        <w:adjustRightInd w:val="0"/>
        <w:snapToGrid w:val="0"/>
        <w:spacing w:line="360" w:lineRule="auto"/>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其他情况，由磋商小组投票处理。</w:t>
      </w:r>
    </w:p>
    <w:p>
      <w:pPr>
        <w:adjustRightInd w:val="0"/>
        <w:snapToGrid w:val="0"/>
        <w:spacing w:line="360" w:lineRule="auto"/>
        <w:ind w:firstLine="422" w:firstLineChars="200"/>
        <w:rPr>
          <w:rFonts w:hint="eastAsia" w:ascii="仿宋_GB2312" w:hAnsi="仿宋_GB2312" w:eastAsia="仿宋_GB2312" w:cs="仿宋_GB2312"/>
          <w:b/>
          <w:color w:val="auto"/>
          <w:kern w:val="0"/>
          <w:szCs w:val="21"/>
        </w:rPr>
      </w:pPr>
      <w:r>
        <w:rPr>
          <w:rFonts w:hint="eastAsia" w:ascii="仿宋_GB2312" w:hAnsi="仿宋_GB2312" w:eastAsia="仿宋_GB2312" w:cs="仿宋_GB2312"/>
          <w:b/>
          <w:color w:val="auto"/>
          <w:szCs w:val="21"/>
        </w:rPr>
        <w:t>三、</w:t>
      </w:r>
      <w:r>
        <w:rPr>
          <w:rFonts w:hint="eastAsia" w:ascii="仿宋_GB2312" w:hAnsi="仿宋_GB2312" w:eastAsia="仿宋_GB2312" w:cs="仿宋_GB2312"/>
          <w:b/>
          <w:color w:val="auto"/>
          <w:kern w:val="0"/>
          <w:szCs w:val="21"/>
        </w:rPr>
        <w:t>确定成交供应商</w:t>
      </w:r>
    </w:p>
    <w:p>
      <w:pPr>
        <w:adjustRightInd w:val="0"/>
        <w:snapToGrid w:val="0"/>
        <w:spacing w:line="360" w:lineRule="auto"/>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磋商小组根据全体磋商小组成员签字的原始评审记录和评审结果编写评审报告，并向采购人提交书面评审报告。</w:t>
      </w:r>
    </w:p>
    <w:p>
      <w:pPr>
        <w:adjustRightInd w:val="0"/>
        <w:snapToGrid w:val="0"/>
        <w:spacing w:line="360" w:lineRule="auto"/>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采购人按照评审报告确定的成交候选供应商名单按顺序确定成交供应商，或由采购人委托磋商小组按照第一章 供应商须知表33条中规定的方式确定成交供应商。</w:t>
      </w:r>
    </w:p>
    <w:p>
      <w:pPr>
        <w:widowControl/>
        <w:snapToGrid w:val="0"/>
        <w:spacing w:line="360" w:lineRule="auto"/>
        <w:jc w:val="left"/>
        <w:rPr>
          <w:rFonts w:hint="eastAsia" w:ascii="仿宋_GB2312" w:hAnsi="仿宋_GB2312" w:eastAsia="仿宋_GB2312" w:cs="仿宋_GB2312"/>
          <w:color w:val="auto"/>
          <w:kern w:val="0"/>
          <w:sz w:val="24"/>
        </w:rPr>
      </w:pPr>
    </w:p>
    <w:p>
      <w:pPr>
        <w:pStyle w:val="3"/>
        <w:adjustRightInd w:val="0"/>
        <w:snapToGrid w:val="0"/>
        <w:spacing w:before="0" w:after="0" w:line="240" w:lineRule="auto"/>
        <w:jc w:val="left"/>
        <w:rPr>
          <w:rFonts w:hint="eastAsia" w:ascii="仿宋_GB2312" w:hAnsi="仿宋_GB2312" w:eastAsia="仿宋_GB2312" w:cs="仿宋_GB2312"/>
          <w:color w:val="auto"/>
          <w:sz w:val="28"/>
          <w:szCs w:val="28"/>
        </w:rPr>
      </w:pPr>
      <w:r>
        <w:rPr>
          <w:rFonts w:hint="eastAsia" w:ascii="仿宋" w:hAnsi="仿宋" w:eastAsia="仿宋" w:cs="仿宋"/>
          <w:color w:val="auto"/>
          <w:highlight w:val="none"/>
        </w:rPr>
        <w:br w:type="page"/>
      </w:r>
      <w:r>
        <w:rPr>
          <w:rFonts w:hint="eastAsia" w:ascii="仿宋_GB2312" w:hAnsi="仿宋_GB2312" w:eastAsia="仿宋_GB2312" w:cs="仿宋_GB2312"/>
          <w:color w:val="auto"/>
          <w:sz w:val="28"/>
          <w:szCs w:val="28"/>
        </w:rPr>
        <w:t xml:space="preserve">附件1                   </w:t>
      </w:r>
    </w:p>
    <w:p>
      <w:pPr>
        <w:jc w:val="center"/>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资格审查表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3472"/>
        <w:gridCol w:w="1996"/>
        <w:gridCol w:w="759"/>
        <w:gridCol w:w="759"/>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14" w:type="dxa"/>
            <w:vMerge w:val="restart"/>
            <w:noWrap w:val="0"/>
            <w:vAlign w:val="center"/>
          </w:tcPr>
          <w:p>
            <w:pPr>
              <w:rPr>
                <w:rFonts w:hint="eastAsia" w:ascii="仿宋_GB2312" w:hAnsi="仿宋_GB2312" w:eastAsia="仿宋_GB2312" w:cs="仿宋_GB2312"/>
                <w:color w:val="auto"/>
              </w:rPr>
            </w:pPr>
            <w:bookmarkStart w:id="110" w:name="_Toc4485647"/>
            <w:bookmarkStart w:id="111" w:name="_Toc533340171"/>
            <w:r>
              <w:rPr>
                <w:rFonts w:hint="eastAsia" w:ascii="仿宋_GB2312" w:hAnsi="仿宋_GB2312" w:eastAsia="仿宋_GB2312" w:cs="仿宋_GB2312"/>
                <w:color w:val="auto"/>
              </w:rPr>
              <w:t>序号</w:t>
            </w:r>
          </w:p>
        </w:tc>
        <w:tc>
          <w:tcPr>
            <w:tcW w:w="3472" w:type="dxa"/>
            <w:vMerge w:val="restart"/>
            <w:noWrap w:val="0"/>
            <w:vAlign w:val="center"/>
          </w:tcPr>
          <w:p>
            <w:pPr>
              <w:pStyle w:val="3"/>
              <w:adjustRightInd w:val="0"/>
              <w:snapToGrid w:val="0"/>
              <w:spacing w:before="0" w:after="0" w:line="240" w:lineRule="auto"/>
              <w:jc w:val="center"/>
              <w:rPr>
                <w:rFonts w:hint="eastAsia" w:ascii="仿宋_GB2312" w:hAnsi="仿宋_GB2312" w:eastAsia="仿宋_GB2312" w:cs="仿宋_GB2312"/>
                <w:b w:val="0"/>
                <w:color w:val="auto"/>
                <w:sz w:val="21"/>
                <w:szCs w:val="21"/>
              </w:rPr>
            </w:pPr>
            <w:r>
              <w:rPr>
                <w:rFonts w:hint="eastAsia" w:ascii="仿宋_GB2312" w:hAnsi="仿宋_GB2312" w:eastAsia="仿宋_GB2312" w:cs="仿宋_GB2312"/>
                <w:b w:val="0"/>
                <w:color w:val="auto"/>
                <w:sz w:val="21"/>
                <w:szCs w:val="21"/>
              </w:rPr>
              <w:t>审查项目</w:t>
            </w:r>
            <w:bookmarkEnd w:id="110"/>
            <w:bookmarkEnd w:id="111"/>
          </w:p>
        </w:tc>
        <w:tc>
          <w:tcPr>
            <w:tcW w:w="1996" w:type="dxa"/>
            <w:vMerge w:val="restart"/>
            <w:noWrap w:val="0"/>
            <w:vAlign w:val="center"/>
          </w:tcPr>
          <w:p>
            <w:pPr>
              <w:pStyle w:val="3"/>
              <w:adjustRightInd w:val="0"/>
              <w:snapToGrid w:val="0"/>
              <w:spacing w:before="0" w:after="0" w:line="240" w:lineRule="auto"/>
              <w:jc w:val="center"/>
              <w:rPr>
                <w:rFonts w:hint="eastAsia" w:ascii="仿宋_GB2312" w:hAnsi="仿宋_GB2312" w:eastAsia="仿宋_GB2312" w:cs="仿宋_GB2312"/>
                <w:b w:val="0"/>
                <w:color w:val="auto"/>
                <w:sz w:val="21"/>
                <w:szCs w:val="21"/>
              </w:rPr>
            </w:pPr>
            <w:bookmarkStart w:id="112" w:name="_Toc4485648"/>
            <w:bookmarkStart w:id="113" w:name="_Toc533340172"/>
            <w:r>
              <w:rPr>
                <w:rFonts w:hint="eastAsia" w:ascii="仿宋_GB2312" w:hAnsi="仿宋_GB2312" w:eastAsia="仿宋_GB2312" w:cs="仿宋_GB2312"/>
                <w:b w:val="0"/>
                <w:color w:val="auto"/>
                <w:sz w:val="21"/>
                <w:szCs w:val="21"/>
              </w:rPr>
              <w:t>审查标准</w:t>
            </w:r>
            <w:bookmarkEnd w:id="112"/>
            <w:bookmarkEnd w:id="113"/>
          </w:p>
        </w:tc>
        <w:tc>
          <w:tcPr>
            <w:tcW w:w="2278" w:type="dxa"/>
            <w:gridSpan w:val="3"/>
            <w:noWrap w:val="0"/>
            <w:vAlign w:val="center"/>
          </w:tcPr>
          <w:p>
            <w:pPr>
              <w:pStyle w:val="3"/>
              <w:adjustRightInd w:val="0"/>
              <w:snapToGrid w:val="0"/>
              <w:spacing w:before="0" w:after="0" w:line="240" w:lineRule="auto"/>
              <w:jc w:val="center"/>
              <w:rPr>
                <w:rFonts w:hint="eastAsia" w:ascii="仿宋_GB2312" w:hAnsi="仿宋_GB2312" w:eastAsia="仿宋_GB2312" w:cs="仿宋_GB2312"/>
                <w:b w:val="0"/>
                <w:color w:val="auto"/>
                <w:sz w:val="21"/>
                <w:szCs w:val="21"/>
              </w:rPr>
            </w:pPr>
            <w:bookmarkStart w:id="114" w:name="_Toc4485649"/>
            <w:bookmarkStart w:id="115" w:name="_Toc533340173"/>
            <w:r>
              <w:rPr>
                <w:rFonts w:hint="eastAsia" w:ascii="仿宋_GB2312" w:hAnsi="仿宋_GB2312" w:eastAsia="仿宋_GB2312" w:cs="仿宋_GB2312"/>
                <w:b w:val="0"/>
                <w:color w:val="auto"/>
                <w:sz w:val="21"/>
                <w:szCs w:val="21"/>
              </w:rPr>
              <w:t>供应商名称</w:t>
            </w:r>
            <w:bookmarkEnd w:id="114"/>
            <w:bookmarkEnd w:id="11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714" w:type="dxa"/>
            <w:vMerge w:val="continue"/>
            <w:noWrap w:val="0"/>
            <w:vAlign w:val="center"/>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3472" w:type="dxa"/>
            <w:vMerge w:val="continue"/>
            <w:noWrap w:val="0"/>
            <w:vAlign w:val="center"/>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1996" w:type="dxa"/>
            <w:vMerge w:val="continue"/>
            <w:noWrap w:val="0"/>
            <w:vAlign w:val="center"/>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759" w:type="dxa"/>
            <w:noWrap w:val="0"/>
            <w:vAlign w:val="center"/>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759" w:type="dxa"/>
            <w:noWrap w:val="0"/>
            <w:vAlign w:val="center"/>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760" w:type="dxa"/>
            <w:noWrap w:val="0"/>
            <w:vAlign w:val="center"/>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14" w:type="dxa"/>
            <w:noWrap w:val="0"/>
            <w:vAlign w:val="center"/>
          </w:tcPr>
          <w:p>
            <w:pPr>
              <w:snapToGrid w:val="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1</w:t>
            </w:r>
          </w:p>
        </w:tc>
        <w:tc>
          <w:tcPr>
            <w:tcW w:w="3472" w:type="dxa"/>
            <w:noWrap w:val="0"/>
            <w:vAlign w:val="center"/>
          </w:tcPr>
          <w:p>
            <w:pPr>
              <w:snapToGrid w:val="0"/>
              <w:rPr>
                <w:rFonts w:hint="eastAsia" w:ascii="仿宋_GB2312" w:hAnsi="仿宋_GB2312" w:eastAsia="仿宋_GB2312" w:cs="仿宋_GB2312"/>
                <w:color w:val="auto"/>
              </w:rPr>
            </w:pPr>
            <w:r>
              <w:rPr>
                <w:rFonts w:hint="eastAsia" w:ascii="仿宋_GB2312" w:hAnsi="仿宋_GB2312" w:eastAsia="仿宋_GB2312" w:cs="仿宋_GB2312"/>
                <w:color w:val="auto"/>
              </w:rPr>
              <w:t>营业执照或事业单位法人证书或执业许可证等证明文件复印件或自然人的身份证明复印件（自然人身份证明仅在自然人作为响应主体时适用）</w:t>
            </w:r>
          </w:p>
        </w:tc>
        <w:tc>
          <w:tcPr>
            <w:tcW w:w="1996" w:type="dxa"/>
            <w:noWrap w:val="0"/>
            <w:vAlign w:val="center"/>
          </w:tcPr>
          <w:p>
            <w:pPr>
              <w:pStyle w:val="3"/>
              <w:adjustRightInd w:val="0"/>
              <w:snapToGrid w:val="0"/>
              <w:spacing w:before="0" w:after="0" w:line="240" w:lineRule="auto"/>
              <w:rPr>
                <w:rFonts w:hint="eastAsia" w:ascii="仿宋_GB2312" w:hAnsi="仿宋_GB2312" w:eastAsia="仿宋_GB2312" w:cs="仿宋_GB2312"/>
                <w:b w:val="0"/>
                <w:color w:val="auto"/>
                <w:sz w:val="21"/>
                <w:szCs w:val="21"/>
              </w:rPr>
            </w:pPr>
            <w:bookmarkStart w:id="116" w:name="_Toc533340174"/>
            <w:bookmarkStart w:id="117" w:name="_Toc4485650"/>
            <w:r>
              <w:rPr>
                <w:rFonts w:hint="eastAsia" w:ascii="仿宋_GB2312" w:hAnsi="仿宋_GB2312" w:eastAsia="仿宋_GB2312" w:cs="仿宋_GB2312"/>
                <w:b w:val="0"/>
                <w:color w:val="auto"/>
                <w:sz w:val="21"/>
                <w:szCs w:val="21"/>
              </w:rPr>
              <w:t>1.按要求提供</w:t>
            </w:r>
            <w:bookmarkEnd w:id="116"/>
            <w:bookmarkEnd w:id="117"/>
          </w:p>
          <w:p>
            <w:pPr>
              <w:pStyle w:val="3"/>
              <w:adjustRightInd w:val="0"/>
              <w:snapToGrid w:val="0"/>
              <w:spacing w:before="0" w:after="0" w:line="240" w:lineRule="auto"/>
              <w:rPr>
                <w:rFonts w:hint="eastAsia" w:ascii="仿宋_GB2312" w:hAnsi="仿宋_GB2312" w:eastAsia="仿宋_GB2312" w:cs="仿宋_GB2312"/>
                <w:b w:val="0"/>
                <w:color w:val="auto"/>
                <w:sz w:val="21"/>
                <w:szCs w:val="21"/>
              </w:rPr>
            </w:pPr>
            <w:bookmarkStart w:id="118" w:name="_Toc533340175"/>
            <w:bookmarkStart w:id="119" w:name="_Toc4485651"/>
            <w:r>
              <w:rPr>
                <w:rFonts w:hint="eastAsia" w:ascii="仿宋_GB2312" w:hAnsi="仿宋_GB2312" w:eastAsia="仿宋_GB2312" w:cs="仿宋_GB2312"/>
                <w:b w:val="0"/>
                <w:color w:val="auto"/>
                <w:sz w:val="21"/>
                <w:szCs w:val="21"/>
              </w:rPr>
              <w:t>2.合法有效</w:t>
            </w:r>
            <w:bookmarkEnd w:id="118"/>
            <w:bookmarkEnd w:id="119"/>
          </w:p>
        </w:tc>
        <w:tc>
          <w:tcPr>
            <w:tcW w:w="759" w:type="dxa"/>
            <w:noWrap w:val="0"/>
            <w:vAlign w:val="center"/>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759" w:type="dxa"/>
            <w:noWrap w:val="0"/>
            <w:vAlign w:val="center"/>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760" w:type="dxa"/>
            <w:noWrap w:val="0"/>
            <w:vAlign w:val="center"/>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14" w:type="dxa"/>
            <w:noWrap w:val="0"/>
            <w:vAlign w:val="center"/>
          </w:tcPr>
          <w:p>
            <w:pPr>
              <w:widowControl/>
              <w:snapToGrid w:val="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2</w:t>
            </w:r>
          </w:p>
        </w:tc>
        <w:tc>
          <w:tcPr>
            <w:tcW w:w="3472" w:type="dxa"/>
            <w:noWrap w:val="0"/>
            <w:vAlign w:val="center"/>
          </w:tcPr>
          <w:p>
            <w:pPr>
              <w:snapToGrid w:val="0"/>
              <w:rPr>
                <w:rFonts w:hint="eastAsia" w:ascii="仿宋_GB2312" w:hAnsi="仿宋_GB2312" w:eastAsia="仿宋_GB2312" w:cs="仿宋_GB2312"/>
                <w:color w:val="auto"/>
              </w:rPr>
            </w:pPr>
            <w:r>
              <w:rPr>
                <w:rFonts w:hint="eastAsia" w:ascii="仿宋_GB2312" w:hAnsi="仿宋_GB2312" w:eastAsia="仿宋_GB2312" w:cs="仿宋_GB2312"/>
                <w:color w:val="auto"/>
              </w:rPr>
              <w:t>组织机构代码证复印件（三证合一的不需提供）</w:t>
            </w:r>
          </w:p>
        </w:tc>
        <w:tc>
          <w:tcPr>
            <w:tcW w:w="1996" w:type="dxa"/>
            <w:noWrap w:val="0"/>
            <w:vAlign w:val="center"/>
          </w:tcPr>
          <w:p>
            <w:pPr>
              <w:pStyle w:val="3"/>
              <w:adjustRightInd w:val="0"/>
              <w:snapToGrid w:val="0"/>
              <w:spacing w:before="0" w:after="0" w:line="240" w:lineRule="auto"/>
              <w:rPr>
                <w:rFonts w:hint="eastAsia" w:ascii="仿宋_GB2312" w:hAnsi="仿宋_GB2312" w:eastAsia="仿宋_GB2312" w:cs="仿宋_GB2312"/>
                <w:b w:val="0"/>
                <w:color w:val="auto"/>
                <w:sz w:val="21"/>
                <w:szCs w:val="21"/>
              </w:rPr>
            </w:pPr>
            <w:bookmarkStart w:id="120" w:name="_Toc533340176"/>
            <w:bookmarkStart w:id="121" w:name="_Toc4485652"/>
            <w:r>
              <w:rPr>
                <w:rFonts w:hint="eastAsia" w:ascii="仿宋_GB2312" w:hAnsi="仿宋_GB2312" w:eastAsia="仿宋_GB2312" w:cs="仿宋_GB2312"/>
                <w:b w:val="0"/>
                <w:color w:val="auto"/>
                <w:sz w:val="21"/>
                <w:szCs w:val="21"/>
              </w:rPr>
              <w:t>1.按要求提供</w:t>
            </w:r>
            <w:bookmarkEnd w:id="120"/>
            <w:bookmarkEnd w:id="121"/>
          </w:p>
          <w:p>
            <w:pPr>
              <w:pStyle w:val="3"/>
              <w:adjustRightInd w:val="0"/>
              <w:snapToGrid w:val="0"/>
              <w:spacing w:before="0" w:after="0" w:line="240" w:lineRule="auto"/>
              <w:rPr>
                <w:rFonts w:hint="eastAsia" w:ascii="仿宋_GB2312" w:hAnsi="仿宋_GB2312" w:eastAsia="仿宋_GB2312" w:cs="仿宋_GB2312"/>
                <w:b w:val="0"/>
                <w:color w:val="auto"/>
                <w:sz w:val="21"/>
                <w:szCs w:val="21"/>
              </w:rPr>
            </w:pPr>
            <w:bookmarkStart w:id="122" w:name="_Toc4485653"/>
            <w:bookmarkStart w:id="123" w:name="_Toc533340177"/>
            <w:r>
              <w:rPr>
                <w:rFonts w:hint="eastAsia" w:ascii="仿宋_GB2312" w:hAnsi="仿宋_GB2312" w:eastAsia="仿宋_GB2312" w:cs="仿宋_GB2312"/>
                <w:b w:val="0"/>
                <w:color w:val="auto"/>
                <w:sz w:val="21"/>
                <w:szCs w:val="21"/>
              </w:rPr>
              <w:t>2.合法有效</w:t>
            </w:r>
            <w:bookmarkEnd w:id="122"/>
            <w:bookmarkEnd w:id="123"/>
          </w:p>
        </w:tc>
        <w:tc>
          <w:tcPr>
            <w:tcW w:w="759"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759"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760"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714" w:type="dxa"/>
            <w:noWrap w:val="0"/>
            <w:vAlign w:val="center"/>
          </w:tcPr>
          <w:p>
            <w:pPr>
              <w:widowControl/>
              <w:snapToGrid w:val="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3</w:t>
            </w:r>
          </w:p>
        </w:tc>
        <w:tc>
          <w:tcPr>
            <w:tcW w:w="3472" w:type="dxa"/>
            <w:noWrap w:val="0"/>
            <w:vAlign w:val="center"/>
          </w:tcPr>
          <w:p>
            <w:pPr>
              <w:snapToGrid w:val="0"/>
              <w:rPr>
                <w:rFonts w:hint="eastAsia" w:ascii="仿宋_GB2312" w:hAnsi="仿宋_GB2312" w:eastAsia="仿宋_GB2312" w:cs="仿宋_GB2312"/>
                <w:color w:val="auto"/>
              </w:rPr>
            </w:pPr>
            <w:r>
              <w:rPr>
                <w:rFonts w:hint="eastAsia" w:ascii="仿宋_GB2312" w:hAnsi="仿宋_GB2312" w:eastAsia="仿宋_GB2312" w:cs="仿宋_GB2312"/>
                <w:color w:val="auto"/>
              </w:rPr>
              <w:t>税务登记证复印件（三证合一的不需提供）</w:t>
            </w:r>
          </w:p>
        </w:tc>
        <w:tc>
          <w:tcPr>
            <w:tcW w:w="1996" w:type="dxa"/>
            <w:noWrap w:val="0"/>
            <w:vAlign w:val="center"/>
          </w:tcPr>
          <w:p>
            <w:pPr>
              <w:pStyle w:val="3"/>
              <w:adjustRightInd w:val="0"/>
              <w:snapToGrid w:val="0"/>
              <w:spacing w:before="0" w:after="0" w:line="240" w:lineRule="auto"/>
              <w:rPr>
                <w:rFonts w:hint="eastAsia" w:ascii="仿宋_GB2312" w:hAnsi="仿宋_GB2312" w:eastAsia="仿宋_GB2312" w:cs="仿宋_GB2312"/>
                <w:b w:val="0"/>
                <w:color w:val="auto"/>
                <w:sz w:val="21"/>
                <w:szCs w:val="21"/>
              </w:rPr>
            </w:pPr>
            <w:bookmarkStart w:id="124" w:name="_Toc533340178"/>
            <w:bookmarkStart w:id="125" w:name="_Toc4485654"/>
            <w:r>
              <w:rPr>
                <w:rFonts w:hint="eastAsia" w:ascii="仿宋_GB2312" w:hAnsi="仿宋_GB2312" w:eastAsia="仿宋_GB2312" w:cs="仿宋_GB2312"/>
                <w:b w:val="0"/>
                <w:color w:val="auto"/>
                <w:sz w:val="21"/>
                <w:szCs w:val="21"/>
              </w:rPr>
              <w:t>1.按要求提供</w:t>
            </w:r>
            <w:bookmarkEnd w:id="124"/>
            <w:bookmarkEnd w:id="125"/>
          </w:p>
          <w:p>
            <w:pPr>
              <w:pStyle w:val="3"/>
              <w:adjustRightInd w:val="0"/>
              <w:snapToGrid w:val="0"/>
              <w:spacing w:before="0" w:after="0" w:line="240" w:lineRule="auto"/>
              <w:rPr>
                <w:rFonts w:hint="eastAsia" w:ascii="仿宋_GB2312" w:hAnsi="仿宋_GB2312" w:eastAsia="仿宋_GB2312" w:cs="仿宋_GB2312"/>
                <w:b w:val="0"/>
                <w:color w:val="auto"/>
                <w:sz w:val="21"/>
                <w:szCs w:val="21"/>
              </w:rPr>
            </w:pPr>
            <w:bookmarkStart w:id="126" w:name="_Toc533340179"/>
            <w:bookmarkStart w:id="127" w:name="_Toc4485655"/>
            <w:r>
              <w:rPr>
                <w:rFonts w:hint="eastAsia" w:ascii="仿宋_GB2312" w:hAnsi="仿宋_GB2312" w:eastAsia="仿宋_GB2312" w:cs="仿宋_GB2312"/>
                <w:b w:val="0"/>
                <w:color w:val="auto"/>
                <w:sz w:val="21"/>
                <w:szCs w:val="21"/>
              </w:rPr>
              <w:t>2.合法有效</w:t>
            </w:r>
            <w:bookmarkEnd w:id="126"/>
            <w:bookmarkEnd w:id="127"/>
          </w:p>
        </w:tc>
        <w:tc>
          <w:tcPr>
            <w:tcW w:w="759"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759"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760"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714" w:type="dxa"/>
            <w:noWrap w:val="0"/>
            <w:vAlign w:val="center"/>
          </w:tcPr>
          <w:p>
            <w:pPr>
              <w:widowControl/>
              <w:snapToGrid w:val="0"/>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4</w:t>
            </w:r>
          </w:p>
        </w:tc>
        <w:tc>
          <w:tcPr>
            <w:tcW w:w="3472" w:type="dxa"/>
            <w:noWrap w:val="0"/>
            <w:vAlign w:val="center"/>
          </w:tcPr>
          <w:p>
            <w:pPr>
              <w:snapToGrid w:val="0"/>
              <w:rPr>
                <w:rFonts w:hint="eastAsia" w:ascii="仿宋_GB2312" w:hAnsi="仿宋_GB2312" w:eastAsia="仿宋_GB2312" w:cs="仿宋_GB2312"/>
                <w:color w:val="auto"/>
              </w:rPr>
            </w:pPr>
            <w:r>
              <w:rPr>
                <w:rFonts w:hint="eastAsia" w:ascii="仿宋_GB2312" w:hAnsi="仿宋_GB2312" w:eastAsia="仿宋_GB2312" w:cs="仿宋_GB2312"/>
                <w:color w:val="auto"/>
              </w:rPr>
              <w:t>法定代表人（或非法人组织负责人）身份证明书（自然人参加磋商的无需提供）</w:t>
            </w:r>
          </w:p>
        </w:tc>
        <w:tc>
          <w:tcPr>
            <w:tcW w:w="1996" w:type="dxa"/>
            <w:noWrap w:val="0"/>
            <w:vAlign w:val="center"/>
          </w:tcPr>
          <w:p>
            <w:pPr>
              <w:pStyle w:val="3"/>
              <w:adjustRightInd w:val="0"/>
              <w:snapToGrid w:val="0"/>
              <w:spacing w:before="0" w:after="0" w:line="240" w:lineRule="auto"/>
              <w:rPr>
                <w:rFonts w:hint="eastAsia" w:ascii="仿宋_GB2312" w:hAnsi="仿宋_GB2312" w:eastAsia="仿宋_GB2312" w:cs="仿宋_GB2312"/>
                <w:b w:val="0"/>
                <w:color w:val="auto"/>
                <w:sz w:val="21"/>
                <w:szCs w:val="21"/>
              </w:rPr>
            </w:pPr>
            <w:bookmarkStart w:id="128" w:name="_Toc533340180"/>
            <w:bookmarkStart w:id="129" w:name="_Toc4485656"/>
            <w:r>
              <w:rPr>
                <w:rFonts w:hint="eastAsia" w:ascii="仿宋_GB2312" w:hAnsi="仿宋_GB2312" w:eastAsia="仿宋_GB2312" w:cs="仿宋_GB2312"/>
                <w:b w:val="0"/>
                <w:color w:val="auto"/>
                <w:sz w:val="21"/>
                <w:szCs w:val="21"/>
              </w:rPr>
              <w:t>1.按给定格式填写</w:t>
            </w:r>
            <w:bookmarkEnd w:id="128"/>
            <w:bookmarkEnd w:id="129"/>
          </w:p>
          <w:p>
            <w:pPr>
              <w:pStyle w:val="3"/>
              <w:adjustRightInd w:val="0"/>
              <w:snapToGrid w:val="0"/>
              <w:spacing w:before="0" w:after="0" w:line="240" w:lineRule="auto"/>
              <w:rPr>
                <w:rFonts w:hint="eastAsia" w:ascii="仿宋_GB2312" w:hAnsi="仿宋_GB2312" w:eastAsia="仿宋_GB2312" w:cs="仿宋_GB2312"/>
                <w:b w:val="0"/>
                <w:color w:val="auto"/>
                <w:sz w:val="21"/>
                <w:szCs w:val="21"/>
              </w:rPr>
            </w:pPr>
            <w:bookmarkStart w:id="130" w:name="_Toc4485657"/>
            <w:bookmarkStart w:id="131" w:name="_Toc533340181"/>
            <w:r>
              <w:rPr>
                <w:rFonts w:hint="eastAsia" w:ascii="仿宋_GB2312" w:hAnsi="仿宋_GB2312" w:eastAsia="仿宋_GB2312" w:cs="仿宋_GB2312"/>
                <w:b w:val="0"/>
                <w:color w:val="auto"/>
                <w:sz w:val="21"/>
                <w:szCs w:val="21"/>
              </w:rPr>
              <w:t>2.按规定签章</w:t>
            </w:r>
            <w:bookmarkEnd w:id="130"/>
            <w:bookmarkEnd w:id="131"/>
          </w:p>
        </w:tc>
        <w:tc>
          <w:tcPr>
            <w:tcW w:w="759"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759"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760"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714" w:type="dxa"/>
            <w:noWrap w:val="0"/>
            <w:vAlign w:val="center"/>
          </w:tcPr>
          <w:p>
            <w:pPr>
              <w:widowControl/>
              <w:snapToGrid w:val="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5</w:t>
            </w:r>
          </w:p>
        </w:tc>
        <w:tc>
          <w:tcPr>
            <w:tcW w:w="3472" w:type="dxa"/>
            <w:noWrap w:val="0"/>
            <w:vAlign w:val="center"/>
          </w:tcPr>
          <w:p>
            <w:pPr>
              <w:snapToGrid w:val="0"/>
              <w:rPr>
                <w:rFonts w:hint="eastAsia" w:ascii="仿宋_GB2312" w:hAnsi="仿宋_GB2312" w:eastAsia="仿宋_GB2312" w:cs="仿宋_GB2312"/>
                <w:color w:val="auto"/>
              </w:rPr>
            </w:pPr>
            <w:r>
              <w:rPr>
                <w:rFonts w:hint="eastAsia" w:ascii="仿宋_GB2312" w:hAnsi="仿宋_GB2312" w:eastAsia="仿宋_GB2312" w:cs="仿宋_GB2312"/>
                <w:color w:val="auto"/>
              </w:rPr>
              <w:t>法定代表人（或非法人组织负责人）授权委托书（授权委托人参加磋商的须提供）</w:t>
            </w:r>
          </w:p>
        </w:tc>
        <w:tc>
          <w:tcPr>
            <w:tcW w:w="1996" w:type="dxa"/>
            <w:noWrap w:val="0"/>
            <w:vAlign w:val="center"/>
          </w:tcPr>
          <w:p>
            <w:pPr>
              <w:pStyle w:val="3"/>
              <w:adjustRightInd w:val="0"/>
              <w:snapToGrid w:val="0"/>
              <w:spacing w:before="0" w:after="0" w:line="240" w:lineRule="auto"/>
              <w:rPr>
                <w:rFonts w:hint="eastAsia" w:ascii="仿宋_GB2312" w:hAnsi="仿宋_GB2312" w:eastAsia="仿宋_GB2312" w:cs="仿宋_GB2312"/>
                <w:b w:val="0"/>
                <w:color w:val="auto"/>
                <w:sz w:val="21"/>
                <w:szCs w:val="21"/>
              </w:rPr>
            </w:pPr>
            <w:bookmarkStart w:id="132" w:name="_Toc4485658"/>
            <w:bookmarkStart w:id="133" w:name="_Toc533340182"/>
            <w:r>
              <w:rPr>
                <w:rFonts w:hint="eastAsia" w:ascii="仿宋_GB2312" w:hAnsi="仿宋_GB2312" w:eastAsia="仿宋_GB2312" w:cs="仿宋_GB2312"/>
                <w:b w:val="0"/>
                <w:color w:val="auto"/>
                <w:sz w:val="21"/>
                <w:szCs w:val="21"/>
              </w:rPr>
              <w:t>1.按给定格式填写</w:t>
            </w:r>
            <w:bookmarkEnd w:id="132"/>
            <w:bookmarkEnd w:id="133"/>
          </w:p>
          <w:p>
            <w:pPr>
              <w:pStyle w:val="3"/>
              <w:adjustRightInd w:val="0"/>
              <w:snapToGrid w:val="0"/>
              <w:spacing w:before="0" w:after="0" w:line="240" w:lineRule="auto"/>
              <w:rPr>
                <w:rFonts w:hint="eastAsia" w:ascii="仿宋_GB2312" w:hAnsi="仿宋_GB2312" w:eastAsia="仿宋_GB2312" w:cs="仿宋_GB2312"/>
                <w:b w:val="0"/>
                <w:color w:val="auto"/>
                <w:sz w:val="21"/>
                <w:szCs w:val="21"/>
              </w:rPr>
            </w:pPr>
            <w:bookmarkStart w:id="134" w:name="_Toc4485659"/>
            <w:bookmarkStart w:id="135" w:name="_Toc533340183"/>
            <w:r>
              <w:rPr>
                <w:rFonts w:hint="eastAsia" w:ascii="仿宋_GB2312" w:hAnsi="仿宋_GB2312" w:eastAsia="仿宋_GB2312" w:cs="仿宋_GB2312"/>
                <w:b w:val="0"/>
                <w:color w:val="auto"/>
                <w:sz w:val="21"/>
                <w:szCs w:val="21"/>
              </w:rPr>
              <w:t>2.按规定签章</w:t>
            </w:r>
            <w:bookmarkEnd w:id="134"/>
            <w:bookmarkEnd w:id="135"/>
          </w:p>
        </w:tc>
        <w:tc>
          <w:tcPr>
            <w:tcW w:w="759"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759"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760"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14" w:type="dxa"/>
            <w:noWrap w:val="0"/>
            <w:vAlign w:val="center"/>
          </w:tcPr>
          <w:p>
            <w:pPr>
              <w:widowControl/>
              <w:snapToGrid w:val="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6</w:t>
            </w:r>
          </w:p>
        </w:tc>
        <w:tc>
          <w:tcPr>
            <w:tcW w:w="3472" w:type="dxa"/>
            <w:noWrap w:val="0"/>
            <w:vAlign w:val="center"/>
          </w:tcPr>
          <w:p>
            <w:pPr>
              <w:snapToGrid w:val="0"/>
              <w:rPr>
                <w:rFonts w:hint="eastAsia" w:ascii="仿宋_GB2312" w:hAnsi="仿宋_GB2312" w:eastAsia="仿宋_GB2312" w:cs="仿宋_GB2312"/>
                <w:color w:val="auto"/>
              </w:rPr>
            </w:pPr>
            <w:r>
              <w:rPr>
                <w:rFonts w:hint="eastAsia" w:ascii="仿宋_GB2312" w:hAnsi="仿宋_GB2312" w:eastAsia="仿宋_GB2312" w:cs="仿宋_GB2312"/>
                <w:color w:val="auto"/>
              </w:rPr>
              <w:t>具有良好的商业信誉和健全的财务会计制度的承诺函</w:t>
            </w:r>
          </w:p>
        </w:tc>
        <w:tc>
          <w:tcPr>
            <w:tcW w:w="1996" w:type="dxa"/>
            <w:noWrap w:val="0"/>
            <w:vAlign w:val="center"/>
          </w:tcPr>
          <w:p>
            <w:pPr>
              <w:pStyle w:val="3"/>
              <w:adjustRightInd w:val="0"/>
              <w:snapToGrid w:val="0"/>
              <w:spacing w:before="0" w:after="0" w:line="240" w:lineRule="auto"/>
              <w:rPr>
                <w:rFonts w:hint="eastAsia" w:ascii="仿宋_GB2312" w:hAnsi="仿宋_GB2312" w:eastAsia="仿宋_GB2312" w:cs="仿宋_GB2312"/>
                <w:b w:val="0"/>
                <w:color w:val="auto"/>
                <w:sz w:val="21"/>
                <w:szCs w:val="21"/>
              </w:rPr>
            </w:pPr>
            <w:r>
              <w:rPr>
                <w:rFonts w:hint="eastAsia" w:ascii="仿宋_GB2312" w:hAnsi="仿宋_GB2312" w:eastAsia="仿宋_GB2312" w:cs="仿宋_GB2312"/>
                <w:b w:val="0"/>
                <w:color w:val="auto"/>
                <w:sz w:val="21"/>
                <w:szCs w:val="21"/>
              </w:rPr>
              <w:t>1.信息完整</w:t>
            </w:r>
          </w:p>
          <w:p>
            <w:pPr>
              <w:pStyle w:val="3"/>
              <w:adjustRightInd w:val="0"/>
              <w:snapToGrid w:val="0"/>
              <w:spacing w:before="0" w:after="0" w:line="240" w:lineRule="auto"/>
              <w:rPr>
                <w:rFonts w:hint="eastAsia" w:ascii="仿宋_GB2312" w:hAnsi="仿宋_GB2312" w:eastAsia="仿宋_GB2312" w:cs="仿宋_GB2312"/>
                <w:b w:val="0"/>
                <w:color w:val="auto"/>
                <w:sz w:val="21"/>
                <w:szCs w:val="21"/>
              </w:rPr>
            </w:pPr>
            <w:r>
              <w:rPr>
                <w:rFonts w:hint="eastAsia" w:ascii="仿宋_GB2312" w:hAnsi="仿宋_GB2312" w:eastAsia="仿宋_GB2312" w:cs="仿宋_GB2312"/>
                <w:b w:val="0"/>
                <w:color w:val="auto"/>
                <w:sz w:val="21"/>
                <w:szCs w:val="21"/>
              </w:rPr>
              <w:t>2.按规定签章</w:t>
            </w:r>
          </w:p>
        </w:tc>
        <w:tc>
          <w:tcPr>
            <w:tcW w:w="759"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759"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760"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714" w:type="dxa"/>
            <w:noWrap w:val="0"/>
            <w:vAlign w:val="center"/>
          </w:tcPr>
          <w:p>
            <w:pPr>
              <w:snapToGrid w:val="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7</w:t>
            </w:r>
          </w:p>
        </w:tc>
        <w:tc>
          <w:tcPr>
            <w:tcW w:w="3472" w:type="dxa"/>
            <w:noWrap w:val="0"/>
            <w:vAlign w:val="center"/>
          </w:tcPr>
          <w:p>
            <w:pPr>
              <w:snapToGrid w:val="0"/>
              <w:rPr>
                <w:rFonts w:hint="eastAsia" w:ascii="仿宋_GB2312" w:hAnsi="仿宋_GB2312" w:eastAsia="仿宋_GB2312" w:cs="仿宋_GB2312"/>
                <w:color w:val="auto"/>
              </w:rPr>
            </w:pPr>
            <w:r>
              <w:rPr>
                <w:rFonts w:hint="eastAsia" w:ascii="仿宋_GB2312" w:hAnsi="仿宋_GB2312" w:eastAsia="仿宋_GB2312" w:cs="仿宋_GB2312"/>
                <w:color w:val="auto"/>
              </w:rPr>
              <w:t>磋商会议时间前六个月内任一个月的依法缴纳税收的缴款凭据复印件</w:t>
            </w:r>
          </w:p>
          <w:p>
            <w:pPr>
              <w:snapToGrid w:val="0"/>
              <w:rPr>
                <w:rFonts w:hint="eastAsia" w:ascii="仿宋_GB2312" w:hAnsi="仿宋_GB2312" w:eastAsia="仿宋_GB2312" w:cs="仿宋_GB2312"/>
                <w:color w:val="auto"/>
              </w:rPr>
            </w:pPr>
            <w:r>
              <w:rPr>
                <w:rFonts w:hint="eastAsia" w:ascii="仿宋_GB2312" w:hAnsi="仿宋_GB2312" w:eastAsia="仿宋_GB2312" w:cs="仿宋_GB2312"/>
                <w:color w:val="auto"/>
              </w:rPr>
              <w:t>（注：依法免税的供应商，应提供相关证明材料，包括相关法规要求原文及加盖公章的情况说明）</w:t>
            </w:r>
          </w:p>
        </w:tc>
        <w:tc>
          <w:tcPr>
            <w:tcW w:w="1996" w:type="dxa"/>
            <w:noWrap w:val="0"/>
            <w:vAlign w:val="center"/>
          </w:tcPr>
          <w:p>
            <w:pPr>
              <w:pStyle w:val="3"/>
              <w:adjustRightInd w:val="0"/>
              <w:snapToGrid w:val="0"/>
              <w:spacing w:before="0" w:after="0" w:line="240" w:lineRule="auto"/>
              <w:rPr>
                <w:rFonts w:hint="eastAsia" w:ascii="仿宋_GB2312" w:hAnsi="仿宋_GB2312" w:eastAsia="仿宋_GB2312" w:cs="仿宋_GB2312"/>
                <w:b w:val="0"/>
                <w:color w:val="auto"/>
                <w:sz w:val="21"/>
                <w:szCs w:val="21"/>
              </w:rPr>
            </w:pPr>
            <w:bookmarkStart w:id="136" w:name="_Toc533340186"/>
            <w:bookmarkStart w:id="137" w:name="_Toc4485662"/>
            <w:r>
              <w:rPr>
                <w:rFonts w:hint="eastAsia" w:ascii="仿宋_GB2312" w:hAnsi="仿宋_GB2312" w:eastAsia="仿宋_GB2312" w:cs="仿宋_GB2312"/>
                <w:b w:val="0"/>
                <w:color w:val="auto"/>
                <w:sz w:val="21"/>
                <w:szCs w:val="21"/>
              </w:rPr>
              <w:t>1.按要求提供</w:t>
            </w:r>
            <w:bookmarkEnd w:id="136"/>
            <w:bookmarkEnd w:id="137"/>
          </w:p>
          <w:p>
            <w:pPr>
              <w:pStyle w:val="3"/>
              <w:adjustRightInd w:val="0"/>
              <w:snapToGrid w:val="0"/>
              <w:spacing w:before="0" w:after="0" w:line="240" w:lineRule="auto"/>
              <w:rPr>
                <w:rFonts w:hint="eastAsia" w:ascii="仿宋_GB2312" w:hAnsi="仿宋_GB2312" w:eastAsia="仿宋_GB2312" w:cs="仿宋_GB2312"/>
                <w:b w:val="0"/>
                <w:color w:val="auto"/>
                <w:sz w:val="21"/>
                <w:szCs w:val="21"/>
              </w:rPr>
            </w:pPr>
            <w:bookmarkStart w:id="138" w:name="_Toc533340187"/>
            <w:bookmarkStart w:id="139" w:name="_Toc4485663"/>
            <w:r>
              <w:rPr>
                <w:rFonts w:hint="eastAsia" w:ascii="仿宋_GB2312" w:hAnsi="仿宋_GB2312" w:eastAsia="仿宋_GB2312" w:cs="仿宋_GB2312"/>
                <w:b w:val="0"/>
                <w:color w:val="auto"/>
                <w:sz w:val="21"/>
                <w:szCs w:val="21"/>
              </w:rPr>
              <w:t>2.合法有效</w:t>
            </w:r>
            <w:bookmarkEnd w:id="138"/>
            <w:bookmarkEnd w:id="139"/>
          </w:p>
        </w:tc>
        <w:tc>
          <w:tcPr>
            <w:tcW w:w="759"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759"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760"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714" w:type="dxa"/>
            <w:noWrap w:val="0"/>
            <w:vAlign w:val="center"/>
          </w:tcPr>
          <w:p>
            <w:pPr>
              <w:snapToGrid w:val="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8</w:t>
            </w:r>
          </w:p>
        </w:tc>
        <w:tc>
          <w:tcPr>
            <w:tcW w:w="3472" w:type="dxa"/>
            <w:noWrap w:val="0"/>
            <w:vAlign w:val="center"/>
          </w:tcPr>
          <w:p>
            <w:pPr>
              <w:snapToGrid w:val="0"/>
              <w:rPr>
                <w:rFonts w:hint="eastAsia" w:ascii="仿宋_GB2312" w:hAnsi="仿宋_GB2312" w:eastAsia="仿宋_GB2312" w:cs="仿宋_GB2312"/>
                <w:color w:val="auto"/>
              </w:rPr>
            </w:pPr>
            <w:r>
              <w:rPr>
                <w:rFonts w:hint="eastAsia" w:ascii="仿宋_GB2312" w:hAnsi="仿宋_GB2312" w:eastAsia="仿宋_GB2312" w:cs="仿宋_GB2312"/>
                <w:color w:val="auto"/>
              </w:rPr>
              <w:t>磋商会议时间前六个月内任一个月的依法缴纳社会保障资金的缴款凭据复印件</w:t>
            </w:r>
          </w:p>
          <w:p>
            <w:pPr>
              <w:snapToGrid w:val="0"/>
              <w:rPr>
                <w:rFonts w:hint="eastAsia" w:ascii="仿宋_GB2312" w:hAnsi="仿宋_GB2312" w:eastAsia="仿宋_GB2312" w:cs="仿宋_GB2312"/>
                <w:color w:val="auto"/>
              </w:rPr>
            </w:pPr>
            <w:r>
              <w:rPr>
                <w:rFonts w:hint="eastAsia" w:ascii="仿宋_GB2312" w:hAnsi="仿宋_GB2312" w:eastAsia="仿宋_GB2312" w:cs="仿宋_GB2312"/>
                <w:color w:val="auto"/>
              </w:rPr>
              <w:t>（注：依法不需要缴纳社会保障资金的供应商，应提供相关证明材料，包括相关法规要求原文及加盖公章的情况说明）</w:t>
            </w:r>
          </w:p>
        </w:tc>
        <w:tc>
          <w:tcPr>
            <w:tcW w:w="1996" w:type="dxa"/>
            <w:noWrap w:val="0"/>
            <w:vAlign w:val="center"/>
          </w:tcPr>
          <w:p>
            <w:pPr>
              <w:pStyle w:val="3"/>
              <w:adjustRightInd w:val="0"/>
              <w:snapToGrid w:val="0"/>
              <w:spacing w:before="0" w:after="0" w:line="240" w:lineRule="auto"/>
              <w:rPr>
                <w:rFonts w:hint="eastAsia" w:ascii="仿宋_GB2312" w:hAnsi="仿宋_GB2312" w:eastAsia="仿宋_GB2312" w:cs="仿宋_GB2312"/>
                <w:b w:val="0"/>
                <w:color w:val="auto"/>
                <w:sz w:val="21"/>
                <w:szCs w:val="21"/>
              </w:rPr>
            </w:pPr>
            <w:bookmarkStart w:id="140" w:name="_Toc533340188"/>
            <w:bookmarkStart w:id="141" w:name="_Toc4485664"/>
            <w:r>
              <w:rPr>
                <w:rFonts w:hint="eastAsia" w:ascii="仿宋_GB2312" w:hAnsi="仿宋_GB2312" w:eastAsia="仿宋_GB2312" w:cs="仿宋_GB2312"/>
                <w:b w:val="0"/>
                <w:color w:val="auto"/>
                <w:sz w:val="21"/>
                <w:szCs w:val="21"/>
              </w:rPr>
              <w:t>1.按要求提供</w:t>
            </w:r>
            <w:bookmarkEnd w:id="140"/>
            <w:bookmarkEnd w:id="141"/>
          </w:p>
          <w:p>
            <w:pPr>
              <w:pStyle w:val="3"/>
              <w:adjustRightInd w:val="0"/>
              <w:snapToGrid w:val="0"/>
              <w:spacing w:before="0" w:after="0" w:line="240" w:lineRule="auto"/>
              <w:rPr>
                <w:rFonts w:hint="eastAsia" w:ascii="仿宋_GB2312" w:hAnsi="仿宋_GB2312" w:eastAsia="仿宋_GB2312" w:cs="仿宋_GB2312"/>
                <w:b w:val="0"/>
                <w:color w:val="auto"/>
                <w:sz w:val="21"/>
                <w:szCs w:val="21"/>
              </w:rPr>
            </w:pPr>
            <w:bookmarkStart w:id="142" w:name="_Toc533340189"/>
            <w:bookmarkStart w:id="143" w:name="_Toc4485665"/>
            <w:r>
              <w:rPr>
                <w:rFonts w:hint="eastAsia" w:ascii="仿宋_GB2312" w:hAnsi="仿宋_GB2312" w:eastAsia="仿宋_GB2312" w:cs="仿宋_GB2312"/>
                <w:b w:val="0"/>
                <w:color w:val="auto"/>
                <w:sz w:val="21"/>
                <w:szCs w:val="21"/>
              </w:rPr>
              <w:t>2.合法有效</w:t>
            </w:r>
            <w:bookmarkEnd w:id="142"/>
            <w:bookmarkEnd w:id="143"/>
          </w:p>
        </w:tc>
        <w:tc>
          <w:tcPr>
            <w:tcW w:w="759"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759"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760"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714" w:type="dxa"/>
            <w:noWrap w:val="0"/>
            <w:vAlign w:val="center"/>
          </w:tcPr>
          <w:p>
            <w:pPr>
              <w:snapToGrid w:val="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9</w:t>
            </w:r>
          </w:p>
        </w:tc>
        <w:tc>
          <w:tcPr>
            <w:tcW w:w="3472" w:type="dxa"/>
            <w:noWrap w:val="0"/>
            <w:vAlign w:val="center"/>
          </w:tcPr>
          <w:p>
            <w:pPr>
              <w:snapToGrid w:val="0"/>
              <w:rPr>
                <w:rFonts w:hint="eastAsia" w:ascii="仿宋_GB2312" w:hAnsi="仿宋_GB2312" w:eastAsia="仿宋_GB2312" w:cs="仿宋_GB2312"/>
                <w:color w:val="auto"/>
              </w:rPr>
            </w:pPr>
            <w:r>
              <w:rPr>
                <w:rFonts w:hint="eastAsia" w:ascii="仿宋_GB2312" w:hAnsi="仿宋_GB2312" w:eastAsia="仿宋_GB2312" w:cs="仿宋_GB2312"/>
                <w:color w:val="auto"/>
              </w:rPr>
              <w:t>具备履行合同所必需的设备和专业技术能力声明函</w:t>
            </w:r>
          </w:p>
        </w:tc>
        <w:tc>
          <w:tcPr>
            <w:tcW w:w="1996" w:type="dxa"/>
            <w:noWrap w:val="0"/>
            <w:vAlign w:val="center"/>
          </w:tcPr>
          <w:p>
            <w:pPr>
              <w:pStyle w:val="3"/>
              <w:adjustRightInd w:val="0"/>
              <w:snapToGrid w:val="0"/>
              <w:spacing w:before="0" w:after="0" w:line="240" w:lineRule="auto"/>
              <w:rPr>
                <w:rFonts w:hint="eastAsia" w:ascii="仿宋_GB2312" w:hAnsi="仿宋_GB2312" w:eastAsia="仿宋_GB2312" w:cs="仿宋_GB2312"/>
                <w:b w:val="0"/>
                <w:color w:val="auto"/>
                <w:sz w:val="21"/>
                <w:szCs w:val="21"/>
              </w:rPr>
            </w:pPr>
            <w:bookmarkStart w:id="144" w:name="_Toc533340190"/>
            <w:bookmarkStart w:id="145" w:name="_Toc4485666"/>
            <w:r>
              <w:rPr>
                <w:rFonts w:hint="eastAsia" w:ascii="仿宋_GB2312" w:hAnsi="仿宋_GB2312" w:eastAsia="仿宋_GB2312" w:cs="仿宋_GB2312"/>
                <w:b w:val="0"/>
                <w:color w:val="auto"/>
                <w:sz w:val="21"/>
                <w:szCs w:val="21"/>
              </w:rPr>
              <w:t>1.信息完整</w:t>
            </w:r>
            <w:bookmarkEnd w:id="144"/>
            <w:bookmarkEnd w:id="145"/>
          </w:p>
          <w:p>
            <w:pPr>
              <w:pStyle w:val="3"/>
              <w:adjustRightInd w:val="0"/>
              <w:snapToGrid w:val="0"/>
              <w:spacing w:before="0" w:after="0" w:line="240" w:lineRule="auto"/>
              <w:rPr>
                <w:rFonts w:hint="eastAsia" w:ascii="仿宋_GB2312" w:hAnsi="仿宋_GB2312" w:eastAsia="仿宋_GB2312" w:cs="仿宋_GB2312"/>
                <w:b w:val="0"/>
                <w:color w:val="auto"/>
                <w:sz w:val="21"/>
                <w:szCs w:val="21"/>
              </w:rPr>
            </w:pPr>
            <w:bookmarkStart w:id="146" w:name="_Toc533340191"/>
            <w:bookmarkStart w:id="147" w:name="_Toc4485667"/>
            <w:r>
              <w:rPr>
                <w:rFonts w:hint="eastAsia" w:ascii="仿宋_GB2312" w:hAnsi="仿宋_GB2312" w:eastAsia="仿宋_GB2312" w:cs="仿宋_GB2312"/>
                <w:b w:val="0"/>
                <w:color w:val="auto"/>
                <w:sz w:val="21"/>
                <w:szCs w:val="21"/>
              </w:rPr>
              <w:t>2.按规定签章</w:t>
            </w:r>
            <w:bookmarkEnd w:id="146"/>
            <w:bookmarkEnd w:id="147"/>
          </w:p>
        </w:tc>
        <w:tc>
          <w:tcPr>
            <w:tcW w:w="759"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759"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760"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14" w:type="dxa"/>
            <w:noWrap w:val="0"/>
            <w:vAlign w:val="center"/>
          </w:tcPr>
          <w:p>
            <w:pPr>
              <w:snapToGrid w:val="0"/>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10</w:t>
            </w:r>
          </w:p>
        </w:tc>
        <w:tc>
          <w:tcPr>
            <w:tcW w:w="3472" w:type="dxa"/>
            <w:noWrap w:val="0"/>
            <w:vAlign w:val="center"/>
          </w:tcPr>
          <w:p>
            <w:pPr>
              <w:snapToGrid w:val="0"/>
              <w:rPr>
                <w:rFonts w:hint="eastAsia" w:ascii="仿宋_GB2312" w:hAnsi="仿宋_GB2312" w:eastAsia="仿宋_GB2312" w:cs="仿宋_GB2312"/>
                <w:color w:val="auto"/>
              </w:rPr>
            </w:pPr>
            <w:r>
              <w:rPr>
                <w:rFonts w:hint="eastAsia" w:ascii="仿宋_GB2312" w:hAnsi="仿宋_GB2312" w:eastAsia="仿宋_GB2312" w:cs="仿宋_GB2312"/>
                <w:color w:val="auto"/>
              </w:rPr>
              <w:t>参加政府采购活动前3年内在经营活动中没有重大违法记录的书面声明</w:t>
            </w:r>
          </w:p>
        </w:tc>
        <w:tc>
          <w:tcPr>
            <w:tcW w:w="1996" w:type="dxa"/>
            <w:noWrap w:val="0"/>
            <w:vAlign w:val="center"/>
          </w:tcPr>
          <w:p>
            <w:pPr>
              <w:pStyle w:val="3"/>
              <w:adjustRightInd w:val="0"/>
              <w:snapToGrid w:val="0"/>
              <w:spacing w:before="0" w:after="0" w:line="240" w:lineRule="auto"/>
              <w:rPr>
                <w:rFonts w:hint="eastAsia" w:ascii="仿宋_GB2312" w:hAnsi="仿宋_GB2312" w:eastAsia="仿宋_GB2312" w:cs="仿宋_GB2312"/>
                <w:b w:val="0"/>
                <w:color w:val="auto"/>
                <w:sz w:val="21"/>
                <w:szCs w:val="21"/>
              </w:rPr>
            </w:pPr>
            <w:bookmarkStart w:id="148" w:name="_Toc533340192"/>
            <w:bookmarkStart w:id="149" w:name="_Toc4485668"/>
            <w:r>
              <w:rPr>
                <w:rFonts w:hint="eastAsia" w:ascii="仿宋_GB2312" w:hAnsi="仿宋_GB2312" w:eastAsia="仿宋_GB2312" w:cs="仿宋_GB2312"/>
                <w:b w:val="0"/>
                <w:color w:val="auto"/>
                <w:sz w:val="21"/>
                <w:szCs w:val="21"/>
              </w:rPr>
              <w:t>1.按给定格式填写</w:t>
            </w:r>
            <w:bookmarkEnd w:id="148"/>
            <w:bookmarkEnd w:id="149"/>
          </w:p>
          <w:p>
            <w:pPr>
              <w:pStyle w:val="3"/>
              <w:adjustRightInd w:val="0"/>
              <w:snapToGrid w:val="0"/>
              <w:spacing w:before="0" w:after="0" w:line="240" w:lineRule="auto"/>
              <w:rPr>
                <w:rFonts w:hint="eastAsia" w:ascii="仿宋_GB2312" w:hAnsi="仿宋_GB2312" w:eastAsia="仿宋_GB2312" w:cs="仿宋_GB2312"/>
                <w:b w:val="0"/>
                <w:color w:val="auto"/>
                <w:sz w:val="21"/>
                <w:szCs w:val="21"/>
              </w:rPr>
            </w:pPr>
            <w:bookmarkStart w:id="150" w:name="_Toc533340193"/>
            <w:bookmarkStart w:id="151" w:name="_Toc4485669"/>
            <w:r>
              <w:rPr>
                <w:rFonts w:hint="eastAsia" w:ascii="仿宋_GB2312" w:hAnsi="仿宋_GB2312" w:eastAsia="仿宋_GB2312" w:cs="仿宋_GB2312"/>
                <w:b w:val="0"/>
                <w:color w:val="auto"/>
                <w:sz w:val="21"/>
                <w:szCs w:val="21"/>
              </w:rPr>
              <w:t>2.按规定签章</w:t>
            </w:r>
            <w:bookmarkEnd w:id="150"/>
            <w:bookmarkEnd w:id="151"/>
          </w:p>
        </w:tc>
        <w:tc>
          <w:tcPr>
            <w:tcW w:w="759"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759"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760"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714" w:type="dxa"/>
            <w:noWrap w:val="0"/>
            <w:vAlign w:val="center"/>
          </w:tcPr>
          <w:p>
            <w:pPr>
              <w:snapToGrid w:val="0"/>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11</w:t>
            </w:r>
          </w:p>
        </w:tc>
        <w:tc>
          <w:tcPr>
            <w:tcW w:w="3472" w:type="dxa"/>
            <w:noWrap w:val="0"/>
            <w:vAlign w:val="center"/>
          </w:tcPr>
          <w:p>
            <w:pPr>
              <w:snapToGrid w:val="0"/>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rPr>
              <w:t>(1)</w:t>
            </w:r>
            <w:r>
              <w:rPr>
                <w:rFonts w:hint="eastAsia" w:ascii="仿宋_GB2312" w:hAnsi="仿宋_GB2312" w:eastAsia="仿宋_GB2312" w:cs="仿宋_GB2312"/>
                <w:color w:val="auto"/>
                <w:lang w:eastAsia="zh-CN"/>
              </w:rPr>
              <w:t xml:space="preserve">具有国家建设行政主管部门核发的市政公用工程施工总承包三级（含）以上资质； </w:t>
            </w:r>
          </w:p>
          <w:p>
            <w:pPr>
              <w:snapToGrid w:val="0"/>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rPr>
              <w:t>(2)</w:t>
            </w:r>
            <w:r>
              <w:rPr>
                <w:rFonts w:hint="eastAsia" w:ascii="仿宋_GB2312" w:hAnsi="仿宋_GB2312" w:eastAsia="仿宋_GB2312" w:cs="仿宋_GB2312"/>
                <w:color w:val="auto"/>
                <w:lang w:eastAsia="zh-CN"/>
              </w:rPr>
              <w:t>拟投入本项目的项目经理须具有市政公用工程专业二级（含二级）以上注册证书，并具备有效的安全生产考核合格证(B证)</w:t>
            </w:r>
            <w:r>
              <w:rPr>
                <w:rFonts w:hint="eastAsia" w:ascii="仿宋_GB2312" w:hAnsi="仿宋_GB2312" w:eastAsia="仿宋_GB2312" w:cs="仿宋_GB2312"/>
                <w:color w:val="auto"/>
              </w:rPr>
              <w:t xml:space="preserve"> </w:t>
            </w:r>
            <w:r>
              <w:rPr>
                <w:rFonts w:hint="eastAsia" w:ascii="仿宋_GB2312" w:hAnsi="仿宋_GB2312" w:eastAsia="仿宋_GB2312" w:cs="仿宋_GB2312"/>
                <w:color w:val="auto"/>
                <w:lang w:eastAsia="zh-CN"/>
              </w:rPr>
              <w:t>；</w:t>
            </w:r>
          </w:p>
          <w:p>
            <w:pPr>
              <w:snapToGrid w:val="0"/>
              <w:rPr>
                <w:rFonts w:hint="eastAsia" w:ascii="仿宋_GB2312" w:hAnsi="仿宋_GB2312" w:eastAsia="仿宋_GB2312" w:cs="仿宋_GB2312"/>
                <w:color w:val="auto"/>
              </w:rPr>
            </w:pPr>
            <w:r>
              <w:rPr>
                <w:rFonts w:hint="eastAsia" w:ascii="仿宋_GB2312" w:hAnsi="仿宋_GB2312" w:eastAsia="仿宋_GB2312" w:cs="仿宋_GB2312"/>
                <w:color w:val="auto"/>
              </w:rPr>
              <w:t>(3)具有建设行政主管部门核发的有效期内的安全生产许可证</w:t>
            </w:r>
            <w:r>
              <w:rPr>
                <w:rFonts w:hint="eastAsia" w:ascii="仿宋_GB2312" w:hAnsi="仿宋_GB2312" w:eastAsia="仿宋_GB2312" w:cs="仿宋_GB2312"/>
                <w:color w:val="auto"/>
                <w:lang w:eastAsia="zh-CN"/>
              </w:rPr>
              <w:t>。</w:t>
            </w:r>
          </w:p>
        </w:tc>
        <w:tc>
          <w:tcPr>
            <w:tcW w:w="1996" w:type="dxa"/>
            <w:noWrap w:val="0"/>
            <w:vAlign w:val="center"/>
          </w:tcPr>
          <w:p>
            <w:pPr>
              <w:pStyle w:val="3"/>
              <w:adjustRightInd w:val="0"/>
              <w:snapToGrid w:val="0"/>
              <w:spacing w:before="0" w:after="0" w:line="240" w:lineRule="auto"/>
              <w:rPr>
                <w:rFonts w:hint="eastAsia" w:ascii="仿宋_GB2312" w:hAnsi="仿宋_GB2312" w:eastAsia="仿宋_GB2312" w:cs="仿宋_GB2312"/>
                <w:b w:val="0"/>
                <w:color w:val="auto"/>
                <w:sz w:val="21"/>
                <w:szCs w:val="21"/>
              </w:rPr>
            </w:pPr>
            <w:r>
              <w:rPr>
                <w:rFonts w:hint="eastAsia" w:ascii="仿宋_GB2312" w:hAnsi="仿宋_GB2312" w:eastAsia="仿宋_GB2312" w:cs="仿宋_GB2312"/>
                <w:b w:val="0"/>
                <w:color w:val="auto"/>
                <w:sz w:val="21"/>
                <w:szCs w:val="21"/>
              </w:rPr>
              <w:t>1.按要求提供</w:t>
            </w:r>
          </w:p>
          <w:p>
            <w:pPr>
              <w:pStyle w:val="3"/>
              <w:adjustRightInd w:val="0"/>
              <w:snapToGrid w:val="0"/>
              <w:spacing w:before="0" w:after="0" w:line="240" w:lineRule="auto"/>
              <w:rPr>
                <w:rFonts w:hint="eastAsia" w:ascii="仿宋_GB2312" w:hAnsi="仿宋_GB2312" w:eastAsia="仿宋_GB2312" w:cs="仿宋_GB2312"/>
                <w:b w:val="0"/>
                <w:color w:val="auto"/>
                <w:sz w:val="21"/>
                <w:szCs w:val="21"/>
              </w:rPr>
            </w:pPr>
            <w:r>
              <w:rPr>
                <w:rFonts w:hint="eastAsia" w:ascii="仿宋_GB2312" w:hAnsi="仿宋_GB2312" w:eastAsia="仿宋_GB2312" w:cs="仿宋_GB2312"/>
                <w:b w:val="0"/>
                <w:color w:val="auto"/>
                <w:sz w:val="21"/>
                <w:szCs w:val="21"/>
              </w:rPr>
              <w:t>2.合法有效</w:t>
            </w:r>
          </w:p>
        </w:tc>
        <w:tc>
          <w:tcPr>
            <w:tcW w:w="759"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759"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760"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714" w:type="dxa"/>
            <w:noWrap w:val="0"/>
            <w:vAlign w:val="center"/>
          </w:tcPr>
          <w:p>
            <w:pPr>
              <w:snapToGrid w:val="0"/>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12</w:t>
            </w:r>
          </w:p>
        </w:tc>
        <w:tc>
          <w:tcPr>
            <w:tcW w:w="3472" w:type="dxa"/>
            <w:noWrap w:val="0"/>
            <w:vAlign w:val="center"/>
          </w:tcPr>
          <w:p>
            <w:pPr>
              <w:snapToGrid w:val="0"/>
              <w:rPr>
                <w:rFonts w:hint="eastAsia" w:ascii="仿宋_GB2312" w:hAnsi="仿宋_GB2312" w:eastAsia="仿宋_GB2312" w:cs="仿宋_GB2312"/>
                <w:color w:val="auto"/>
              </w:rPr>
            </w:pPr>
            <w:r>
              <w:rPr>
                <w:rFonts w:hint="eastAsia" w:ascii="仿宋_GB2312" w:hAnsi="仿宋_GB2312" w:eastAsia="仿宋_GB2312" w:cs="仿宋_GB2312"/>
                <w:color w:val="auto"/>
              </w:rPr>
              <w:t>信用记录（采购人或采购代理机构将按照采购文件规定的审查期间内进行查询）</w:t>
            </w:r>
          </w:p>
        </w:tc>
        <w:tc>
          <w:tcPr>
            <w:tcW w:w="1996" w:type="dxa"/>
            <w:noWrap w:val="0"/>
            <w:vAlign w:val="center"/>
          </w:tcPr>
          <w:p>
            <w:pPr>
              <w:pStyle w:val="3"/>
              <w:adjustRightInd w:val="0"/>
              <w:snapToGrid w:val="0"/>
              <w:spacing w:before="0" w:after="0" w:line="240" w:lineRule="auto"/>
              <w:rPr>
                <w:rFonts w:hint="eastAsia" w:ascii="仿宋_GB2312" w:hAnsi="仿宋_GB2312" w:eastAsia="仿宋_GB2312" w:cs="仿宋_GB2312"/>
                <w:b w:val="0"/>
                <w:color w:val="auto"/>
                <w:sz w:val="21"/>
                <w:szCs w:val="21"/>
              </w:rPr>
            </w:pPr>
            <w:r>
              <w:rPr>
                <w:rFonts w:hint="eastAsia" w:ascii="仿宋_GB2312" w:hAnsi="仿宋_GB2312" w:eastAsia="仿宋_GB2312" w:cs="仿宋_GB2312"/>
                <w:b w:val="0"/>
                <w:color w:val="auto"/>
                <w:sz w:val="21"/>
                <w:szCs w:val="21"/>
              </w:rPr>
              <w:t>无供应商须知</w:t>
            </w:r>
          </w:p>
          <w:p>
            <w:pPr>
              <w:pStyle w:val="3"/>
              <w:adjustRightInd w:val="0"/>
              <w:snapToGrid w:val="0"/>
              <w:spacing w:before="0" w:after="0" w:line="240" w:lineRule="auto"/>
              <w:rPr>
                <w:rFonts w:hint="eastAsia" w:ascii="仿宋_GB2312" w:hAnsi="仿宋_GB2312" w:eastAsia="仿宋_GB2312" w:cs="仿宋_GB2312"/>
                <w:b w:val="0"/>
                <w:color w:val="auto"/>
                <w:sz w:val="21"/>
                <w:szCs w:val="21"/>
              </w:rPr>
            </w:pPr>
            <w:r>
              <w:rPr>
                <w:rFonts w:hint="eastAsia" w:ascii="仿宋_GB2312" w:hAnsi="仿宋_GB2312" w:eastAsia="仿宋_GB2312" w:cs="仿宋_GB2312"/>
                <w:b w:val="0"/>
                <w:color w:val="auto"/>
                <w:sz w:val="21"/>
                <w:szCs w:val="21"/>
              </w:rPr>
              <w:t>22.3.1所述的不良记录</w:t>
            </w:r>
          </w:p>
        </w:tc>
        <w:tc>
          <w:tcPr>
            <w:tcW w:w="759"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759"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760"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714" w:type="dxa"/>
            <w:noWrap w:val="0"/>
            <w:vAlign w:val="center"/>
          </w:tcPr>
          <w:p>
            <w:pPr>
              <w:snapToGrid w:val="0"/>
              <w:jc w:val="center"/>
              <w:rPr>
                <w:rFonts w:hint="eastAsia" w:ascii="仿宋_GB2312" w:hAnsi="仿宋_GB2312" w:eastAsia="仿宋_GB2312" w:cs="仿宋_GB2312"/>
                <w:color w:val="auto"/>
              </w:rPr>
            </w:pPr>
          </w:p>
        </w:tc>
        <w:tc>
          <w:tcPr>
            <w:tcW w:w="3472" w:type="dxa"/>
            <w:noWrap w:val="0"/>
            <w:vAlign w:val="center"/>
          </w:tcPr>
          <w:p>
            <w:pPr>
              <w:snapToGrid w:val="0"/>
              <w:rPr>
                <w:rFonts w:hint="eastAsia" w:ascii="仿宋_GB2312" w:hAnsi="仿宋_GB2312" w:eastAsia="仿宋_GB2312" w:cs="仿宋_GB2312"/>
                <w:color w:val="auto"/>
              </w:rPr>
            </w:pPr>
            <w:r>
              <w:rPr>
                <w:rFonts w:hint="eastAsia" w:ascii="仿宋_GB2312" w:hAnsi="仿宋_GB2312" w:eastAsia="仿宋_GB2312" w:cs="仿宋_GB2312"/>
                <w:color w:val="auto"/>
              </w:rPr>
              <w:t>……</w:t>
            </w:r>
          </w:p>
        </w:tc>
        <w:tc>
          <w:tcPr>
            <w:tcW w:w="1996" w:type="dxa"/>
            <w:noWrap w:val="0"/>
            <w:vAlign w:val="center"/>
          </w:tcPr>
          <w:p>
            <w:pPr>
              <w:pStyle w:val="3"/>
              <w:adjustRightInd w:val="0"/>
              <w:snapToGrid w:val="0"/>
              <w:spacing w:before="0" w:after="0" w:line="240" w:lineRule="auto"/>
              <w:rPr>
                <w:rFonts w:hint="eastAsia" w:ascii="仿宋_GB2312" w:hAnsi="仿宋_GB2312" w:eastAsia="仿宋_GB2312" w:cs="仿宋_GB2312"/>
                <w:b w:val="0"/>
                <w:color w:val="auto"/>
                <w:sz w:val="21"/>
                <w:szCs w:val="21"/>
              </w:rPr>
            </w:pPr>
          </w:p>
        </w:tc>
        <w:tc>
          <w:tcPr>
            <w:tcW w:w="759"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759"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760"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714" w:type="dxa"/>
            <w:noWrap w:val="0"/>
            <w:vAlign w:val="center"/>
          </w:tcPr>
          <w:p>
            <w:pPr>
              <w:snapToGrid w:val="0"/>
              <w:jc w:val="center"/>
              <w:rPr>
                <w:rFonts w:hint="eastAsia" w:ascii="仿宋_GB2312" w:hAnsi="仿宋_GB2312" w:eastAsia="仿宋_GB2312" w:cs="仿宋_GB2312"/>
                <w:color w:val="auto"/>
              </w:rPr>
            </w:pPr>
          </w:p>
        </w:tc>
        <w:tc>
          <w:tcPr>
            <w:tcW w:w="3472" w:type="dxa"/>
            <w:noWrap w:val="0"/>
            <w:vAlign w:val="center"/>
          </w:tcPr>
          <w:p>
            <w:pPr>
              <w:snapToGrid w:val="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结论</w:t>
            </w:r>
          </w:p>
        </w:tc>
        <w:tc>
          <w:tcPr>
            <w:tcW w:w="1996"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759"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759"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760"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r>
    </w:tbl>
    <w:p>
      <w:pPr>
        <w:rPr>
          <w:rFonts w:hint="eastAsia" w:ascii="仿宋_GB2312" w:hAnsi="仿宋_GB2312" w:eastAsia="仿宋_GB2312" w:cs="仿宋_GB2312"/>
          <w:color w:val="auto"/>
        </w:rPr>
      </w:pPr>
      <w:r>
        <w:rPr>
          <w:rFonts w:hint="eastAsia" w:ascii="仿宋_GB2312" w:hAnsi="仿宋_GB2312" w:eastAsia="仿宋_GB2312" w:cs="仿宋_GB2312"/>
          <w:color w:val="auto"/>
        </w:rPr>
        <w:t>填表说明：1、每项内容审查合格，在表中填写“√”；不合格填写“×”</w:t>
      </w:r>
    </w:p>
    <w:p>
      <w:pPr>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          2、审查结论填写“通过”或“不通过”</w:t>
      </w:r>
    </w:p>
    <w:p>
      <w:pPr>
        <w:spacing w:line="360" w:lineRule="auto"/>
        <w:rPr>
          <w:rFonts w:hint="eastAsia" w:ascii="仿宋_GB2312" w:hAnsi="仿宋_GB2312" w:eastAsia="仿宋_GB2312" w:cs="仿宋_GB2312"/>
          <w:color w:val="auto"/>
        </w:rPr>
      </w:pPr>
      <w:r>
        <w:rPr>
          <w:rFonts w:hint="eastAsia" w:ascii="仿宋_GB2312" w:hAnsi="仿宋_GB2312" w:eastAsia="仿宋_GB2312" w:cs="仿宋_GB2312"/>
          <w:color w:val="auto"/>
        </w:rPr>
        <w:t>审查人签字：</w:t>
      </w:r>
    </w:p>
    <w:p>
      <w:pPr>
        <w:spacing w:line="360" w:lineRule="auto"/>
        <w:rPr>
          <w:rFonts w:hint="eastAsia" w:ascii="仿宋_GB2312" w:hAnsi="仿宋_GB2312" w:eastAsia="仿宋_GB2312" w:cs="仿宋_GB2312"/>
          <w:b/>
          <w:color w:val="auto"/>
          <w:szCs w:val="21"/>
        </w:rPr>
      </w:pPr>
      <w:r>
        <w:rPr>
          <w:rFonts w:hint="eastAsia" w:ascii="仿宋_GB2312" w:hAnsi="仿宋_GB2312" w:eastAsia="仿宋_GB2312" w:cs="仿宋_GB2312"/>
          <w:color w:val="auto"/>
        </w:rPr>
        <w:t>日      期</w:t>
      </w:r>
      <w:r>
        <w:rPr>
          <w:rFonts w:hint="eastAsia" w:ascii="仿宋_GB2312" w:hAnsi="仿宋_GB2312" w:eastAsia="仿宋_GB2312" w:cs="仿宋_GB2312"/>
          <w:color w:val="auto"/>
          <w:lang w:eastAsia="zh-CN"/>
        </w:rPr>
        <w:t>：</w:t>
      </w:r>
      <w:r>
        <w:rPr>
          <w:rFonts w:hint="eastAsia" w:ascii="仿宋_GB2312" w:hAnsi="仿宋_GB2312" w:eastAsia="仿宋_GB2312" w:cs="仿宋_GB2312"/>
          <w:b/>
          <w:color w:val="auto"/>
          <w:szCs w:val="21"/>
        </w:rPr>
        <w:br w:type="page"/>
      </w:r>
    </w:p>
    <w:p>
      <w:pPr>
        <w:pStyle w:val="3"/>
        <w:adjustRightInd w:val="0"/>
        <w:snapToGrid w:val="0"/>
        <w:spacing w:before="0" w:after="0" w:line="240" w:lineRule="auto"/>
        <w:jc w:val="left"/>
        <w:rPr>
          <w:rFonts w:hint="eastAsia" w:ascii="仿宋_GB2312" w:hAnsi="仿宋_GB2312" w:eastAsia="仿宋_GB2312" w:cs="仿宋_GB2312"/>
          <w:color w:val="auto"/>
          <w:sz w:val="28"/>
          <w:szCs w:val="28"/>
        </w:rPr>
      </w:pPr>
      <w:bookmarkStart w:id="152" w:name="_Toc4485675"/>
      <w:bookmarkStart w:id="153" w:name="_Toc533340199"/>
      <w:r>
        <w:rPr>
          <w:rFonts w:hint="eastAsia" w:ascii="仿宋_GB2312" w:hAnsi="仿宋_GB2312" w:eastAsia="仿宋_GB2312" w:cs="仿宋_GB2312"/>
          <w:color w:val="auto"/>
          <w:sz w:val="28"/>
          <w:szCs w:val="28"/>
        </w:rPr>
        <w:t xml:space="preserve">附件2                  </w:t>
      </w:r>
    </w:p>
    <w:p>
      <w:pPr>
        <w:jc w:val="center"/>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符合性审查表</w:t>
      </w:r>
      <w:bookmarkEnd w:id="152"/>
      <w:bookmarkEnd w:id="153"/>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2415"/>
        <w:gridCol w:w="2776"/>
        <w:gridCol w:w="847"/>
        <w:gridCol w:w="848"/>
        <w:gridCol w:w="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779" w:type="dxa"/>
            <w:vMerge w:val="restart"/>
            <w:noWrap w:val="0"/>
            <w:vAlign w:val="center"/>
          </w:tcPr>
          <w:p>
            <w:pPr>
              <w:jc w:val="center"/>
              <w:rPr>
                <w:rFonts w:hint="eastAsia" w:ascii="仿宋_GB2312" w:hAnsi="仿宋_GB2312" w:eastAsia="仿宋_GB2312" w:cs="仿宋_GB2312"/>
                <w:color w:val="auto"/>
              </w:rPr>
            </w:pPr>
            <w:bookmarkStart w:id="154" w:name="_Toc533340200"/>
            <w:bookmarkStart w:id="155" w:name="_Toc4485676"/>
            <w:r>
              <w:rPr>
                <w:rFonts w:hint="eastAsia" w:ascii="仿宋_GB2312" w:hAnsi="仿宋_GB2312" w:eastAsia="仿宋_GB2312" w:cs="仿宋_GB2312"/>
                <w:color w:val="auto"/>
              </w:rPr>
              <w:t>序号</w:t>
            </w:r>
          </w:p>
        </w:tc>
        <w:tc>
          <w:tcPr>
            <w:tcW w:w="2415" w:type="dxa"/>
            <w:vMerge w:val="restart"/>
            <w:noWrap w:val="0"/>
            <w:vAlign w:val="center"/>
          </w:tcPr>
          <w:p>
            <w:pPr>
              <w:pStyle w:val="3"/>
              <w:adjustRightInd w:val="0"/>
              <w:snapToGrid w:val="0"/>
              <w:spacing w:before="0" w:after="0" w:line="240" w:lineRule="auto"/>
              <w:jc w:val="center"/>
              <w:rPr>
                <w:rFonts w:hint="eastAsia" w:ascii="仿宋_GB2312" w:hAnsi="仿宋_GB2312" w:eastAsia="仿宋_GB2312" w:cs="仿宋_GB2312"/>
                <w:b w:val="0"/>
                <w:color w:val="auto"/>
                <w:sz w:val="21"/>
                <w:szCs w:val="21"/>
              </w:rPr>
            </w:pPr>
            <w:r>
              <w:rPr>
                <w:rFonts w:hint="eastAsia" w:ascii="仿宋_GB2312" w:hAnsi="仿宋_GB2312" w:eastAsia="仿宋_GB2312" w:cs="仿宋_GB2312"/>
                <w:b w:val="0"/>
                <w:color w:val="auto"/>
                <w:sz w:val="21"/>
                <w:szCs w:val="21"/>
              </w:rPr>
              <w:t>审查项目</w:t>
            </w:r>
            <w:bookmarkEnd w:id="154"/>
            <w:bookmarkEnd w:id="155"/>
          </w:p>
        </w:tc>
        <w:tc>
          <w:tcPr>
            <w:tcW w:w="2776" w:type="dxa"/>
            <w:vMerge w:val="restart"/>
            <w:noWrap w:val="0"/>
            <w:vAlign w:val="center"/>
          </w:tcPr>
          <w:p>
            <w:pPr>
              <w:pStyle w:val="3"/>
              <w:adjustRightInd w:val="0"/>
              <w:snapToGrid w:val="0"/>
              <w:spacing w:before="0" w:after="0" w:line="240" w:lineRule="auto"/>
              <w:jc w:val="center"/>
              <w:rPr>
                <w:rFonts w:hint="eastAsia" w:ascii="仿宋_GB2312" w:hAnsi="仿宋_GB2312" w:eastAsia="仿宋_GB2312" w:cs="仿宋_GB2312"/>
                <w:b w:val="0"/>
                <w:color w:val="auto"/>
                <w:sz w:val="21"/>
                <w:szCs w:val="21"/>
              </w:rPr>
            </w:pPr>
            <w:bookmarkStart w:id="156" w:name="_Toc4485677"/>
            <w:bookmarkStart w:id="157" w:name="_Toc533340201"/>
            <w:r>
              <w:rPr>
                <w:rFonts w:hint="eastAsia" w:ascii="仿宋_GB2312" w:hAnsi="仿宋_GB2312" w:eastAsia="仿宋_GB2312" w:cs="仿宋_GB2312"/>
                <w:b w:val="0"/>
                <w:color w:val="auto"/>
                <w:sz w:val="21"/>
                <w:szCs w:val="21"/>
              </w:rPr>
              <w:t>审查标准</w:t>
            </w:r>
            <w:bookmarkEnd w:id="156"/>
            <w:bookmarkEnd w:id="157"/>
          </w:p>
        </w:tc>
        <w:tc>
          <w:tcPr>
            <w:tcW w:w="2544" w:type="dxa"/>
            <w:gridSpan w:val="3"/>
            <w:noWrap w:val="0"/>
            <w:vAlign w:val="center"/>
          </w:tcPr>
          <w:p>
            <w:pPr>
              <w:pStyle w:val="3"/>
              <w:adjustRightInd w:val="0"/>
              <w:snapToGrid w:val="0"/>
              <w:spacing w:before="0" w:after="0" w:line="240" w:lineRule="auto"/>
              <w:jc w:val="center"/>
              <w:rPr>
                <w:rFonts w:hint="eastAsia" w:ascii="仿宋_GB2312" w:hAnsi="仿宋_GB2312" w:eastAsia="仿宋_GB2312" w:cs="仿宋_GB2312"/>
                <w:b w:val="0"/>
                <w:color w:val="auto"/>
                <w:sz w:val="21"/>
                <w:szCs w:val="21"/>
              </w:rPr>
            </w:pPr>
            <w:bookmarkStart w:id="158" w:name="_Toc533340202"/>
            <w:bookmarkStart w:id="159" w:name="_Toc4485678"/>
            <w:r>
              <w:rPr>
                <w:rFonts w:hint="eastAsia" w:ascii="仿宋_GB2312" w:hAnsi="仿宋_GB2312" w:eastAsia="仿宋_GB2312" w:cs="仿宋_GB2312"/>
                <w:b w:val="0"/>
                <w:color w:val="auto"/>
                <w:sz w:val="21"/>
                <w:szCs w:val="21"/>
              </w:rPr>
              <w:t>供应商名称</w:t>
            </w:r>
            <w:bookmarkEnd w:id="158"/>
            <w:bookmarkEnd w:id="15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79" w:type="dxa"/>
            <w:vMerge w:val="continue"/>
            <w:noWrap w:val="0"/>
            <w:vAlign w:val="center"/>
          </w:tcPr>
          <w:p>
            <w:pPr>
              <w:pStyle w:val="3"/>
              <w:adjustRightInd w:val="0"/>
              <w:snapToGrid w:val="0"/>
              <w:spacing w:before="0" w:after="0" w:line="240" w:lineRule="auto"/>
              <w:jc w:val="center"/>
              <w:rPr>
                <w:rFonts w:hint="eastAsia" w:ascii="仿宋_GB2312" w:hAnsi="仿宋_GB2312" w:eastAsia="仿宋_GB2312" w:cs="仿宋_GB2312"/>
                <w:b w:val="0"/>
                <w:color w:val="auto"/>
                <w:sz w:val="21"/>
                <w:szCs w:val="21"/>
              </w:rPr>
            </w:pPr>
          </w:p>
        </w:tc>
        <w:tc>
          <w:tcPr>
            <w:tcW w:w="2415" w:type="dxa"/>
            <w:vMerge w:val="continue"/>
            <w:noWrap w:val="0"/>
            <w:vAlign w:val="center"/>
          </w:tcPr>
          <w:p>
            <w:pPr>
              <w:pStyle w:val="3"/>
              <w:adjustRightInd w:val="0"/>
              <w:snapToGrid w:val="0"/>
              <w:spacing w:before="0" w:after="0" w:line="240" w:lineRule="auto"/>
              <w:jc w:val="center"/>
              <w:rPr>
                <w:rFonts w:hint="eastAsia" w:ascii="仿宋_GB2312" w:hAnsi="仿宋_GB2312" w:eastAsia="仿宋_GB2312" w:cs="仿宋_GB2312"/>
                <w:b w:val="0"/>
                <w:color w:val="auto"/>
                <w:sz w:val="21"/>
                <w:szCs w:val="21"/>
              </w:rPr>
            </w:pPr>
          </w:p>
        </w:tc>
        <w:tc>
          <w:tcPr>
            <w:tcW w:w="2776" w:type="dxa"/>
            <w:vMerge w:val="continue"/>
            <w:noWrap w:val="0"/>
            <w:vAlign w:val="center"/>
          </w:tcPr>
          <w:p>
            <w:pPr>
              <w:pStyle w:val="3"/>
              <w:adjustRightInd w:val="0"/>
              <w:snapToGrid w:val="0"/>
              <w:spacing w:before="0" w:after="0" w:line="240" w:lineRule="auto"/>
              <w:jc w:val="center"/>
              <w:rPr>
                <w:rFonts w:hint="eastAsia" w:ascii="仿宋_GB2312" w:hAnsi="仿宋_GB2312" w:eastAsia="仿宋_GB2312" w:cs="仿宋_GB2312"/>
                <w:b w:val="0"/>
                <w:color w:val="auto"/>
                <w:sz w:val="21"/>
                <w:szCs w:val="21"/>
              </w:rPr>
            </w:pPr>
          </w:p>
        </w:tc>
        <w:tc>
          <w:tcPr>
            <w:tcW w:w="847" w:type="dxa"/>
            <w:noWrap w:val="0"/>
            <w:vAlign w:val="center"/>
          </w:tcPr>
          <w:p>
            <w:pPr>
              <w:pStyle w:val="3"/>
              <w:adjustRightInd w:val="0"/>
              <w:snapToGrid w:val="0"/>
              <w:spacing w:before="0" w:after="0" w:line="240" w:lineRule="auto"/>
              <w:jc w:val="center"/>
              <w:rPr>
                <w:rFonts w:hint="eastAsia" w:ascii="仿宋_GB2312" w:hAnsi="仿宋_GB2312" w:eastAsia="仿宋_GB2312" w:cs="仿宋_GB2312"/>
                <w:b w:val="0"/>
                <w:color w:val="auto"/>
                <w:sz w:val="21"/>
                <w:szCs w:val="21"/>
              </w:rPr>
            </w:pPr>
          </w:p>
        </w:tc>
        <w:tc>
          <w:tcPr>
            <w:tcW w:w="848" w:type="dxa"/>
            <w:noWrap w:val="0"/>
            <w:vAlign w:val="center"/>
          </w:tcPr>
          <w:p>
            <w:pPr>
              <w:pStyle w:val="3"/>
              <w:adjustRightInd w:val="0"/>
              <w:snapToGrid w:val="0"/>
              <w:spacing w:before="0" w:after="0" w:line="240" w:lineRule="auto"/>
              <w:jc w:val="center"/>
              <w:rPr>
                <w:rFonts w:hint="eastAsia" w:ascii="仿宋_GB2312" w:hAnsi="仿宋_GB2312" w:eastAsia="仿宋_GB2312" w:cs="仿宋_GB2312"/>
                <w:b w:val="0"/>
                <w:color w:val="auto"/>
                <w:sz w:val="21"/>
                <w:szCs w:val="21"/>
              </w:rPr>
            </w:pPr>
          </w:p>
        </w:tc>
        <w:tc>
          <w:tcPr>
            <w:tcW w:w="849" w:type="dxa"/>
            <w:noWrap w:val="0"/>
            <w:vAlign w:val="center"/>
          </w:tcPr>
          <w:p>
            <w:pPr>
              <w:pStyle w:val="3"/>
              <w:adjustRightInd w:val="0"/>
              <w:snapToGrid w:val="0"/>
              <w:spacing w:before="0" w:after="0" w:line="240" w:lineRule="auto"/>
              <w:jc w:val="center"/>
              <w:rPr>
                <w:rFonts w:hint="eastAsia" w:ascii="仿宋_GB2312" w:hAnsi="仿宋_GB2312" w:eastAsia="仿宋_GB2312" w:cs="仿宋_GB2312"/>
                <w:b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779" w:type="dxa"/>
            <w:noWrap w:val="0"/>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w:t>
            </w:r>
          </w:p>
        </w:tc>
        <w:tc>
          <w:tcPr>
            <w:tcW w:w="2415" w:type="dxa"/>
            <w:noWrap w:val="0"/>
            <w:vAlign w:val="center"/>
          </w:tcPr>
          <w:p>
            <w:pPr>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响应函</w:t>
            </w:r>
          </w:p>
        </w:tc>
        <w:tc>
          <w:tcPr>
            <w:tcW w:w="2776" w:type="dxa"/>
            <w:noWrap w:val="0"/>
            <w:vAlign w:val="top"/>
          </w:tcPr>
          <w:p>
            <w:pPr>
              <w:pStyle w:val="3"/>
              <w:adjustRightInd w:val="0"/>
              <w:snapToGrid w:val="0"/>
              <w:spacing w:before="0" w:after="0" w:line="240" w:lineRule="auto"/>
              <w:jc w:val="left"/>
              <w:rPr>
                <w:rFonts w:hint="eastAsia" w:ascii="仿宋_GB2312" w:hAnsi="仿宋_GB2312" w:eastAsia="仿宋_GB2312" w:cs="仿宋_GB2312"/>
                <w:b w:val="0"/>
                <w:color w:val="auto"/>
                <w:sz w:val="21"/>
                <w:szCs w:val="21"/>
              </w:rPr>
            </w:pPr>
            <w:bookmarkStart w:id="160" w:name="_Toc4485679"/>
            <w:bookmarkStart w:id="161" w:name="_Toc533340203"/>
            <w:r>
              <w:rPr>
                <w:rFonts w:hint="eastAsia" w:ascii="仿宋_GB2312" w:hAnsi="仿宋_GB2312" w:eastAsia="仿宋_GB2312" w:cs="仿宋_GB2312"/>
                <w:b w:val="0"/>
                <w:color w:val="auto"/>
                <w:sz w:val="21"/>
                <w:szCs w:val="21"/>
              </w:rPr>
              <w:t>1.按给定格式填写</w:t>
            </w:r>
            <w:bookmarkEnd w:id="160"/>
            <w:bookmarkEnd w:id="161"/>
          </w:p>
          <w:p>
            <w:pPr>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2.响应采购文件实质性要求</w:t>
            </w:r>
          </w:p>
          <w:p>
            <w:pPr>
              <w:pStyle w:val="3"/>
              <w:adjustRightInd w:val="0"/>
              <w:snapToGrid w:val="0"/>
              <w:spacing w:before="0" w:after="0" w:line="240" w:lineRule="auto"/>
              <w:jc w:val="left"/>
              <w:rPr>
                <w:rFonts w:hint="eastAsia" w:ascii="仿宋_GB2312" w:hAnsi="仿宋_GB2312" w:eastAsia="仿宋_GB2312" w:cs="仿宋_GB2312"/>
                <w:b w:val="0"/>
                <w:color w:val="auto"/>
                <w:sz w:val="21"/>
                <w:szCs w:val="21"/>
              </w:rPr>
            </w:pPr>
            <w:bookmarkStart w:id="162" w:name="_Toc4485680"/>
            <w:bookmarkStart w:id="163" w:name="_Toc533340204"/>
            <w:r>
              <w:rPr>
                <w:rFonts w:hint="eastAsia" w:ascii="仿宋_GB2312" w:hAnsi="仿宋_GB2312" w:eastAsia="仿宋_GB2312" w:cs="仿宋_GB2312"/>
                <w:b w:val="0"/>
                <w:color w:val="auto"/>
                <w:sz w:val="21"/>
                <w:szCs w:val="21"/>
              </w:rPr>
              <w:t>3.按规定签章</w:t>
            </w:r>
            <w:bookmarkEnd w:id="162"/>
            <w:bookmarkEnd w:id="163"/>
          </w:p>
        </w:tc>
        <w:tc>
          <w:tcPr>
            <w:tcW w:w="847" w:type="dxa"/>
            <w:noWrap w:val="0"/>
            <w:vAlign w:val="center"/>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848" w:type="dxa"/>
            <w:noWrap w:val="0"/>
            <w:vAlign w:val="center"/>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849" w:type="dxa"/>
            <w:noWrap w:val="0"/>
            <w:vAlign w:val="center"/>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779" w:type="dxa"/>
            <w:noWrap w:val="0"/>
            <w:vAlign w:val="center"/>
          </w:tcPr>
          <w:p>
            <w:pPr>
              <w:jc w:val="center"/>
              <w:rPr>
                <w:rFonts w:hint="eastAsia" w:ascii="仿宋_GB2312" w:hAnsi="仿宋_GB2312" w:eastAsia="仿宋_GB2312" w:cs="仿宋_GB2312"/>
                <w:color w:val="auto"/>
                <w:szCs w:val="21"/>
                <w:lang w:val="en-US" w:eastAsia="zh-CN"/>
              </w:rPr>
            </w:pPr>
            <w:r>
              <w:rPr>
                <w:rFonts w:hint="eastAsia" w:ascii="仿宋_GB2312" w:hAnsi="仿宋_GB2312" w:eastAsia="仿宋_GB2312" w:cs="仿宋_GB2312"/>
                <w:color w:val="auto"/>
                <w:szCs w:val="21"/>
                <w:lang w:val="en-US" w:eastAsia="zh-CN"/>
              </w:rPr>
              <w:t>2</w:t>
            </w:r>
          </w:p>
        </w:tc>
        <w:tc>
          <w:tcPr>
            <w:tcW w:w="2415" w:type="dxa"/>
            <w:noWrap w:val="0"/>
            <w:vAlign w:val="center"/>
          </w:tcPr>
          <w:p>
            <w:pPr>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报价一览表</w:t>
            </w:r>
          </w:p>
        </w:tc>
        <w:tc>
          <w:tcPr>
            <w:tcW w:w="2776" w:type="dxa"/>
            <w:noWrap w:val="0"/>
            <w:vAlign w:val="top"/>
          </w:tcPr>
          <w:p>
            <w:pPr>
              <w:pStyle w:val="3"/>
              <w:adjustRightInd w:val="0"/>
              <w:snapToGrid w:val="0"/>
              <w:spacing w:before="0" w:after="0" w:line="240" w:lineRule="auto"/>
              <w:jc w:val="left"/>
              <w:rPr>
                <w:rFonts w:hint="eastAsia" w:ascii="仿宋_GB2312" w:hAnsi="仿宋_GB2312" w:eastAsia="仿宋_GB2312" w:cs="仿宋_GB2312"/>
                <w:b w:val="0"/>
                <w:color w:val="auto"/>
                <w:sz w:val="21"/>
                <w:szCs w:val="21"/>
              </w:rPr>
            </w:pPr>
            <w:bookmarkStart w:id="164" w:name="_Toc533340207"/>
            <w:bookmarkStart w:id="165" w:name="_Toc4485681"/>
            <w:r>
              <w:rPr>
                <w:rFonts w:hint="eastAsia" w:ascii="仿宋_GB2312" w:hAnsi="仿宋_GB2312" w:eastAsia="仿宋_GB2312" w:cs="仿宋_GB2312"/>
                <w:b w:val="0"/>
                <w:color w:val="auto"/>
                <w:sz w:val="21"/>
                <w:szCs w:val="21"/>
              </w:rPr>
              <w:t>1.按给定格式填写</w:t>
            </w:r>
            <w:bookmarkEnd w:id="164"/>
            <w:bookmarkEnd w:id="165"/>
          </w:p>
          <w:p>
            <w:pPr>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2.响应采购文件实质性要求</w:t>
            </w:r>
          </w:p>
          <w:p>
            <w:pPr>
              <w:pStyle w:val="3"/>
              <w:adjustRightInd w:val="0"/>
              <w:snapToGrid w:val="0"/>
              <w:spacing w:before="0" w:after="0" w:line="240" w:lineRule="auto"/>
              <w:jc w:val="left"/>
              <w:rPr>
                <w:rFonts w:hint="eastAsia" w:ascii="仿宋_GB2312" w:hAnsi="仿宋_GB2312" w:eastAsia="仿宋_GB2312" w:cs="仿宋_GB2312"/>
                <w:b w:val="0"/>
                <w:color w:val="auto"/>
                <w:sz w:val="21"/>
                <w:szCs w:val="21"/>
              </w:rPr>
            </w:pPr>
            <w:bookmarkStart w:id="166" w:name="_Toc533340208"/>
            <w:bookmarkStart w:id="167" w:name="_Toc4485682"/>
            <w:r>
              <w:rPr>
                <w:rFonts w:hint="eastAsia" w:ascii="仿宋_GB2312" w:hAnsi="仿宋_GB2312" w:eastAsia="仿宋_GB2312" w:cs="仿宋_GB2312"/>
                <w:b w:val="0"/>
                <w:color w:val="auto"/>
                <w:sz w:val="21"/>
                <w:szCs w:val="21"/>
              </w:rPr>
              <w:t>3.按规定签章</w:t>
            </w:r>
            <w:bookmarkEnd w:id="166"/>
            <w:bookmarkEnd w:id="167"/>
          </w:p>
        </w:tc>
        <w:tc>
          <w:tcPr>
            <w:tcW w:w="847"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848"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849"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779" w:type="dxa"/>
            <w:noWrap w:val="0"/>
            <w:vAlign w:val="center"/>
          </w:tcPr>
          <w:p>
            <w:pPr>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rPr>
              <w:t>3</w:t>
            </w:r>
          </w:p>
        </w:tc>
        <w:tc>
          <w:tcPr>
            <w:tcW w:w="2415" w:type="dxa"/>
            <w:noWrap w:val="0"/>
            <w:vAlign w:val="center"/>
          </w:tcPr>
          <w:p>
            <w:pPr>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已标价工程量清单</w:t>
            </w:r>
          </w:p>
        </w:tc>
        <w:tc>
          <w:tcPr>
            <w:tcW w:w="2776" w:type="dxa"/>
            <w:noWrap w:val="0"/>
            <w:vAlign w:val="top"/>
          </w:tcPr>
          <w:p>
            <w:pPr>
              <w:pStyle w:val="3"/>
              <w:adjustRightInd w:val="0"/>
              <w:snapToGrid w:val="0"/>
              <w:spacing w:before="0" w:after="0" w:line="240" w:lineRule="auto"/>
              <w:jc w:val="left"/>
              <w:rPr>
                <w:rFonts w:hint="eastAsia" w:ascii="仿宋_GB2312" w:hAnsi="仿宋_GB2312" w:eastAsia="仿宋_GB2312" w:cs="仿宋_GB2312"/>
                <w:b w:val="0"/>
                <w:color w:val="auto"/>
                <w:sz w:val="21"/>
                <w:szCs w:val="21"/>
              </w:rPr>
            </w:pPr>
            <w:bookmarkStart w:id="168" w:name="_Toc4485683"/>
            <w:bookmarkStart w:id="169" w:name="_Toc533340209"/>
            <w:r>
              <w:rPr>
                <w:rFonts w:hint="eastAsia" w:ascii="仿宋_GB2312" w:hAnsi="仿宋_GB2312" w:eastAsia="仿宋_GB2312" w:cs="仿宋_GB2312"/>
                <w:b w:val="0"/>
                <w:color w:val="auto"/>
                <w:sz w:val="21"/>
                <w:szCs w:val="21"/>
              </w:rPr>
              <w:t>1.按给定格式填写</w:t>
            </w:r>
            <w:bookmarkEnd w:id="168"/>
            <w:bookmarkEnd w:id="169"/>
          </w:p>
          <w:p>
            <w:pPr>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2.响应采购文件实质性要求</w:t>
            </w:r>
          </w:p>
          <w:p>
            <w:pPr>
              <w:pStyle w:val="3"/>
              <w:adjustRightInd w:val="0"/>
              <w:snapToGrid w:val="0"/>
              <w:spacing w:before="0" w:after="0" w:line="240" w:lineRule="auto"/>
              <w:jc w:val="left"/>
              <w:rPr>
                <w:rFonts w:hint="eastAsia" w:ascii="仿宋_GB2312" w:hAnsi="仿宋_GB2312" w:eastAsia="仿宋_GB2312" w:cs="仿宋_GB2312"/>
                <w:b w:val="0"/>
                <w:color w:val="auto"/>
                <w:sz w:val="21"/>
                <w:szCs w:val="21"/>
              </w:rPr>
            </w:pPr>
            <w:bookmarkStart w:id="170" w:name="_Toc533340210"/>
            <w:bookmarkStart w:id="171" w:name="_Toc4485684"/>
            <w:r>
              <w:rPr>
                <w:rFonts w:hint="eastAsia" w:ascii="仿宋_GB2312" w:hAnsi="仿宋_GB2312" w:eastAsia="仿宋_GB2312" w:cs="仿宋_GB2312"/>
                <w:b w:val="0"/>
                <w:color w:val="auto"/>
                <w:sz w:val="21"/>
                <w:szCs w:val="21"/>
              </w:rPr>
              <w:t>3.按规定签章</w:t>
            </w:r>
            <w:bookmarkEnd w:id="170"/>
            <w:bookmarkEnd w:id="171"/>
          </w:p>
        </w:tc>
        <w:tc>
          <w:tcPr>
            <w:tcW w:w="847"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848"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849"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779" w:type="dxa"/>
            <w:noWrap w:val="0"/>
            <w:vAlign w:val="center"/>
          </w:tcPr>
          <w:p>
            <w:pPr>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rPr>
              <w:t>4</w:t>
            </w:r>
          </w:p>
        </w:tc>
        <w:tc>
          <w:tcPr>
            <w:tcW w:w="2415" w:type="dxa"/>
            <w:noWrap w:val="0"/>
            <w:vAlign w:val="center"/>
          </w:tcPr>
          <w:p>
            <w:pPr>
              <w:jc w:val="left"/>
              <w:rPr>
                <w:rFonts w:hint="eastAsia" w:ascii="仿宋_GB2312" w:hAnsi="仿宋_GB2312" w:eastAsia="仿宋_GB2312" w:cs="仿宋_GB2312"/>
                <w:color w:val="auto"/>
                <w:szCs w:val="21"/>
                <w:lang w:eastAsia="zh-CN"/>
              </w:rPr>
            </w:pPr>
            <w:r>
              <w:rPr>
                <w:rFonts w:hint="eastAsia" w:ascii="仿宋_GB2312" w:hAnsi="仿宋_GB2312" w:eastAsia="仿宋_GB2312" w:cs="仿宋_GB2312"/>
                <w:color w:val="auto"/>
                <w:szCs w:val="21"/>
                <w:lang w:eastAsia="zh-CN"/>
              </w:rPr>
              <w:t>项目需求响应表</w:t>
            </w:r>
          </w:p>
        </w:tc>
        <w:tc>
          <w:tcPr>
            <w:tcW w:w="2776" w:type="dxa"/>
            <w:noWrap w:val="0"/>
            <w:vAlign w:val="top"/>
          </w:tcPr>
          <w:p>
            <w:pPr>
              <w:pStyle w:val="3"/>
              <w:adjustRightInd w:val="0"/>
              <w:snapToGrid w:val="0"/>
              <w:spacing w:before="0" w:after="0" w:line="240" w:lineRule="auto"/>
              <w:jc w:val="left"/>
              <w:rPr>
                <w:rFonts w:hint="eastAsia" w:ascii="仿宋_GB2312" w:hAnsi="仿宋_GB2312" w:eastAsia="仿宋_GB2312" w:cs="仿宋_GB2312"/>
                <w:b w:val="0"/>
                <w:color w:val="auto"/>
                <w:sz w:val="21"/>
                <w:szCs w:val="21"/>
              </w:rPr>
            </w:pPr>
            <w:bookmarkStart w:id="172" w:name="_Toc4485685"/>
            <w:bookmarkStart w:id="173" w:name="_Toc533340211"/>
            <w:r>
              <w:rPr>
                <w:rFonts w:hint="eastAsia" w:ascii="仿宋_GB2312" w:hAnsi="仿宋_GB2312" w:eastAsia="仿宋_GB2312" w:cs="仿宋_GB2312"/>
                <w:b w:val="0"/>
                <w:color w:val="auto"/>
                <w:sz w:val="21"/>
                <w:szCs w:val="21"/>
              </w:rPr>
              <w:t>1.按给定格式填写</w:t>
            </w:r>
            <w:bookmarkEnd w:id="172"/>
            <w:bookmarkEnd w:id="173"/>
          </w:p>
          <w:p>
            <w:pPr>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2.响应采购文件实质性要求</w:t>
            </w:r>
          </w:p>
          <w:p>
            <w:pPr>
              <w:pStyle w:val="3"/>
              <w:adjustRightInd w:val="0"/>
              <w:snapToGrid w:val="0"/>
              <w:spacing w:before="0" w:after="0" w:line="240" w:lineRule="auto"/>
              <w:jc w:val="left"/>
              <w:rPr>
                <w:rFonts w:hint="eastAsia" w:ascii="仿宋_GB2312" w:hAnsi="仿宋_GB2312" w:eastAsia="仿宋_GB2312" w:cs="仿宋_GB2312"/>
                <w:b w:val="0"/>
                <w:color w:val="auto"/>
                <w:sz w:val="21"/>
                <w:szCs w:val="21"/>
              </w:rPr>
            </w:pPr>
            <w:bookmarkStart w:id="174" w:name="_Toc4485686"/>
            <w:bookmarkStart w:id="175" w:name="_Toc533340212"/>
            <w:r>
              <w:rPr>
                <w:rFonts w:hint="eastAsia" w:ascii="仿宋_GB2312" w:hAnsi="仿宋_GB2312" w:eastAsia="仿宋_GB2312" w:cs="仿宋_GB2312"/>
                <w:b w:val="0"/>
                <w:color w:val="auto"/>
                <w:sz w:val="21"/>
                <w:szCs w:val="21"/>
              </w:rPr>
              <w:t>3.按规定签章</w:t>
            </w:r>
            <w:bookmarkEnd w:id="174"/>
            <w:bookmarkEnd w:id="175"/>
          </w:p>
        </w:tc>
        <w:tc>
          <w:tcPr>
            <w:tcW w:w="847"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848"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849"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779" w:type="dxa"/>
            <w:noWrap w:val="0"/>
            <w:vAlign w:val="center"/>
          </w:tcPr>
          <w:p>
            <w:pPr>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rPr>
              <w:t>5</w:t>
            </w:r>
          </w:p>
        </w:tc>
        <w:tc>
          <w:tcPr>
            <w:tcW w:w="2415" w:type="dxa"/>
            <w:noWrap w:val="0"/>
            <w:vAlign w:val="center"/>
          </w:tcPr>
          <w:p>
            <w:pPr>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商务条款偏离表</w:t>
            </w:r>
          </w:p>
        </w:tc>
        <w:tc>
          <w:tcPr>
            <w:tcW w:w="2776" w:type="dxa"/>
            <w:noWrap w:val="0"/>
            <w:vAlign w:val="top"/>
          </w:tcPr>
          <w:p>
            <w:pPr>
              <w:pStyle w:val="3"/>
              <w:adjustRightInd w:val="0"/>
              <w:snapToGrid w:val="0"/>
              <w:spacing w:before="0" w:after="0" w:line="240" w:lineRule="auto"/>
              <w:jc w:val="left"/>
              <w:rPr>
                <w:rFonts w:hint="eastAsia" w:ascii="仿宋_GB2312" w:hAnsi="仿宋_GB2312" w:eastAsia="仿宋_GB2312" w:cs="仿宋_GB2312"/>
                <w:b w:val="0"/>
                <w:color w:val="auto"/>
                <w:sz w:val="21"/>
                <w:szCs w:val="21"/>
              </w:rPr>
            </w:pPr>
            <w:bookmarkStart w:id="176" w:name="_Toc533340213"/>
            <w:bookmarkStart w:id="177" w:name="_Toc4485687"/>
            <w:r>
              <w:rPr>
                <w:rFonts w:hint="eastAsia" w:ascii="仿宋_GB2312" w:hAnsi="仿宋_GB2312" w:eastAsia="仿宋_GB2312" w:cs="仿宋_GB2312"/>
                <w:b w:val="0"/>
                <w:color w:val="auto"/>
                <w:sz w:val="21"/>
                <w:szCs w:val="21"/>
              </w:rPr>
              <w:t>1.按给定格式填写</w:t>
            </w:r>
            <w:bookmarkEnd w:id="176"/>
            <w:bookmarkEnd w:id="177"/>
          </w:p>
          <w:p>
            <w:pPr>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2.响应采购文件实质性要求</w:t>
            </w:r>
          </w:p>
          <w:p>
            <w:pPr>
              <w:pStyle w:val="3"/>
              <w:adjustRightInd w:val="0"/>
              <w:snapToGrid w:val="0"/>
              <w:spacing w:before="0" w:after="0" w:line="240" w:lineRule="auto"/>
              <w:jc w:val="left"/>
              <w:rPr>
                <w:rFonts w:hint="eastAsia" w:ascii="仿宋_GB2312" w:hAnsi="仿宋_GB2312" w:eastAsia="仿宋_GB2312" w:cs="仿宋_GB2312"/>
                <w:b w:val="0"/>
                <w:color w:val="auto"/>
                <w:sz w:val="21"/>
                <w:szCs w:val="21"/>
              </w:rPr>
            </w:pPr>
            <w:bookmarkStart w:id="178" w:name="_Toc533340214"/>
            <w:bookmarkStart w:id="179" w:name="_Toc4485688"/>
            <w:r>
              <w:rPr>
                <w:rFonts w:hint="eastAsia" w:ascii="仿宋_GB2312" w:hAnsi="仿宋_GB2312" w:eastAsia="仿宋_GB2312" w:cs="仿宋_GB2312"/>
                <w:b w:val="0"/>
                <w:color w:val="auto"/>
                <w:sz w:val="21"/>
                <w:szCs w:val="21"/>
              </w:rPr>
              <w:t>3.按规定签章</w:t>
            </w:r>
            <w:bookmarkEnd w:id="178"/>
            <w:bookmarkEnd w:id="179"/>
          </w:p>
        </w:tc>
        <w:tc>
          <w:tcPr>
            <w:tcW w:w="847"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848"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849"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779" w:type="dxa"/>
            <w:noWrap w:val="0"/>
            <w:vAlign w:val="center"/>
          </w:tcPr>
          <w:p>
            <w:pPr>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rPr>
              <w:t>6</w:t>
            </w:r>
          </w:p>
        </w:tc>
        <w:tc>
          <w:tcPr>
            <w:tcW w:w="2415" w:type="dxa"/>
            <w:noWrap w:val="0"/>
            <w:vAlign w:val="center"/>
          </w:tcPr>
          <w:p>
            <w:pPr>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供应商关联单位说明</w:t>
            </w:r>
          </w:p>
        </w:tc>
        <w:tc>
          <w:tcPr>
            <w:tcW w:w="2776" w:type="dxa"/>
            <w:noWrap w:val="0"/>
            <w:vAlign w:val="center"/>
          </w:tcPr>
          <w:p>
            <w:pPr>
              <w:pStyle w:val="3"/>
              <w:adjustRightInd w:val="0"/>
              <w:snapToGrid w:val="0"/>
              <w:spacing w:before="0" w:after="0" w:line="240" w:lineRule="auto"/>
              <w:jc w:val="center"/>
              <w:rPr>
                <w:rFonts w:hint="eastAsia" w:ascii="仿宋_GB2312" w:hAnsi="仿宋_GB2312" w:eastAsia="仿宋_GB2312" w:cs="仿宋_GB2312"/>
                <w:b w:val="0"/>
                <w:color w:val="auto"/>
                <w:sz w:val="21"/>
                <w:szCs w:val="21"/>
              </w:rPr>
            </w:pPr>
            <w:bookmarkStart w:id="180" w:name="_Toc533340215"/>
            <w:bookmarkStart w:id="181" w:name="_Toc4485689"/>
            <w:r>
              <w:rPr>
                <w:rFonts w:hint="eastAsia" w:ascii="仿宋_GB2312" w:hAnsi="仿宋_GB2312" w:eastAsia="仿宋_GB2312" w:cs="仿宋_GB2312"/>
                <w:b w:val="0"/>
                <w:color w:val="auto"/>
                <w:sz w:val="21"/>
                <w:szCs w:val="21"/>
              </w:rPr>
              <w:t>无供应商须知1.5</w:t>
            </w:r>
            <w:bookmarkEnd w:id="180"/>
            <w:bookmarkEnd w:id="181"/>
            <w:bookmarkStart w:id="182" w:name="_Toc4485690"/>
            <w:bookmarkStart w:id="183" w:name="_Toc533340216"/>
            <w:r>
              <w:rPr>
                <w:rFonts w:hint="eastAsia" w:ascii="仿宋_GB2312" w:hAnsi="仿宋_GB2312" w:eastAsia="仿宋_GB2312" w:cs="仿宋_GB2312"/>
                <w:b w:val="0"/>
                <w:color w:val="auto"/>
                <w:sz w:val="21"/>
                <w:szCs w:val="21"/>
              </w:rPr>
              <w:t>所述情形</w:t>
            </w:r>
            <w:bookmarkEnd w:id="182"/>
            <w:bookmarkEnd w:id="183"/>
          </w:p>
        </w:tc>
        <w:tc>
          <w:tcPr>
            <w:tcW w:w="847"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848"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849"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779" w:type="dxa"/>
            <w:noWrap w:val="0"/>
            <w:vAlign w:val="center"/>
          </w:tcPr>
          <w:p>
            <w:pPr>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rPr>
              <w:t>7</w:t>
            </w:r>
          </w:p>
        </w:tc>
        <w:tc>
          <w:tcPr>
            <w:tcW w:w="2415" w:type="dxa"/>
            <w:shd w:val="clear" w:color="auto" w:fill="auto"/>
            <w:noWrap w:val="0"/>
            <w:vAlign w:val="center"/>
          </w:tcPr>
          <w:p>
            <w:pPr>
              <w:snapToGrid w:val="0"/>
              <w:jc w:val="left"/>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0"/>
                <w:szCs w:val="21"/>
              </w:rPr>
              <w:t>备份文件与电子评审系统中上传的响应文件一致性承诺函</w:t>
            </w:r>
          </w:p>
        </w:tc>
        <w:tc>
          <w:tcPr>
            <w:tcW w:w="2776" w:type="dxa"/>
            <w:shd w:val="clear" w:color="auto" w:fill="auto"/>
            <w:noWrap w:val="0"/>
            <w:vAlign w:val="top"/>
          </w:tcPr>
          <w:p>
            <w:pPr>
              <w:pStyle w:val="3"/>
              <w:adjustRightInd w:val="0"/>
              <w:snapToGrid w:val="0"/>
              <w:spacing w:before="0" w:after="0" w:line="240" w:lineRule="auto"/>
              <w:jc w:val="left"/>
              <w:rPr>
                <w:rFonts w:hint="eastAsia" w:ascii="仿宋_GB2312" w:hAnsi="仿宋_GB2312" w:eastAsia="仿宋_GB2312" w:cs="仿宋_GB2312"/>
                <w:b w:val="0"/>
                <w:color w:val="auto"/>
                <w:sz w:val="21"/>
                <w:szCs w:val="21"/>
              </w:rPr>
            </w:pPr>
            <w:r>
              <w:rPr>
                <w:rFonts w:hint="eastAsia" w:ascii="仿宋_GB2312" w:hAnsi="仿宋_GB2312" w:eastAsia="仿宋_GB2312" w:cs="仿宋_GB2312"/>
                <w:b w:val="0"/>
                <w:color w:val="auto"/>
                <w:sz w:val="21"/>
                <w:szCs w:val="21"/>
              </w:rPr>
              <w:t>1.按给定格式填写</w:t>
            </w:r>
          </w:p>
          <w:p>
            <w:pPr>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2.响应采购文件实质性要求</w:t>
            </w:r>
          </w:p>
          <w:p>
            <w:pPr>
              <w:pStyle w:val="3"/>
              <w:adjustRightInd w:val="0"/>
              <w:snapToGrid w:val="0"/>
              <w:spacing w:before="0" w:after="0" w:line="240" w:lineRule="auto"/>
              <w:jc w:val="left"/>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sz w:val="21"/>
                <w:szCs w:val="21"/>
              </w:rPr>
              <w:t>3.按规定签章</w:t>
            </w:r>
          </w:p>
        </w:tc>
        <w:tc>
          <w:tcPr>
            <w:tcW w:w="847"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848"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849"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779" w:type="dxa"/>
            <w:noWrap w:val="0"/>
            <w:vAlign w:val="center"/>
          </w:tcPr>
          <w:p>
            <w:pPr>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Cs w:val="21"/>
              </w:rPr>
              <w:t>8</w:t>
            </w:r>
          </w:p>
        </w:tc>
        <w:tc>
          <w:tcPr>
            <w:tcW w:w="2415" w:type="dxa"/>
            <w:shd w:val="clear" w:color="auto" w:fill="auto"/>
            <w:noWrap w:val="0"/>
            <w:vAlign w:val="center"/>
          </w:tcPr>
          <w:p>
            <w:pPr>
              <w:snapToGrid w:val="0"/>
              <w:jc w:val="left"/>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rPr>
              <w:t>响应报价</w:t>
            </w:r>
          </w:p>
        </w:tc>
        <w:tc>
          <w:tcPr>
            <w:tcW w:w="2776" w:type="dxa"/>
            <w:shd w:val="clear" w:color="auto" w:fill="auto"/>
            <w:noWrap w:val="0"/>
            <w:vAlign w:val="top"/>
          </w:tcPr>
          <w:p>
            <w:pPr>
              <w:pStyle w:val="3"/>
              <w:adjustRightInd w:val="0"/>
              <w:snapToGrid w:val="0"/>
              <w:spacing w:before="0" w:after="0" w:line="240" w:lineRule="auto"/>
              <w:jc w:val="left"/>
              <w:rPr>
                <w:rFonts w:hint="eastAsia" w:ascii="仿宋_GB2312" w:hAnsi="仿宋_GB2312" w:eastAsia="仿宋_GB2312" w:cs="仿宋_GB2312"/>
                <w:b w:val="0"/>
                <w:color w:val="auto"/>
                <w:sz w:val="21"/>
                <w:szCs w:val="21"/>
              </w:rPr>
            </w:pPr>
            <w:r>
              <w:rPr>
                <w:rFonts w:hint="eastAsia" w:ascii="仿宋_GB2312" w:hAnsi="仿宋_GB2312" w:eastAsia="仿宋_GB2312" w:cs="仿宋_GB2312"/>
                <w:b w:val="0"/>
                <w:color w:val="auto"/>
                <w:sz w:val="21"/>
                <w:szCs w:val="21"/>
              </w:rPr>
              <w:t>1.响应采购文件实质性要求</w:t>
            </w:r>
          </w:p>
          <w:p>
            <w:pPr>
              <w:pStyle w:val="3"/>
              <w:adjustRightInd w:val="0"/>
              <w:snapToGrid w:val="0"/>
              <w:spacing w:before="0" w:after="0" w:line="240" w:lineRule="auto"/>
              <w:jc w:val="left"/>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sz w:val="21"/>
                <w:szCs w:val="21"/>
              </w:rPr>
              <w:t>2.无供应商须知28.2条所述情形</w:t>
            </w:r>
          </w:p>
        </w:tc>
        <w:tc>
          <w:tcPr>
            <w:tcW w:w="847"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848"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849"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779" w:type="dxa"/>
            <w:noWrap w:val="0"/>
            <w:vAlign w:val="center"/>
          </w:tcPr>
          <w:p>
            <w:pPr>
              <w:snapToGrid w:val="0"/>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9</w:t>
            </w:r>
          </w:p>
        </w:tc>
        <w:tc>
          <w:tcPr>
            <w:tcW w:w="2415" w:type="dxa"/>
            <w:shd w:val="clear" w:color="auto" w:fill="auto"/>
            <w:noWrap w:val="0"/>
            <w:vAlign w:val="center"/>
          </w:tcPr>
          <w:p>
            <w:pPr>
              <w:jc w:val="left"/>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0"/>
                <w:szCs w:val="21"/>
              </w:rPr>
              <w:t>其他符合性证明材料</w:t>
            </w:r>
          </w:p>
        </w:tc>
        <w:tc>
          <w:tcPr>
            <w:tcW w:w="2776" w:type="dxa"/>
            <w:shd w:val="clear" w:color="auto" w:fill="auto"/>
            <w:noWrap w:val="0"/>
            <w:vAlign w:val="center"/>
          </w:tcPr>
          <w:p>
            <w:pP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color w:val="auto"/>
                <w:szCs w:val="21"/>
              </w:rPr>
              <w:t>响应采购文件实质性要求</w:t>
            </w:r>
          </w:p>
        </w:tc>
        <w:tc>
          <w:tcPr>
            <w:tcW w:w="847"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848"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849"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779" w:type="dxa"/>
            <w:noWrap w:val="0"/>
            <w:vAlign w:val="center"/>
          </w:tcPr>
          <w:p>
            <w:pPr>
              <w:snapToGrid w:val="0"/>
              <w:jc w:val="center"/>
              <w:rPr>
                <w:rFonts w:hint="eastAsia" w:ascii="仿宋_GB2312" w:hAnsi="仿宋_GB2312" w:eastAsia="仿宋_GB2312" w:cs="仿宋_GB2312"/>
                <w:color w:val="auto"/>
                <w:szCs w:val="21"/>
              </w:rPr>
            </w:pPr>
          </w:p>
        </w:tc>
        <w:tc>
          <w:tcPr>
            <w:tcW w:w="2415" w:type="dxa"/>
            <w:noWrap w:val="0"/>
            <w:vAlign w:val="center"/>
          </w:tcPr>
          <w:p>
            <w:pPr>
              <w:snapToGrid w:val="0"/>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结论</w:t>
            </w:r>
          </w:p>
        </w:tc>
        <w:tc>
          <w:tcPr>
            <w:tcW w:w="2776"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847"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848"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c>
          <w:tcPr>
            <w:tcW w:w="849" w:type="dxa"/>
            <w:noWrap w:val="0"/>
            <w:vAlign w:val="top"/>
          </w:tcPr>
          <w:p>
            <w:pPr>
              <w:pStyle w:val="3"/>
              <w:adjustRightInd w:val="0"/>
              <w:snapToGrid w:val="0"/>
              <w:spacing w:before="0" w:after="0" w:line="240" w:lineRule="auto"/>
              <w:jc w:val="center"/>
              <w:rPr>
                <w:rFonts w:hint="eastAsia" w:ascii="仿宋_GB2312" w:hAnsi="仿宋_GB2312" w:eastAsia="仿宋_GB2312" w:cs="仿宋_GB2312"/>
                <w:color w:val="auto"/>
                <w:sz w:val="21"/>
                <w:szCs w:val="21"/>
              </w:rPr>
            </w:pPr>
          </w:p>
        </w:tc>
      </w:tr>
    </w:tbl>
    <w:p>
      <w:pPr>
        <w:rPr>
          <w:rFonts w:ascii="仿宋_GB2312" w:hAnsi="仿宋_GB2312" w:eastAsia="仿宋_GB2312" w:cs="仿宋_GB2312"/>
          <w:color w:val="auto"/>
        </w:rPr>
      </w:pPr>
      <w:r>
        <w:rPr>
          <w:rFonts w:hint="eastAsia" w:ascii="仿宋_GB2312" w:hAnsi="仿宋_GB2312" w:eastAsia="仿宋_GB2312" w:cs="仿宋_GB2312"/>
          <w:color w:val="auto"/>
        </w:rPr>
        <w:t>注：《</w:t>
      </w:r>
      <w:r>
        <w:rPr>
          <w:rFonts w:hint="eastAsia" w:ascii="仿宋_GB2312" w:hAnsi="仿宋_GB2312" w:eastAsia="仿宋_GB2312" w:cs="仿宋_GB2312"/>
          <w:color w:val="auto"/>
          <w:lang w:eastAsia="zh-CN"/>
        </w:rPr>
        <w:t>创新产品和服务目录</w:t>
      </w:r>
      <w:r>
        <w:rPr>
          <w:rFonts w:hint="eastAsia" w:ascii="仿宋_GB2312" w:hAnsi="仿宋_GB2312" w:eastAsia="仿宋_GB2312" w:cs="仿宋_GB2312"/>
          <w:color w:val="auto"/>
        </w:rPr>
        <w:t>》内产品、服务证明材料（可视具体情况调整至符合性证明材料及符合性审查表中）</w:t>
      </w:r>
    </w:p>
    <w:p>
      <w:pPr>
        <w:rPr>
          <w:rFonts w:hint="eastAsia" w:ascii="仿宋_GB2312" w:hAnsi="仿宋_GB2312" w:eastAsia="仿宋_GB2312" w:cs="仿宋_GB2312"/>
          <w:color w:val="auto"/>
        </w:rPr>
      </w:pPr>
      <w:r>
        <w:rPr>
          <w:rFonts w:hint="eastAsia" w:ascii="仿宋_GB2312" w:hAnsi="仿宋_GB2312" w:eastAsia="仿宋_GB2312" w:cs="仿宋_GB2312"/>
          <w:color w:val="auto"/>
        </w:rPr>
        <w:t>填表说明：1、每项内容审查合格，在表中填写“√”；不合格填写“×”</w:t>
      </w:r>
    </w:p>
    <w:p>
      <w:pPr>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          2、审查结论填写“通过”或“不通过”</w:t>
      </w:r>
    </w:p>
    <w:p>
      <w:pPr>
        <w:rPr>
          <w:rFonts w:hint="eastAsia" w:ascii="仿宋_GB2312" w:hAnsi="仿宋_GB2312" w:eastAsia="仿宋_GB2312" w:cs="仿宋_GB2312"/>
          <w:color w:val="auto"/>
        </w:rPr>
      </w:pPr>
    </w:p>
    <w:p>
      <w:pPr>
        <w:rPr>
          <w:rFonts w:hint="eastAsia" w:ascii="仿宋_GB2312" w:hAnsi="仿宋_GB2312" w:eastAsia="仿宋_GB2312" w:cs="仿宋_GB2312"/>
          <w:color w:val="auto"/>
        </w:rPr>
      </w:pPr>
    </w:p>
    <w:p>
      <w:pPr>
        <w:spacing w:line="360" w:lineRule="auto"/>
        <w:rPr>
          <w:rFonts w:hint="eastAsia" w:ascii="仿宋_GB2312" w:hAnsi="仿宋_GB2312" w:eastAsia="仿宋_GB2312" w:cs="仿宋_GB2312"/>
          <w:color w:val="auto"/>
        </w:rPr>
      </w:pPr>
      <w:r>
        <w:rPr>
          <w:rFonts w:hint="eastAsia" w:ascii="仿宋_GB2312" w:hAnsi="仿宋_GB2312" w:eastAsia="仿宋_GB2312" w:cs="仿宋_GB2312"/>
          <w:color w:val="auto"/>
        </w:rPr>
        <w:t>审查人签字：</w:t>
      </w:r>
    </w:p>
    <w:p>
      <w:pPr>
        <w:spacing w:line="360" w:lineRule="auto"/>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日      期： </w:t>
      </w:r>
    </w:p>
    <w:p>
      <w:pPr>
        <w:rPr>
          <w:rFonts w:hint="eastAsia" w:ascii="仿宋" w:hAnsi="仿宋" w:eastAsia="仿宋" w:cs="仿宋"/>
          <w:color w:val="auto"/>
          <w:highlight w:val="none"/>
        </w:rPr>
        <w:sectPr>
          <w:footerReference r:id="rId4"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rtlGutter w:val="0"/>
          <w:docGrid w:type="lines" w:linePitch="319" w:charSpace="0"/>
        </w:sectPr>
      </w:pPr>
    </w:p>
    <w:p>
      <w:pPr>
        <w:pStyle w:val="3"/>
        <w:adjustRightInd w:val="0"/>
        <w:snapToGrid w:val="0"/>
        <w:spacing w:before="0" w:after="0" w:line="240" w:lineRule="auto"/>
        <w:jc w:val="left"/>
        <w:rPr>
          <w:rFonts w:hint="eastAsia" w:ascii="仿宋_GB2312" w:hAnsi="仿宋_GB2312" w:eastAsia="仿宋_GB2312" w:cs="仿宋_GB2312"/>
          <w:color w:val="auto"/>
          <w:szCs w:val="32"/>
        </w:rPr>
      </w:pPr>
      <w:bookmarkStart w:id="184" w:name="_Toc17433_WPSOffice_Level2"/>
      <w:r>
        <w:rPr>
          <w:rFonts w:hint="eastAsia" w:ascii="仿宋_GB2312" w:hAnsi="仿宋_GB2312" w:eastAsia="仿宋_GB2312" w:cs="仿宋_GB2312"/>
          <w:color w:val="auto"/>
          <w:szCs w:val="28"/>
        </w:rPr>
        <w:t xml:space="preserve">附件3                   </w:t>
      </w:r>
      <w:r>
        <w:rPr>
          <w:rFonts w:hint="eastAsia" w:ascii="仿宋_GB2312" w:hAnsi="仿宋_GB2312" w:eastAsia="仿宋_GB2312" w:cs="仿宋_GB2312"/>
          <w:color w:val="auto"/>
          <w:szCs w:val="32"/>
        </w:rPr>
        <w:t xml:space="preserve"> </w:t>
      </w:r>
    </w:p>
    <w:p>
      <w:pPr>
        <w:jc w:val="center"/>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评分细则</w:t>
      </w:r>
      <w:bookmarkEnd w:id="184"/>
    </w:p>
    <w:p>
      <w:pPr>
        <w:jc w:val="left"/>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Cs w:val="21"/>
        </w:rPr>
        <w:t>（一）基本评分标准</w:t>
      </w:r>
    </w:p>
    <w:p>
      <w:pPr>
        <w:widowControl/>
        <w:shd w:val="clear" w:color="auto" w:fill="FFFFFF"/>
        <w:spacing w:line="240" w:lineRule="exact"/>
        <w:jc w:val="left"/>
        <w:rPr>
          <w:rFonts w:hint="eastAsia" w:ascii="仿宋_GB2312" w:hAnsi="仿宋_GB2312" w:eastAsia="仿宋_GB2312" w:cs="仿宋_GB2312"/>
          <w:color w:val="auto"/>
          <w:kern w:val="0"/>
          <w:szCs w:val="21"/>
        </w:rPr>
      </w:pPr>
    </w:p>
    <w:tbl>
      <w:tblPr>
        <w:tblStyle w:val="28"/>
        <w:tblpPr w:leftFromText="180" w:rightFromText="180" w:vertAnchor="text" w:horzAnchor="margin" w:tblpXSpec="center" w:tblpY="10"/>
        <w:tblW w:w="10210" w:type="dxa"/>
        <w:tblInd w:w="-4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1289"/>
        <w:gridCol w:w="7301"/>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7" w:type="dxa"/>
            <w:tcBorders>
              <w:top w:val="single" w:color="auto" w:sz="4" w:space="0"/>
              <w:left w:val="single" w:color="auto" w:sz="4" w:space="0"/>
              <w:bottom w:val="single" w:color="auto" w:sz="4" w:space="0"/>
              <w:right w:val="single" w:color="auto" w:sz="4" w:space="0"/>
            </w:tcBorders>
            <w:noWrap w:val="0"/>
            <w:vAlign w:val="center"/>
          </w:tcPr>
          <w:p>
            <w:pPr>
              <w:pStyle w:val="24"/>
              <w:adjustRightInd w:val="0"/>
              <w:snapToGrid w:val="0"/>
              <w:spacing w:before="0" w:beforeAutospacing="0" w:after="0" w:afterAutospacing="0" w:line="240" w:lineRule="atLeast"/>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包号</w:t>
            </w:r>
          </w:p>
        </w:tc>
        <w:tc>
          <w:tcPr>
            <w:tcW w:w="9293" w:type="dxa"/>
            <w:gridSpan w:val="3"/>
            <w:tcBorders>
              <w:top w:val="single" w:color="auto" w:sz="4" w:space="0"/>
              <w:left w:val="single" w:color="auto" w:sz="4" w:space="0"/>
              <w:bottom w:val="single" w:color="auto" w:sz="4" w:space="0"/>
              <w:right w:val="single" w:color="auto" w:sz="4" w:space="0"/>
            </w:tcBorders>
            <w:noWrap w:val="0"/>
            <w:vAlign w:val="center"/>
          </w:tcPr>
          <w:p>
            <w:pPr>
              <w:pStyle w:val="24"/>
              <w:adjustRightInd w:val="0"/>
              <w:snapToGrid w:val="0"/>
              <w:spacing w:before="0" w:beforeAutospacing="0" w:after="0" w:afterAutospacing="0" w:line="240" w:lineRule="atLeast"/>
              <w:jc w:val="center"/>
              <w:rPr>
                <w:rFonts w:hint="default" w:ascii="仿宋" w:hAnsi="仿宋" w:eastAsia="仿宋" w:cs="仿宋"/>
                <w:color w:val="auto"/>
                <w:kern w:val="2"/>
                <w:sz w:val="21"/>
                <w:szCs w:val="21"/>
                <w:highlight w:val="none"/>
                <w:lang w:val="en-US" w:eastAsia="zh-CN"/>
              </w:rPr>
            </w:pPr>
            <w:r>
              <w:rPr>
                <w:rFonts w:hint="eastAsia" w:ascii="仿宋" w:hAnsi="仿宋" w:eastAsia="仿宋" w:cs="仿宋"/>
                <w:color w:val="auto"/>
                <w:kern w:val="2"/>
                <w:sz w:val="21"/>
                <w:szCs w:val="21"/>
                <w:highlight w:val="none"/>
                <w:lang w:val="en-US" w:eastAsia="zh-CN"/>
              </w:rPr>
              <w:t>001包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917" w:type="dxa"/>
            <w:tcBorders>
              <w:top w:val="single" w:color="auto" w:sz="4" w:space="0"/>
              <w:left w:val="single" w:color="auto" w:sz="4" w:space="0"/>
              <w:bottom w:val="single" w:color="auto" w:sz="4" w:space="0"/>
              <w:right w:val="single" w:color="auto" w:sz="4" w:space="0"/>
            </w:tcBorders>
            <w:noWrap w:val="0"/>
            <w:vAlign w:val="center"/>
          </w:tcPr>
          <w:p>
            <w:pPr>
              <w:pStyle w:val="24"/>
              <w:adjustRightInd w:val="0"/>
              <w:snapToGrid w:val="0"/>
              <w:spacing w:before="0" w:beforeAutospacing="0" w:after="0" w:afterAutospacing="0" w:line="240" w:lineRule="atLeast"/>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项目</w:t>
            </w:r>
          </w:p>
        </w:tc>
        <w:tc>
          <w:tcPr>
            <w:tcW w:w="1289" w:type="dxa"/>
            <w:tcBorders>
              <w:top w:val="single" w:color="auto" w:sz="4" w:space="0"/>
              <w:left w:val="single" w:color="auto" w:sz="4" w:space="0"/>
              <w:bottom w:val="single" w:color="auto" w:sz="4" w:space="0"/>
              <w:right w:val="single" w:color="auto" w:sz="4" w:space="0"/>
            </w:tcBorders>
            <w:noWrap w:val="0"/>
            <w:vAlign w:val="center"/>
          </w:tcPr>
          <w:p>
            <w:pPr>
              <w:pStyle w:val="24"/>
              <w:adjustRightInd w:val="0"/>
              <w:snapToGrid w:val="0"/>
              <w:spacing w:before="0" w:beforeAutospacing="0" w:after="0" w:afterAutospacing="0" w:line="240" w:lineRule="atLeast"/>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分项名称</w:t>
            </w:r>
          </w:p>
        </w:tc>
        <w:tc>
          <w:tcPr>
            <w:tcW w:w="7301" w:type="dxa"/>
            <w:tcBorders>
              <w:top w:val="single" w:color="auto" w:sz="4" w:space="0"/>
              <w:left w:val="single" w:color="auto" w:sz="4" w:space="0"/>
              <w:bottom w:val="single" w:color="auto" w:sz="4" w:space="0"/>
              <w:right w:val="single" w:color="auto" w:sz="4" w:space="0"/>
            </w:tcBorders>
            <w:noWrap w:val="0"/>
            <w:vAlign w:val="center"/>
          </w:tcPr>
          <w:p>
            <w:pPr>
              <w:pStyle w:val="24"/>
              <w:adjustRightInd w:val="0"/>
              <w:snapToGrid w:val="0"/>
              <w:spacing w:before="0" w:beforeAutospacing="0" w:after="0" w:afterAutospacing="0" w:line="240" w:lineRule="atLeast"/>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评分标准</w:t>
            </w:r>
          </w:p>
        </w:tc>
        <w:tc>
          <w:tcPr>
            <w:tcW w:w="703" w:type="dxa"/>
            <w:tcBorders>
              <w:top w:val="single" w:color="auto" w:sz="4" w:space="0"/>
              <w:left w:val="single" w:color="auto" w:sz="4" w:space="0"/>
              <w:bottom w:val="single" w:color="auto" w:sz="4" w:space="0"/>
              <w:right w:val="single" w:color="auto" w:sz="4" w:space="0"/>
            </w:tcBorders>
            <w:noWrap w:val="0"/>
            <w:vAlign w:val="center"/>
          </w:tcPr>
          <w:p>
            <w:pPr>
              <w:pStyle w:val="24"/>
              <w:adjustRightInd w:val="0"/>
              <w:snapToGrid w:val="0"/>
              <w:spacing w:before="0" w:beforeAutospacing="0" w:after="0" w:afterAutospacing="0" w:line="240" w:lineRule="atLeast"/>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917" w:type="dxa"/>
            <w:tcBorders>
              <w:top w:val="single" w:color="auto" w:sz="4" w:space="0"/>
              <w:left w:val="single" w:color="auto" w:sz="4" w:space="0"/>
              <w:right w:val="single" w:color="auto" w:sz="4" w:space="0"/>
            </w:tcBorders>
            <w:noWrap w:val="0"/>
            <w:vAlign w:val="center"/>
          </w:tcPr>
          <w:p>
            <w:pPr>
              <w:pStyle w:val="24"/>
              <w:adjustRightInd w:val="0"/>
              <w:snapToGrid w:val="0"/>
              <w:spacing w:before="0" w:beforeAutospacing="0" w:after="0" w:afterAutospacing="0" w:line="240" w:lineRule="atLeast"/>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价格</w:t>
            </w:r>
          </w:p>
          <w:p>
            <w:pPr>
              <w:pStyle w:val="24"/>
              <w:adjustRightInd w:val="0"/>
              <w:snapToGrid w:val="0"/>
              <w:spacing w:before="0" w:beforeAutospacing="0" w:after="0" w:afterAutospacing="0" w:line="240" w:lineRule="atLeast"/>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部分</w:t>
            </w:r>
          </w:p>
        </w:tc>
        <w:tc>
          <w:tcPr>
            <w:tcW w:w="1289" w:type="dxa"/>
            <w:tcBorders>
              <w:top w:val="single" w:color="auto" w:sz="4" w:space="0"/>
              <w:left w:val="single" w:color="auto" w:sz="4" w:space="0"/>
              <w:right w:val="single" w:color="auto" w:sz="4" w:space="0"/>
            </w:tcBorders>
            <w:noWrap w:val="0"/>
            <w:vAlign w:val="center"/>
          </w:tcPr>
          <w:p>
            <w:pPr>
              <w:pStyle w:val="24"/>
              <w:adjustRightInd w:val="0"/>
              <w:snapToGrid w:val="0"/>
              <w:spacing w:before="0" w:beforeAutospacing="0" w:after="0" w:afterAutospacing="0" w:line="240" w:lineRule="atLeast"/>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价格</w:t>
            </w:r>
          </w:p>
        </w:tc>
        <w:tc>
          <w:tcPr>
            <w:tcW w:w="7301" w:type="dxa"/>
            <w:tcBorders>
              <w:top w:val="single" w:color="auto" w:sz="4" w:space="0"/>
              <w:left w:val="single" w:color="auto" w:sz="4" w:space="0"/>
              <w:bottom w:val="single" w:color="auto" w:sz="4" w:space="0"/>
              <w:right w:val="single" w:color="auto" w:sz="4" w:space="0"/>
            </w:tcBorders>
            <w:noWrap w:val="0"/>
            <w:vAlign w:val="center"/>
          </w:tcPr>
          <w:p>
            <w:pPr>
              <w:pStyle w:val="24"/>
              <w:adjustRightInd w:val="0"/>
              <w:snapToGrid w:val="0"/>
              <w:spacing w:before="0" w:beforeAutospacing="0" w:after="0" w:afterAutospacing="0" w:line="240" w:lineRule="atLeast"/>
              <w:jc w:val="both"/>
              <w:rPr>
                <w:rFonts w:hint="eastAsia" w:ascii="仿宋" w:hAnsi="仿宋" w:eastAsia="仿宋" w:cs="仿宋"/>
                <w:color w:val="auto"/>
                <w:kern w:val="2"/>
                <w:sz w:val="21"/>
                <w:szCs w:val="21"/>
                <w:highlight w:val="none"/>
                <w:lang w:eastAsia="zh-CN"/>
              </w:rPr>
            </w:pPr>
            <w:r>
              <w:rPr>
                <w:rFonts w:hint="eastAsia" w:ascii="仿宋" w:hAnsi="仿宋" w:eastAsia="仿宋" w:cs="仿宋"/>
                <w:color w:val="auto"/>
                <w:kern w:val="2"/>
                <w:sz w:val="21"/>
                <w:szCs w:val="21"/>
                <w:highlight w:val="none"/>
                <w:lang w:eastAsia="zh-CN"/>
              </w:rPr>
              <w:t>磋商基准价：</w:t>
            </w:r>
            <w:r>
              <w:rPr>
                <w:rFonts w:hint="eastAsia" w:ascii="仿宋" w:hAnsi="仿宋" w:eastAsia="仿宋" w:cs="仿宋"/>
                <w:color w:val="auto"/>
                <w:kern w:val="2"/>
                <w:sz w:val="21"/>
                <w:szCs w:val="21"/>
                <w:highlight w:val="none"/>
              </w:rPr>
              <w:t>通过初步评审的</w:t>
            </w:r>
            <w:r>
              <w:rPr>
                <w:rFonts w:hint="eastAsia" w:ascii="仿宋" w:hAnsi="仿宋" w:eastAsia="仿宋" w:cs="仿宋"/>
                <w:color w:val="auto"/>
                <w:kern w:val="2"/>
                <w:sz w:val="21"/>
                <w:szCs w:val="21"/>
                <w:highlight w:val="none"/>
                <w:lang w:eastAsia="zh-CN"/>
              </w:rPr>
              <w:t>供应商</w:t>
            </w:r>
            <w:r>
              <w:rPr>
                <w:rFonts w:hint="eastAsia" w:ascii="仿宋" w:hAnsi="仿宋" w:eastAsia="仿宋" w:cs="仿宋"/>
                <w:color w:val="auto"/>
                <w:kern w:val="2"/>
                <w:sz w:val="21"/>
                <w:szCs w:val="21"/>
                <w:highlight w:val="none"/>
              </w:rPr>
              <w:t>超过5家(包含5家)，</w:t>
            </w:r>
            <w:r>
              <w:rPr>
                <w:rFonts w:hint="eastAsia" w:ascii="仿宋" w:hAnsi="仿宋" w:eastAsia="仿宋" w:cs="仿宋"/>
                <w:color w:val="auto"/>
                <w:kern w:val="2"/>
                <w:sz w:val="21"/>
                <w:szCs w:val="21"/>
                <w:highlight w:val="none"/>
                <w:lang w:eastAsia="zh-CN"/>
              </w:rPr>
              <w:t>去</w:t>
            </w:r>
            <w:r>
              <w:rPr>
                <w:rFonts w:hint="eastAsia" w:ascii="仿宋" w:hAnsi="仿宋" w:eastAsia="仿宋" w:cs="仿宋"/>
                <w:color w:val="auto"/>
                <w:kern w:val="2"/>
                <w:sz w:val="21"/>
                <w:szCs w:val="21"/>
                <w:highlight w:val="none"/>
              </w:rPr>
              <w:t>掉报价最高</w:t>
            </w:r>
            <w:r>
              <w:rPr>
                <w:rFonts w:hint="eastAsia" w:ascii="仿宋" w:hAnsi="仿宋" w:eastAsia="仿宋" w:cs="仿宋"/>
                <w:color w:val="auto"/>
                <w:kern w:val="2"/>
                <w:sz w:val="21"/>
                <w:szCs w:val="21"/>
                <w:highlight w:val="none"/>
                <w:lang w:eastAsia="zh-CN"/>
              </w:rPr>
              <w:t>的供应商</w:t>
            </w:r>
            <w:r>
              <w:rPr>
                <w:rFonts w:hint="eastAsia" w:ascii="仿宋" w:hAnsi="仿宋" w:eastAsia="仿宋" w:cs="仿宋"/>
                <w:color w:val="auto"/>
                <w:kern w:val="2"/>
                <w:sz w:val="21"/>
                <w:szCs w:val="21"/>
                <w:highlight w:val="none"/>
              </w:rPr>
              <w:t>和报价</w:t>
            </w:r>
            <w:r>
              <w:rPr>
                <w:rFonts w:hint="eastAsia" w:ascii="仿宋" w:hAnsi="仿宋" w:eastAsia="仿宋" w:cs="仿宋"/>
                <w:color w:val="auto"/>
                <w:kern w:val="2"/>
                <w:sz w:val="21"/>
                <w:szCs w:val="21"/>
                <w:highlight w:val="none"/>
                <w:lang w:eastAsia="zh-CN"/>
              </w:rPr>
              <w:t>最低的供应商的投标报价</w:t>
            </w:r>
            <w:r>
              <w:rPr>
                <w:rFonts w:hint="eastAsia" w:ascii="仿宋" w:hAnsi="仿宋" w:eastAsia="仿宋" w:cs="仿宋"/>
                <w:color w:val="auto"/>
                <w:kern w:val="2"/>
                <w:sz w:val="21"/>
                <w:szCs w:val="21"/>
                <w:highlight w:val="none"/>
              </w:rPr>
              <w:t>(</w:t>
            </w:r>
            <w:r>
              <w:rPr>
                <w:rFonts w:hint="eastAsia" w:ascii="仿宋" w:hAnsi="仿宋" w:eastAsia="仿宋" w:cs="仿宋"/>
                <w:color w:val="auto"/>
                <w:kern w:val="2"/>
                <w:sz w:val="21"/>
                <w:szCs w:val="21"/>
                <w:highlight w:val="none"/>
                <w:lang w:eastAsia="zh-CN"/>
              </w:rPr>
              <w:t>小数点后保留两位小数</w:t>
            </w:r>
            <w:r>
              <w:rPr>
                <w:rFonts w:hint="eastAsia" w:ascii="仿宋" w:hAnsi="仿宋" w:eastAsia="仿宋" w:cs="仿宋"/>
                <w:color w:val="auto"/>
                <w:kern w:val="2"/>
                <w:sz w:val="21"/>
                <w:szCs w:val="21"/>
                <w:highlight w:val="none"/>
              </w:rPr>
              <w:t>)</w:t>
            </w:r>
            <w:r>
              <w:rPr>
                <w:rFonts w:hint="eastAsia" w:ascii="仿宋" w:hAnsi="仿宋" w:eastAsia="仿宋" w:cs="仿宋"/>
                <w:color w:val="auto"/>
                <w:kern w:val="2"/>
                <w:sz w:val="21"/>
                <w:szCs w:val="21"/>
                <w:highlight w:val="none"/>
                <w:lang w:eastAsia="zh-CN"/>
              </w:rPr>
              <w:t>；</w:t>
            </w:r>
            <w:r>
              <w:rPr>
                <w:rFonts w:hint="eastAsia" w:ascii="仿宋" w:hAnsi="仿宋" w:eastAsia="仿宋" w:cs="仿宋"/>
                <w:color w:val="auto"/>
                <w:kern w:val="2"/>
                <w:sz w:val="21"/>
                <w:szCs w:val="21"/>
                <w:highlight w:val="none"/>
              </w:rPr>
              <w:t>若小于5</w:t>
            </w:r>
            <w:r>
              <w:rPr>
                <w:rFonts w:hint="eastAsia" w:ascii="仿宋" w:hAnsi="仿宋" w:eastAsia="仿宋" w:cs="仿宋"/>
                <w:color w:val="auto"/>
                <w:kern w:val="2"/>
                <w:sz w:val="21"/>
                <w:szCs w:val="21"/>
                <w:highlight w:val="none"/>
                <w:lang w:eastAsia="zh-CN"/>
              </w:rPr>
              <w:t>家</w:t>
            </w:r>
            <w:r>
              <w:rPr>
                <w:rFonts w:hint="eastAsia" w:ascii="仿宋" w:hAnsi="仿宋" w:eastAsia="仿宋" w:cs="仿宋"/>
                <w:color w:val="auto"/>
                <w:kern w:val="2"/>
                <w:sz w:val="21"/>
                <w:szCs w:val="21"/>
                <w:highlight w:val="none"/>
              </w:rPr>
              <w:t>，则不去;将其投标报价取算术平均值下浮0%</w:t>
            </w:r>
            <w:r>
              <w:rPr>
                <w:rFonts w:hint="eastAsia" w:ascii="仿宋" w:hAnsi="仿宋" w:eastAsia="仿宋" w:cs="仿宋"/>
                <w:color w:val="auto"/>
                <w:kern w:val="2"/>
                <w:sz w:val="21"/>
                <w:szCs w:val="21"/>
                <w:highlight w:val="none"/>
                <w:lang w:eastAsia="zh-CN"/>
              </w:rPr>
              <w:t>。</w:t>
            </w:r>
          </w:p>
          <w:p>
            <w:pPr>
              <w:pStyle w:val="24"/>
              <w:adjustRightInd w:val="0"/>
              <w:snapToGrid w:val="0"/>
              <w:spacing w:before="0" w:beforeAutospacing="0" w:after="0" w:afterAutospacing="0" w:line="240" w:lineRule="atLeast"/>
              <w:jc w:val="both"/>
              <w:rPr>
                <w:rFonts w:hint="eastAsia" w:ascii="仿宋" w:hAnsi="仿宋" w:eastAsia="仿宋" w:cs="仿宋"/>
                <w:color w:val="auto"/>
                <w:kern w:val="2"/>
                <w:sz w:val="21"/>
                <w:szCs w:val="21"/>
                <w:highlight w:val="none"/>
                <w:lang w:eastAsia="zh-CN"/>
              </w:rPr>
            </w:pPr>
            <w:r>
              <w:rPr>
                <w:rFonts w:hint="eastAsia" w:ascii="仿宋" w:hAnsi="仿宋" w:eastAsia="仿宋" w:cs="仿宋"/>
                <w:color w:val="auto"/>
                <w:kern w:val="2"/>
                <w:sz w:val="21"/>
                <w:szCs w:val="21"/>
                <w:highlight w:val="none"/>
                <w:lang w:eastAsia="zh-CN"/>
              </w:rPr>
              <w:t>磋商报价得分：F=30-(供应商评标价-评标基准价)÷评标基准价</w:t>
            </w:r>
            <w:r>
              <w:rPr>
                <w:rFonts w:hint="default" w:ascii="Arial" w:hAnsi="Arial" w:eastAsia="仿宋" w:cs="Arial"/>
                <w:color w:val="auto"/>
                <w:kern w:val="2"/>
                <w:sz w:val="21"/>
                <w:szCs w:val="21"/>
                <w:highlight w:val="none"/>
                <w:lang w:eastAsia="zh-CN"/>
              </w:rPr>
              <w:t>×</w:t>
            </w:r>
            <w:r>
              <w:rPr>
                <w:rFonts w:hint="eastAsia" w:ascii="仿宋" w:hAnsi="仿宋" w:eastAsia="仿宋" w:cs="仿宋"/>
                <w:color w:val="auto"/>
                <w:kern w:val="2"/>
                <w:sz w:val="21"/>
                <w:szCs w:val="21"/>
                <w:highlight w:val="none"/>
                <w:lang w:eastAsia="zh-CN"/>
              </w:rPr>
              <w:t>100</w:t>
            </w:r>
            <w:r>
              <w:rPr>
                <w:rFonts w:hint="default" w:ascii="Arial" w:hAnsi="Arial" w:eastAsia="仿宋" w:cs="Arial"/>
                <w:color w:val="auto"/>
                <w:kern w:val="2"/>
                <w:sz w:val="21"/>
                <w:szCs w:val="21"/>
                <w:highlight w:val="none"/>
                <w:lang w:eastAsia="zh-CN"/>
              </w:rPr>
              <w:t>×</w:t>
            </w:r>
            <w:r>
              <w:rPr>
                <w:rFonts w:hint="eastAsia" w:ascii="仿宋" w:hAnsi="仿宋" w:eastAsia="仿宋" w:cs="仿宋"/>
                <w:color w:val="auto"/>
                <w:kern w:val="2"/>
                <w:sz w:val="21"/>
                <w:szCs w:val="21"/>
                <w:highlight w:val="none"/>
                <w:lang w:eastAsia="zh-CN"/>
              </w:rPr>
              <w:t>0.2(评标价&gt;基准价时)；</w:t>
            </w:r>
          </w:p>
          <w:p>
            <w:pPr>
              <w:pStyle w:val="24"/>
              <w:adjustRightInd w:val="0"/>
              <w:snapToGrid w:val="0"/>
              <w:spacing w:before="0" w:beforeAutospacing="0" w:after="0" w:afterAutospacing="0" w:line="240" w:lineRule="atLeast"/>
              <w:jc w:val="both"/>
              <w:rPr>
                <w:rFonts w:hint="eastAsia" w:ascii="仿宋" w:hAnsi="仿宋" w:eastAsia="仿宋" w:cs="仿宋"/>
                <w:color w:val="auto"/>
                <w:kern w:val="2"/>
                <w:sz w:val="21"/>
                <w:szCs w:val="21"/>
                <w:highlight w:val="none"/>
                <w:lang w:eastAsia="zh-CN"/>
              </w:rPr>
            </w:pPr>
            <w:r>
              <w:rPr>
                <w:rFonts w:hint="eastAsia" w:ascii="仿宋" w:hAnsi="仿宋" w:eastAsia="仿宋" w:cs="仿宋"/>
                <w:color w:val="auto"/>
                <w:kern w:val="2"/>
                <w:sz w:val="21"/>
                <w:szCs w:val="21"/>
                <w:highlight w:val="none"/>
                <w:lang w:eastAsia="zh-CN"/>
              </w:rPr>
              <w:t>F=30-(评标基准价-供应商评标价)÷评标基准价</w:t>
            </w:r>
            <w:r>
              <w:rPr>
                <w:rFonts w:hint="default" w:ascii="Arial" w:hAnsi="Arial" w:eastAsia="仿宋" w:cs="Arial"/>
                <w:color w:val="auto"/>
                <w:kern w:val="2"/>
                <w:sz w:val="21"/>
                <w:szCs w:val="21"/>
                <w:highlight w:val="none"/>
                <w:lang w:eastAsia="zh-CN"/>
              </w:rPr>
              <w:t>×</w:t>
            </w:r>
            <w:r>
              <w:rPr>
                <w:rFonts w:hint="eastAsia" w:ascii="仿宋" w:hAnsi="仿宋" w:eastAsia="仿宋" w:cs="仿宋"/>
                <w:color w:val="auto"/>
                <w:kern w:val="2"/>
                <w:sz w:val="21"/>
                <w:szCs w:val="21"/>
                <w:highlight w:val="none"/>
                <w:lang w:eastAsia="zh-CN"/>
              </w:rPr>
              <w:t>100</w:t>
            </w:r>
            <w:r>
              <w:rPr>
                <w:rFonts w:hint="default" w:ascii="Arial" w:hAnsi="Arial" w:eastAsia="仿宋" w:cs="Arial"/>
                <w:color w:val="auto"/>
                <w:kern w:val="2"/>
                <w:sz w:val="21"/>
                <w:szCs w:val="21"/>
                <w:highlight w:val="none"/>
                <w:lang w:eastAsia="zh-CN"/>
              </w:rPr>
              <w:t>×</w:t>
            </w:r>
            <w:r>
              <w:rPr>
                <w:rFonts w:hint="eastAsia" w:ascii="仿宋" w:hAnsi="仿宋" w:eastAsia="仿宋" w:cs="仿宋"/>
                <w:color w:val="auto"/>
                <w:kern w:val="2"/>
                <w:sz w:val="21"/>
                <w:szCs w:val="21"/>
                <w:highlight w:val="none"/>
                <w:lang w:eastAsia="zh-CN"/>
              </w:rPr>
              <w:t>0.1(评标价≤基准价时）</w:t>
            </w:r>
          </w:p>
          <w:p>
            <w:pPr>
              <w:pStyle w:val="24"/>
              <w:adjustRightInd w:val="0"/>
              <w:snapToGrid w:val="0"/>
              <w:spacing w:before="0" w:beforeAutospacing="0" w:after="0" w:afterAutospacing="0" w:line="240" w:lineRule="atLeast"/>
              <w:jc w:val="both"/>
              <w:rPr>
                <w:rFonts w:hint="eastAsia" w:ascii="仿宋" w:hAnsi="仿宋" w:eastAsia="仿宋" w:cs="仿宋"/>
                <w:color w:val="auto"/>
                <w:kern w:val="2"/>
                <w:sz w:val="21"/>
                <w:szCs w:val="21"/>
                <w:highlight w:val="none"/>
                <w:lang w:eastAsia="zh-CN"/>
              </w:rPr>
            </w:pPr>
            <w:r>
              <w:rPr>
                <w:rFonts w:hint="eastAsia" w:ascii="仿宋" w:hAnsi="仿宋" w:eastAsia="仿宋" w:cs="仿宋"/>
                <w:color w:val="auto"/>
                <w:kern w:val="2"/>
                <w:sz w:val="21"/>
                <w:szCs w:val="21"/>
                <w:highlight w:val="none"/>
                <w:lang w:eastAsia="zh-CN"/>
              </w:rPr>
              <w:t>备注：偏差绝对值=供应商评标价-评标基准价</w:t>
            </w:r>
          </w:p>
          <w:p>
            <w:pPr>
              <w:pStyle w:val="24"/>
              <w:adjustRightInd w:val="0"/>
              <w:snapToGrid w:val="0"/>
              <w:spacing w:before="0" w:beforeAutospacing="0" w:after="0" w:afterAutospacing="0" w:line="240" w:lineRule="atLeast"/>
              <w:jc w:val="both"/>
              <w:rPr>
                <w:rFonts w:hint="eastAsia" w:ascii="仿宋" w:hAnsi="仿宋" w:eastAsia="仿宋" w:cs="仿宋"/>
                <w:color w:val="auto"/>
                <w:kern w:val="2"/>
                <w:sz w:val="21"/>
                <w:szCs w:val="21"/>
                <w:highlight w:val="none"/>
                <w:lang w:eastAsia="zh-CN"/>
              </w:rPr>
            </w:pPr>
            <w:r>
              <w:rPr>
                <w:rFonts w:hint="eastAsia" w:ascii="仿宋" w:hAnsi="仿宋" w:eastAsia="仿宋" w:cs="仿宋"/>
                <w:color w:val="auto"/>
                <w:kern w:val="2"/>
                <w:sz w:val="21"/>
                <w:szCs w:val="21"/>
                <w:highlight w:val="none"/>
                <w:lang w:eastAsia="zh-CN"/>
              </w:rPr>
              <w:t>偏差率=100%</w:t>
            </w:r>
            <w:r>
              <w:rPr>
                <w:rFonts w:hint="default" w:ascii="Arial" w:hAnsi="Arial" w:eastAsia="仿宋" w:cs="Arial"/>
                <w:color w:val="auto"/>
                <w:kern w:val="2"/>
                <w:sz w:val="21"/>
                <w:szCs w:val="21"/>
                <w:highlight w:val="none"/>
                <w:lang w:eastAsia="zh-CN"/>
              </w:rPr>
              <w:t>×</w:t>
            </w:r>
            <w:r>
              <w:rPr>
                <w:rFonts w:hint="eastAsia" w:ascii="仿宋" w:hAnsi="仿宋" w:eastAsia="仿宋" w:cs="仿宋"/>
                <w:color w:val="auto"/>
                <w:kern w:val="2"/>
                <w:sz w:val="21"/>
                <w:szCs w:val="21"/>
                <w:highlight w:val="none"/>
                <w:lang w:eastAsia="zh-CN"/>
              </w:rPr>
              <w:t>(供应商评标价</w:t>
            </w:r>
            <w:r>
              <w:rPr>
                <w:rFonts w:hint="eastAsia" w:ascii="仿宋" w:hAnsi="仿宋" w:eastAsia="仿宋" w:cs="仿宋"/>
                <w:color w:val="auto"/>
                <w:kern w:val="2"/>
                <w:sz w:val="21"/>
                <w:szCs w:val="21"/>
                <w:highlight w:val="none"/>
                <w:lang w:val="en-US" w:eastAsia="zh-CN"/>
              </w:rPr>
              <w:t>-</w:t>
            </w:r>
            <w:r>
              <w:rPr>
                <w:rFonts w:hint="eastAsia" w:ascii="仿宋" w:hAnsi="仿宋" w:eastAsia="仿宋" w:cs="仿宋"/>
                <w:color w:val="auto"/>
                <w:kern w:val="2"/>
                <w:sz w:val="21"/>
                <w:szCs w:val="21"/>
                <w:highlight w:val="none"/>
                <w:lang w:eastAsia="zh-CN"/>
              </w:rPr>
              <w:t>评标基准价)÷评标基准价</w:t>
            </w:r>
          </w:p>
          <w:p>
            <w:pPr>
              <w:pStyle w:val="24"/>
              <w:adjustRightInd w:val="0"/>
              <w:snapToGrid w:val="0"/>
              <w:spacing w:before="0" w:beforeAutospacing="0" w:after="0" w:afterAutospacing="0" w:line="240" w:lineRule="atLeast"/>
              <w:jc w:val="both"/>
              <w:rPr>
                <w:rFonts w:hint="eastAsia" w:ascii="仿宋" w:hAnsi="仿宋" w:eastAsia="仿宋" w:cs="仿宋"/>
                <w:color w:val="auto"/>
                <w:kern w:val="2"/>
                <w:sz w:val="21"/>
                <w:szCs w:val="21"/>
                <w:highlight w:val="none"/>
                <w:lang w:eastAsia="zh-CN"/>
              </w:rPr>
            </w:pPr>
            <w:r>
              <w:rPr>
                <w:rFonts w:hint="eastAsia" w:ascii="仿宋" w:hAnsi="仿宋" w:eastAsia="仿宋" w:cs="仿宋"/>
                <w:color w:val="auto"/>
                <w:kern w:val="2"/>
                <w:sz w:val="21"/>
                <w:szCs w:val="21"/>
                <w:highlight w:val="none"/>
                <w:lang w:eastAsia="zh-CN"/>
              </w:rPr>
              <w:t>扣分标准:每低1%扣0.1分；每高1%扣0.2分。（小数点后保留两位）</w:t>
            </w:r>
          </w:p>
        </w:tc>
        <w:tc>
          <w:tcPr>
            <w:tcW w:w="703" w:type="dxa"/>
            <w:tcBorders>
              <w:top w:val="single" w:color="auto" w:sz="4" w:space="0"/>
              <w:left w:val="single" w:color="auto" w:sz="4" w:space="0"/>
              <w:bottom w:val="single" w:color="auto" w:sz="4" w:space="0"/>
              <w:right w:val="single" w:color="auto" w:sz="4" w:space="0"/>
            </w:tcBorders>
            <w:noWrap w:val="0"/>
            <w:vAlign w:val="center"/>
          </w:tcPr>
          <w:p>
            <w:pPr>
              <w:pStyle w:val="24"/>
              <w:adjustRightInd w:val="0"/>
              <w:snapToGrid w:val="0"/>
              <w:spacing w:before="0" w:beforeAutospacing="0" w:after="0" w:afterAutospacing="0" w:line="240" w:lineRule="atLeast"/>
              <w:jc w:val="center"/>
              <w:rPr>
                <w:rFonts w:hint="eastAsia" w:ascii="仿宋" w:hAnsi="仿宋" w:eastAsia="仿宋" w:cs="仿宋"/>
                <w:color w:val="auto"/>
                <w:kern w:val="2"/>
                <w:sz w:val="21"/>
                <w:szCs w:val="21"/>
                <w:highlight w:val="none"/>
                <w:lang w:val="en-US" w:eastAsia="zh-CN"/>
              </w:rPr>
            </w:pPr>
            <w:r>
              <w:rPr>
                <w:rFonts w:hint="eastAsia" w:ascii="仿宋" w:hAnsi="仿宋" w:eastAsia="仿宋" w:cs="仿宋"/>
                <w:color w:val="auto"/>
                <w:kern w:val="2"/>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917" w:type="dxa"/>
            <w:vMerge w:val="restart"/>
            <w:tcBorders>
              <w:left w:val="single" w:color="auto" w:sz="4" w:space="0"/>
              <w:right w:val="single" w:color="auto" w:sz="4" w:space="0"/>
            </w:tcBorders>
            <w:noWrap w:val="0"/>
            <w:vAlign w:val="center"/>
          </w:tcPr>
          <w:p>
            <w:pPr>
              <w:widowControl/>
              <w:adjustRightInd w:val="0"/>
              <w:snapToGrid w:val="0"/>
              <w:spacing w:line="240" w:lineRule="atLeast"/>
              <w:jc w:val="center"/>
              <w:rPr>
                <w:rFonts w:hint="eastAsia" w:ascii="仿宋" w:hAnsi="仿宋" w:eastAsia="仿宋" w:cs="仿宋"/>
                <w:color w:val="auto"/>
                <w:sz w:val="21"/>
                <w:szCs w:val="21"/>
                <w:highlight w:val="none"/>
              </w:rPr>
            </w:pPr>
          </w:p>
        </w:tc>
        <w:tc>
          <w:tcPr>
            <w:tcW w:w="1289"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总体概述</w:t>
            </w:r>
          </w:p>
        </w:tc>
        <w:tc>
          <w:tcPr>
            <w:tcW w:w="73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rPr>
                <w:color w:val="auto"/>
              </w:rPr>
            </w:pPr>
            <w:r>
              <w:rPr>
                <w:rFonts w:ascii="仿宋" w:hAnsi="仿宋" w:eastAsia="仿宋" w:cs="仿宋"/>
                <w:color w:val="auto"/>
                <w:kern w:val="0"/>
                <w:sz w:val="20"/>
                <w:szCs w:val="20"/>
                <w:lang w:val="en-US" w:eastAsia="zh-CN" w:bidi="ar"/>
              </w:rPr>
              <w:t xml:space="preserve">综合说明文字清楚，内容全面、应遵循基本原则、指导思想与目标明确，总体 </w:t>
            </w:r>
          </w:p>
          <w:p>
            <w:pPr>
              <w:keepNext w:val="0"/>
              <w:keepLines w:val="0"/>
              <w:widowControl/>
              <w:suppressLineNumbers w:val="0"/>
              <w:jc w:val="left"/>
              <w:rPr>
                <w:color w:val="auto"/>
              </w:rPr>
            </w:pPr>
            <w:r>
              <w:rPr>
                <w:rFonts w:hint="eastAsia" w:ascii="仿宋" w:hAnsi="仿宋" w:eastAsia="仿宋" w:cs="仿宋"/>
                <w:color w:val="auto"/>
                <w:kern w:val="0"/>
                <w:sz w:val="20"/>
                <w:szCs w:val="20"/>
                <w:lang w:val="en-US" w:eastAsia="zh-CN" w:bidi="ar"/>
              </w:rPr>
              <w:t xml:space="preserve">概述合理、可行(7分); </w:t>
            </w:r>
          </w:p>
          <w:p>
            <w:pPr>
              <w:keepNext w:val="0"/>
              <w:keepLines w:val="0"/>
              <w:widowControl/>
              <w:suppressLineNumbers w:val="0"/>
              <w:jc w:val="left"/>
              <w:rPr>
                <w:color w:val="auto"/>
              </w:rPr>
            </w:pPr>
            <w:r>
              <w:rPr>
                <w:rFonts w:hint="eastAsia" w:ascii="仿宋" w:hAnsi="仿宋" w:eastAsia="仿宋" w:cs="仿宋"/>
                <w:color w:val="auto"/>
                <w:kern w:val="0"/>
                <w:sz w:val="20"/>
                <w:szCs w:val="20"/>
                <w:lang w:val="en-US" w:eastAsia="zh-CN" w:bidi="ar"/>
              </w:rPr>
              <w:t xml:space="preserve">基本完整，可行、常规叙述(3分); </w:t>
            </w:r>
          </w:p>
          <w:p>
            <w:pPr>
              <w:keepNext w:val="0"/>
              <w:keepLines w:val="0"/>
              <w:widowControl/>
              <w:suppressLineNumbers w:val="0"/>
              <w:jc w:val="left"/>
              <w:rPr>
                <w:color w:val="auto"/>
              </w:rPr>
            </w:pPr>
            <w:r>
              <w:rPr>
                <w:rFonts w:hint="eastAsia" w:ascii="仿宋" w:hAnsi="仿宋" w:eastAsia="仿宋" w:cs="仿宋"/>
                <w:color w:val="auto"/>
                <w:kern w:val="0"/>
                <w:sz w:val="20"/>
                <w:szCs w:val="20"/>
                <w:lang w:val="en-US" w:eastAsia="zh-CN" w:bidi="ar"/>
              </w:rPr>
              <w:t xml:space="preserve">基本完整，可行性不高、叙述不完善(1分); </w:t>
            </w:r>
          </w:p>
          <w:p>
            <w:pPr>
              <w:keepNext w:val="0"/>
              <w:keepLines w:val="0"/>
              <w:widowControl/>
              <w:suppressLineNumbers w:val="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 w:val="20"/>
                <w:szCs w:val="20"/>
                <w:lang w:val="en-US" w:eastAsia="zh-CN" w:bidi="ar"/>
              </w:rPr>
              <w:t>不合理或不提供，不得分。</w:t>
            </w:r>
          </w:p>
        </w:tc>
        <w:tc>
          <w:tcPr>
            <w:tcW w:w="703" w:type="dxa"/>
            <w:tcBorders>
              <w:top w:val="single" w:color="auto" w:sz="4" w:space="0"/>
              <w:left w:val="single" w:color="auto" w:sz="4" w:space="0"/>
              <w:bottom w:val="single" w:color="auto" w:sz="4" w:space="0"/>
              <w:right w:val="single" w:color="auto" w:sz="4" w:space="0"/>
            </w:tcBorders>
            <w:noWrap w:val="0"/>
            <w:vAlign w:val="center"/>
          </w:tcPr>
          <w:p>
            <w:pPr>
              <w:pStyle w:val="24"/>
              <w:adjustRightInd w:val="0"/>
              <w:snapToGrid w:val="0"/>
              <w:spacing w:before="0" w:beforeAutospacing="0" w:after="0" w:afterAutospacing="0" w:line="240" w:lineRule="atLeast"/>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sz w:val="21"/>
                <w:szCs w:val="21"/>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917" w:type="dxa"/>
            <w:vMerge w:val="continue"/>
            <w:tcBorders>
              <w:left w:val="single" w:color="auto" w:sz="4" w:space="0"/>
              <w:right w:val="single" w:color="auto" w:sz="4" w:space="0"/>
            </w:tcBorders>
            <w:noWrap w:val="0"/>
            <w:vAlign w:val="center"/>
          </w:tcPr>
          <w:p>
            <w:pPr>
              <w:widowControl/>
              <w:adjustRightInd w:val="0"/>
              <w:snapToGrid w:val="0"/>
              <w:spacing w:line="240" w:lineRule="atLeast"/>
              <w:jc w:val="center"/>
              <w:rPr>
                <w:rFonts w:hint="eastAsia" w:ascii="仿宋" w:hAnsi="仿宋" w:eastAsia="仿宋" w:cs="仿宋"/>
                <w:color w:val="auto"/>
                <w:sz w:val="21"/>
                <w:szCs w:val="21"/>
                <w:highlight w:val="none"/>
              </w:rPr>
            </w:pPr>
          </w:p>
        </w:tc>
        <w:tc>
          <w:tcPr>
            <w:tcW w:w="1289"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施工机械设备投入</w:t>
            </w:r>
          </w:p>
        </w:tc>
        <w:tc>
          <w:tcPr>
            <w:tcW w:w="7301"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jc w:val="left"/>
              <w:rPr>
                <w:rFonts w:hint="eastAsia" w:ascii="仿宋" w:hAnsi="仿宋" w:eastAsia="仿宋" w:cs="仿宋"/>
                <w:color w:val="auto"/>
                <w:sz w:val="21"/>
                <w:szCs w:val="21"/>
                <w:highlight w:val="none"/>
              </w:rPr>
            </w:pPr>
            <w:r>
              <w:rPr>
                <w:rFonts w:hint="eastAsia" w:ascii="仿宋" w:hAnsi="仿宋" w:eastAsia="仿宋" w:cs="仿宋"/>
                <w:color w:val="auto"/>
                <w:szCs w:val="21"/>
                <w:highlight w:val="none"/>
              </w:rPr>
              <w:t>施工机械设备投入具有详细的计划方案的得</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分);</w:t>
            </w:r>
          </w:p>
          <w:p>
            <w:pPr>
              <w:snapToGrid w:val="0"/>
              <w:spacing w:line="240" w:lineRule="atLeas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基本完整，可行</w:t>
            </w:r>
            <w:r>
              <w:rPr>
                <w:rFonts w:hint="eastAsia" w:ascii="仿宋" w:hAnsi="仿宋" w:eastAsia="仿宋" w:cs="仿宋"/>
                <w:color w:val="auto"/>
                <w:szCs w:val="21"/>
                <w:highlight w:val="none"/>
              </w:rPr>
              <w:t>的得</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分);</w:t>
            </w:r>
          </w:p>
          <w:p>
            <w:pPr>
              <w:snapToGrid w:val="0"/>
              <w:spacing w:line="240" w:lineRule="atLeas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基本完整，可行性不高</w:t>
            </w:r>
            <w:r>
              <w:rPr>
                <w:rFonts w:hint="eastAsia" w:ascii="仿宋" w:hAnsi="仿宋" w:eastAsia="仿宋" w:cs="仿宋"/>
                <w:color w:val="auto"/>
                <w:szCs w:val="21"/>
                <w:highlight w:val="none"/>
              </w:rPr>
              <w:t>的得</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w:t>
            </w:r>
          </w:p>
          <w:p>
            <w:pPr>
              <w:snapToGrid w:val="0"/>
              <w:spacing w:line="240" w:lineRule="atLeast"/>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不合理或不提供，不得分。</w:t>
            </w:r>
          </w:p>
        </w:tc>
        <w:tc>
          <w:tcPr>
            <w:tcW w:w="70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tLeas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8" w:hRule="atLeast"/>
        </w:trPr>
        <w:tc>
          <w:tcPr>
            <w:tcW w:w="917" w:type="dxa"/>
            <w:vMerge w:val="continue"/>
            <w:tcBorders>
              <w:left w:val="single" w:color="auto" w:sz="4" w:space="0"/>
              <w:right w:val="single" w:color="auto" w:sz="4" w:space="0"/>
            </w:tcBorders>
            <w:noWrap w:val="0"/>
            <w:vAlign w:val="center"/>
          </w:tcPr>
          <w:p>
            <w:pPr>
              <w:widowControl/>
              <w:adjustRightInd w:val="0"/>
              <w:snapToGrid w:val="0"/>
              <w:spacing w:line="240" w:lineRule="atLeast"/>
              <w:jc w:val="center"/>
              <w:rPr>
                <w:rFonts w:hint="eastAsia" w:ascii="仿宋" w:hAnsi="仿宋" w:eastAsia="仿宋" w:cs="仿宋"/>
                <w:color w:val="auto"/>
                <w:sz w:val="21"/>
                <w:szCs w:val="21"/>
                <w:highlight w:val="none"/>
              </w:rPr>
            </w:pPr>
          </w:p>
        </w:tc>
        <w:tc>
          <w:tcPr>
            <w:tcW w:w="1289"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施工方案与技术措施</w:t>
            </w:r>
          </w:p>
        </w:tc>
        <w:tc>
          <w:tcPr>
            <w:tcW w:w="7301"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施工方案及技术措施:</w:t>
            </w:r>
          </w:p>
          <w:p>
            <w:pPr>
              <w:snapToGrid w:val="0"/>
              <w:spacing w:line="240" w:lineRule="atLeas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结合实际进行编制、方案详实、可靠、有针对性，施工段划分合理，措施经济合理、可行(</w:t>
            </w:r>
            <w:r>
              <w:rPr>
                <w:rFonts w:hint="eastAsia" w:ascii="仿宋" w:hAnsi="仿宋" w:eastAsia="仿宋" w:cs="仿宋"/>
                <w:color w:val="auto"/>
                <w:sz w:val="21"/>
                <w:szCs w:val="21"/>
                <w:highlight w:val="none"/>
                <w:lang w:val="en-US" w:eastAsia="zh-CN"/>
              </w:rPr>
              <w:t>7</w:t>
            </w:r>
            <w:r>
              <w:rPr>
                <w:rFonts w:hint="eastAsia" w:ascii="仿宋" w:hAnsi="仿宋" w:eastAsia="仿宋" w:cs="仿宋"/>
                <w:color w:val="auto"/>
                <w:sz w:val="21"/>
                <w:szCs w:val="21"/>
                <w:highlight w:val="none"/>
              </w:rPr>
              <w:t>分);</w:t>
            </w:r>
          </w:p>
          <w:p>
            <w:pPr>
              <w:snapToGrid w:val="0"/>
              <w:spacing w:line="240" w:lineRule="atLeas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基本完整，可行、常规叙述(</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分);</w:t>
            </w:r>
          </w:p>
          <w:p>
            <w:pPr>
              <w:snapToGrid w:val="0"/>
              <w:spacing w:line="240" w:lineRule="atLeas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基本完整，可行性不高、叙述不完善(</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w:t>
            </w:r>
          </w:p>
          <w:p>
            <w:pPr>
              <w:snapToGrid w:val="0"/>
              <w:spacing w:line="240" w:lineRule="atLeas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不合理或不提供，不得分。</w:t>
            </w:r>
          </w:p>
        </w:tc>
        <w:tc>
          <w:tcPr>
            <w:tcW w:w="70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tLeas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917" w:type="dxa"/>
            <w:vMerge w:val="continue"/>
            <w:tcBorders>
              <w:left w:val="single" w:color="auto" w:sz="4" w:space="0"/>
              <w:right w:val="single" w:color="auto" w:sz="4" w:space="0"/>
            </w:tcBorders>
            <w:noWrap w:val="0"/>
            <w:vAlign w:val="center"/>
          </w:tcPr>
          <w:p>
            <w:pPr>
              <w:widowControl/>
              <w:adjustRightInd w:val="0"/>
              <w:snapToGrid w:val="0"/>
              <w:spacing w:line="240" w:lineRule="atLeast"/>
              <w:jc w:val="center"/>
              <w:rPr>
                <w:rFonts w:hint="eastAsia" w:ascii="仿宋" w:hAnsi="仿宋" w:eastAsia="仿宋" w:cs="仿宋"/>
                <w:color w:val="auto"/>
                <w:sz w:val="21"/>
                <w:szCs w:val="21"/>
                <w:highlight w:val="none"/>
              </w:rPr>
            </w:pPr>
          </w:p>
        </w:tc>
        <w:tc>
          <w:tcPr>
            <w:tcW w:w="1289"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关键施工技术及施工重点、难点</w:t>
            </w:r>
          </w:p>
        </w:tc>
        <w:tc>
          <w:tcPr>
            <w:tcW w:w="7301"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关键施工技术及施工重点、难点分析及解决方案:</w:t>
            </w:r>
          </w:p>
          <w:p>
            <w:pPr>
              <w:snapToGrid w:val="0"/>
              <w:spacing w:line="240" w:lineRule="atLeas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对工程重点难点认识深刻、表述全面准确，解决方案科学系统、安全、经济，对施工关键技术把握准确(</w:t>
            </w: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分);</w:t>
            </w:r>
          </w:p>
          <w:p>
            <w:pPr>
              <w:snapToGrid w:val="0"/>
              <w:spacing w:line="240" w:lineRule="atLeas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对重点难点认识一般、表述准确，解决方案科学、系统、安全、经济，对施工关键技术把握基本准确(</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分);</w:t>
            </w:r>
          </w:p>
          <w:p>
            <w:pPr>
              <w:snapToGrid w:val="0"/>
              <w:spacing w:line="240" w:lineRule="atLeas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认识不深刻，表述不全面，或者对施工关键技术把握不准确(</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w:t>
            </w:r>
          </w:p>
          <w:p>
            <w:pPr>
              <w:snapToGrid w:val="0"/>
              <w:spacing w:line="240" w:lineRule="atLeas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不提供不得分。</w:t>
            </w:r>
          </w:p>
        </w:tc>
        <w:tc>
          <w:tcPr>
            <w:tcW w:w="703" w:type="dxa"/>
            <w:tcBorders>
              <w:top w:val="single" w:color="auto" w:sz="4" w:space="0"/>
              <w:left w:val="single" w:color="auto" w:sz="4" w:space="0"/>
              <w:bottom w:val="single" w:color="auto" w:sz="4" w:space="0"/>
              <w:right w:val="single" w:color="auto" w:sz="4" w:space="0"/>
            </w:tcBorders>
            <w:noWrap w:val="0"/>
            <w:vAlign w:val="center"/>
          </w:tcPr>
          <w:p>
            <w:pPr>
              <w:pStyle w:val="24"/>
              <w:adjustRightInd w:val="0"/>
              <w:snapToGrid w:val="0"/>
              <w:spacing w:before="0" w:beforeAutospacing="0" w:after="0" w:afterAutospacing="0" w:line="240" w:lineRule="atLeas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917" w:type="dxa"/>
            <w:vMerge w:val="continue"/>
            <w:tcBorders>
              <w:left w:val="single" w:color="auto" w:sz="4" w:space="0"/>
              <w:right w:val="single" w:color="auto" w:sz="4" w:space="0"/>
            </w:tcBorders>
            <w:noWrap w:val="0"/>
            <w:vAlign w:val="center"/>
          </w:tcPr>
          <w:p>
            <w:pPr>
              <w:widowControl/>
              <w:adjustRightInd w:val="0"/>
              <w:snapToGrid w:val="0"/>
              <w:spacing w:line="240" w:lineRule="atLeast"/>
              <w:jc w:val="center"/>
              <w:rPr>
                <w:rFonts w:hint="eastAsia" w:ascii="仿宋" w:hAnsi="仿宋" w:eastAsia="仿宋" w:cs="仿宋"/>
                <w:color w:val="auto"/>
                <w:sz w:val="21"/>
                <w:szCs w:val="21"/>
                <w:highlight w:val="none"/>
              </w:rPr>
            </w:pPr>
          </w:p>
        </w:tc>
        <w:tc>
          <w:tcPr>
            <w:tcW w:w="1289"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质量管理体系与措施及违约承诺</w:t>
            </w:r>
          </w:p>
        </w:tc>
        <w:tc>
          <w:tcPr>
            <w:tcW w:w="7301"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质量保证措施:</w:t>
            </w:r>
          </w:p>
          <w:p>
            <w:pPr>
              <w:snapToGrid w:val="0"/>
              <w:spacing w:line="240" w:lineRule="atLeas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计划全面细致、结合实际、措施具体，责任到人，整体阐述完善(</w:t>
            </w: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分);</w:t>
            </w:r>
          </w:p>
          <w:p>
            <w:pPr>
              <w:snapToGrid w:val="0"/>
              <w:spacing w:line="240" w:lineRule="atLeas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计划全面、结合实际、措施具体，但整体阐述一般(</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分);</w:t>
            </w:r>
          </w:p>
          <w:p>
            <w:pPr>
              <w:snapToGrid w:val="0"/>
              <w:spacing w:line="240" w:lineRule="atLeas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计划不太全面，整体阐述一般(</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w:t>
            </w:r>
          </w:p>
          <w:p>
            <w:pPr>
              <w:snapToGrid w:val="0"/>
              <w:spacing w:line="240" w:lineRule="atLeas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不提供不得分。</w:t>
            </w:r>
          </w:p>
        </w:tc>
        <w:tc>
          <w:tcPr>
            <w:tcW w:w="70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tLeas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7" w:hRule="atLeast"/>
        </w:trPr>
        <w:tc>
          <w:tcPr>
            <w:tcW w:w="917" w:type="dxa"/>
            <w:vMerge w:val="continue"/>
            <w:tcBorders>
              <w:left w:val="single" w:color="auto" w:sz="4" w:space="0"/>
              <w:right w:val="single" w:color="auto" w:sz="4" w:space="0"/>
            </w:tcBorders>
            <w:noWrap w:val="0"/>
            <w:vAlign w:val="center"/>
          </w:tcPr>
          <w:p>
            <w:pPr>
              <w:widowControl/>
              <w:adjustRightInd w:val="0"/>
              <w:snapToGrid w:val="0"/>
              <w:spacing w:line="240" w:lineRule="atLeast"/>
              <w:jc w:val="center"/>
              <w:rPr>
                <w:rFonts w:hint="eastAsia" w:ascii="仿宋" w:hAnsi="仿宋" w:eastAsia="仿宋" w:cs="仿宋"/>
                <w:color w:val="auto"/>
                <w:sz w:val="21"/>
                <w:szCs w:val="21"/>
                <w:highlight w:val="none"/>
              </w:rPr>
            </w:pPr>
          </w:p>
        </w:tc>
        <w:tc>
          <w:tcPr>
            <w:tcW w:w="1289"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安全管理体系与措施及违约承诺</w:t>
            </w:r>
          </w:p>
        </w:tc>
        <w:tc>
          <w:tcPr>
            <w:tcW w:w="7301"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安全生产和文明施工措施及环保措施与承诺:</w:t>
            </w:r>
          </w:p>
          <w:p>
            <w:pPr>
              <w:snapToGrid w:val="0"/>
              <w:spacing w:line="240" w:lineRule="atLeas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结合实际制定安全文明环保施工措施，计划全面、措施得力、责任人具体，承诺违约责任最大、经济赔偿责任最大(</w:t>
            </w: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分);</w:t>
            </w:r>
          </w:p>
          <w:p>
            <w:pPr>
              <w:snapToGrid w:val="0"/>
              <w:spacing w:line="240" w:lineRule="atLeas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结合实际制定安全文明环保施工措施，计划全面、措施得力、责任人具体，承诺违约责任，经济赔偿责任(</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分);</w:t>
            </w:r>
          </w:p>
          <w:p>
            <w:pPr>
              <w:snapToGrid w:val="0"/>
              <w:spacing w:line="240" w:lineRule="atLeas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计划不全面或者措施不太可行，责任人基本到位，承诺违约责任一般，经济赔偿责任一般(</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w:t>
            </w:r>
          </w:p>
          <w:p>
            <w:pPr>
              <w:snapToGrid w:val="0"/>
              <w:spacing w:line="240" w:lineRule="atLeas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不提供不得分。</w:t>
            </w:r>
          </w:p>
        </w:tc>
        <w:tc>
          <w:tcPr>
            <w:tcW w:w="70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tLeas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917" w:type="dxa"/>
            <w:vMerge w:val="continue"/>
            <w:tcBorders>
              <w:left w:val="single" w:color="auto" w:sz="4" w:space="0"/>
              <w:right w:val="single" w:color="auto" w:sz="4" w:space="0"/>
            </w:tcBorders>
            <w:noWrap w:val="0"/>
            <w:vAlign w:val="center"/>
          </w:tcPr>
          <w:p>
            <w:pPr>
              <w:widowControl/>
              <w:adjustRightInd w:val="0"/>
              <w:snapToGrid w:val="0"/>
              <w:spacing w:line="240" w:lineRule="atLeast"/>
              <w:jc w:val="center"/>
              <w:rPr>
                <w:rFonts w:hint="eastAsia" w:ascii="仿宋" w:hAnsi="仿宋" w:eastAsia="仿宋" w:cs="仿宋"/>
                <w:color w:val="auto"/>
                <w:sz w:val="21"/>
                <w:szCs w:val="21"/>
                <w:highlight w:val="none"/>
              </w:rPr>
            </w:pPr>
          </w:p>
        </w:tc>
        <w:tc>
          <w:tcPr>
            <w:tcW w:w="1289"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工程进度计划与保证措施及违约承诺</w:t>
            </w:r>
          </w:p>
        </w:tc>
        <w:tc>
          <w:tcPr>
            <w:tcW w:w="7301"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施工进度计划编制合理、可行，关键线路清晰、准确、完整，关键节点控制措施得当、可操作性强，保证措施可靠，承诺违约责任经济赔偿高(</w:t>
            </w: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分);</w:t>
            </w:r>
          </w:p>
          <w:p>
            <w:pPr>
              <w:snapToGrid w:val="0"/>
              <w:spacing w:line="240" w:lineRule="atLeas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对施工进度计划编制认识一般、对施工进度把握基本准确(</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分);</w:t>
            </w:r>
          </w:p>
          <w:p>
            <w:pPr>
              <w:snapToGrid w:val="0"/>
              <w:spacing w:line="240" w:lineRule="atLeas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认识不深刻，表述不全面不准确(</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w:t>
            </w:r>
          </w:p>
          <w:p>
            <w:pPr>
              <w:snapToGrid w:val="0"/>
              <w:spacing w:line="240" w:lineRule="atLeast"/>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不提供不得分。</w:t>
            </w:r>
          </w:p>
        </w:tc>
        <w:tc>
          <w:tcPr>
            <w:tcW w:w="703" w:type="dxa"/>
            <w:tcBorders>
              <w:top w:val="single" w:color="auto" w:sz="4" w:space="0"/>
              <w:left w:val="single" w:color="auto" w:sz="4" w:space="0"/>
              <w:bottom w:val="single" w:color="auto" w:sz="4" w:space="0"/>
              <w:right w:val="single" w:color="auto" w:sz="4" w:space="0"/>
            </w:tcBorders>
            <w:noWrap w:val="0"/>
            <w:vAlign w:val="center"/>
          </w:tcPr>
          <w:p>
            <w:pPr>
              <w:pStyle w:val="24"/>
              <w:adjustRightInd w:val="0"/>
              <w:snapToGrid w:val="0"/>
              <w:spacing w:before="0" w:beforeAutospacing="0" w:after="0" w:afterAutospacing="0" w:line="240" w:lineRule="atLeas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917" w:type="dxa"/>
            <w:vMerge w:val="continue"/>
            <w:tcBorders>
              <w:left w:val="single" w:color="auto" w:sz="4" w:space="0"/>
              <w:right w:val="single" w:color="auto" w:sz="4" w:space="0"/>
            </w:tcBorders>
            <w:noWrap w:val="0"/>
            <w:vAlign w:val="center"/>
          </w:tcPr>
          <w:p>
            <w:pPr>
              <w:widowControl/>
              <w:adjustRightInd w:val="0"/>
              <w:snapToGrid w:val="0"/>
              <w:spacing w:line="240" w:lineRule="atLeast"/>
              <w:jc w:val="center"/>
              <w:rPr>
                <w:rFonts w:hint="eastAsia" w:ascii="仿宋" w:hAnsi="仿宋" w:eastAsia="仿宋" w:cs="仿宋"/>
                <w:color w:val="auto"/>
                <w:sz w:val="21"/>
                <w:szCs w:val="21"/>
                <w:highlight w:val="none"/>
              </w:rPr>
            </w:pPr>
          </w:p>
        </w:tc>
        <w:tc>
          <w:tcPr>
            <w:tcW w:w="1289"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资源配备</w:t>
            </w:r>
          </w:p>
          <w:p>
            <w:pPr>
              <w:snapToGrid w:val="0"/>
              <w:spacing w:line="24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计划</w:t>
            </w:r>
          </w:p>
        </w:tc>
        <w:tc>
          <w:tcPr>
            <w:tcW w:w="7301"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劳动力和材料投入计划、工人持证上岗及其保证措施:</w:t>
            </w:r>
          </w:p>
          <w:p>
            <w:pPr>
              <w:snapToGrid w:val="0"/>
              <w:spacing w:line="240" w:lineRule="atLeas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人员计划完全满足项目施工要求(</w:t>
            </w: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分);</w:t>
            </w:r>
          </w:p>
          <w:p>
            <w:pPr>
              <w:snapToGrid w:val="0"/>
              <w:spacing w:line="240" w:lineRule="atLeas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人员计划基本满足项目施工要求(3分);</w:t>
            </w:r>
          </w:p>
          <w:p>
            <w:pPr>
              <w:snapToGrid w:val="0"/>
              <w:spacing w:line="240" w:lineRule="atLeas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人员计划欠合理(1分);</w:t>
            </w:r>
          </w:p>
          <w:p>
            <w:pPr>
              <w:snapToGrid w:val="0"/>
              <w:spacing w:line="240" w:lineRule="atLeas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不提供不得分。</w:t>
            </w:r>
          </w:p>
        </w:tc>
        <w:tc>
          <w:tcPr>
            <w:tcW w:w="703" w:type="dxa"/>
            <w:tcBorders>
              <w:top w:val="single" w:color="auto" w:sz="4" w:space="0"/>
              <w:left w:val="single" w:color="auto" w:sz="4" w:space="0"/>
              <w:bottom w:val="single" w:color="auto" w:sz="4" w:space="0"/>
              <w:right w:val="single" w:color="auto" w:sz="4" w:space="0"/>
            </w:tcBorders>
            <w:noWrap w:val="0"/>
            <w:vAlign w:val="center"/>
          </w:tcPr>
          <w:p>
            <w:pPr>
              <w:pStyle w:val="24"/>
              <w:adjustRightInd w:val="0"/>
              <w:snapToGrid w:val="0"/>
              <w:spacing w:before="0" w:beforeAutospacing="0" w:after="0" w:afterAutospacing="0" w:line="240" w:lineRule="atLeast"/>
              <w:jc w:val="center"/>
              <w:rPr>
                <w:rFonts w:hint="default" w:ascii="仿宋" w:hAnsi="仿宋" w:eastAsia="仿宋" w:cs="仿宋"/>
                <w:color w:val="auto"/>
                <w:kern w:val="2"/>
                <w:sz w:val="21"/>
                <w:szCs w:val="21"/>
                <w:highlight w:val="none"/>
                <w:lang w:val="en-US" w:eastAsia="zh-CN"/>
              </w:rPr>
            </w:pPr>
            <w:r>
              <w:rPr>
                <w:rFonts w:hint="eastAsia" w:ascii="仿宋" w:hAnsi="仿宋" w:eastAsia="仿宋" w:cs="仿宋"/>
                <w:color w:val="auto"/>
                <w:kern w:val="2"/>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 w:hRule="atLeast"/>
        </w:trPr>
        <w:tc>
          <w:tcPr>
            <w:tcW w:w="917" w:type="dxa"/>
            <w:vMerge w:val="continue"/>
            <w:tcBorders>
              <w:left w:val="single" w:color="auto" w:sz="4" w:space="0"/>
              <w:right w:val="single" w:color="auto" w:sz="4" w:space="0"/>
            </w:tcBorders>
            <w:noWrap w:val="0"/>
            <w:vAlign w:val="center"/>
          </w:tcPr>
          <w:p>
            <w:pPr>
              <w:widowControl/>
              <w:adjustRightInd w:val="0"/>
              <w:snapToGrid w:val="0"/>
              <w:spacing w:line="240" w:lineRule="atLeast"/>
              <w:jc w:val="center"/>
              <w:rPr>
                <w:rFonts w:hint="eastAsia" w:ascii="仿宋" w:hAnsi="仿宋" w:eastAsia="仿宋" w:cs="仿宋"/>
                <w:color w:val="auto"/>
                <w:sz w:val="21"/>
                <w:szCs w:val="21"/>
                <w:highlight w:val="none"/>
              </w:rPr>
            </w:pPr>
          </w:p>
        </w:tc>
        <w:tc>
          <w:tcPr>
            <w:tcW w:w="1289"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技术创新绿色节能等在应用过程中的保证措施</w:t>
            </w:r>
          </w:p>
        </w:tc>
        <w:tc>
          <w:tcPr>
            <w:tcW w:w="7301"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结合项目实际提出技术创新、绿色节能等在项目过程中的应用，保证措施科学、系统、完整、严谨，可操作性强得</w:t>
            </w: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分</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w:t>
            </w:r>
          </w:p>
          <w:p>
            <w:pPr>
              <w:snapToGrid w:val="0"/>
              <w:spacing w:line="240" w:lineRule="atLeas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保证措施科学、完整、有可操作性强得</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分</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w:t>
            </w:r>
          </w:p>
          <w:p>
            <w:pPr>
              <w:snapToGrid w:val="0"/>
              <w:spacing w:line="240" w:lineRule="atLeas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一般叙述得</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1分</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w:t>
            </w:r>
          </w:p>
          <w:p>
            <w:pPr>
              <w:snapToGrid w:val="0"/>
              <w:spacing w:line="240" w:lineRule="atLeas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不提供不得分。</w:t>
            </w:r>
          </w:p>
        </w:tc>
        <w:tc>
          <w:tcPr>
            <w:tcW w:w="703" w:type="dxa"/>
            <w:tcBorders>
              <w:top w:val="single" w:color="auto" w:sz="4" w:space="0"/>
              <w:left w:val="single" w:color="auto" w:sz="4" w:space="0"/>
              <w:bottom w:val="single" w:color="auto" w:sz="4" w:space="0"/>
              <w:right w:val="single" w:color="auto" w:sz="4" w:space="0"/>
            </w:tcBorders>
            <w:noWrap w:val="0"/>
            <w:vAlign w:val="center"/>
          </w:tcPr>
          <w:p>
            <w:pPr>
              <w:pStyle w:val="24"/>
              <w:adjustRightInd w:val="0"/>
              <w:snapToGrid w:val="0"/>
              <w:spacing w:before="0" w:beforeAutospacing="0" w:after="0" w:afterAutospacing="0" w:line="240" w:lineRule="atLeast"/>
              <w:jc w:val="center"/>
              <w:rPr>
                <w:rFonts w:hint="default" w:ascii="仿宋" w:hAnsi="仿宋" w:eastAsia="仿宋" w:cs="仿宋"/>
                <w:color w:val="auto"/>
                <w:kern w:val="2"/>
                <w:sz w:val="21"/>
                <w:szCs w:val="21"/>
                <w:highlight w:val="none"/>
                <w:lang w:val="en-US" w:eastAsia="zh-CN"/>
              </w:rPr>
            </w:pPr>
            <w:r>
              <w:rPr>
                <w:rFonts w:hint="eastAsia" w:ascii="仿宋" w:hAnsi="仿宋" w:eastAsia="仿宋" w:cs="仿宋"/>
                <w:color w:val="auto"/>
                <w:kern w:val="2"/>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atLeast"/>
        </w:trPr>
        <w:tc>
          <w:tcPr>
            <w:tcW w:w="917" w:type="dxa"/>
            <w:vMerge w:val="restart"/>
            <w:tcBorders>
              <w:top w:val="single" w:color="auto" w:sz="4" w:space="0"/>
              <w:left w:val="single" w:color="auto" w:sz="4" w:space="0"/>
              <w:right w:val="single" w:color="auto" w:sz="4" w:space="0"/>
            </w:tcBorders>
            <w:noWrap w:val="0"/>
            <w:vAlign w:val="center"/>
          </w:tcPr>
          <w:p>
            <w:pPr>
              <w:pStyle w:val="24"/>
              <w:adjustRightInd w:val="0"/>
              <w:snapToGrid w:val="0"/>
              <w:spacing w:before="0" w:beforeAutospacing="0" w:after="0" w:afterAutospacing="0" w:line="240" w:lineRule="atLeast"/>
              <w:jc w:val="both"/>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商务</w:t>
            </w:r>
          </w:p>
          <w:p>
            <w:pPr>
              <w:pStyle w:val="24"/>
              <w:adjustRightInd w:val="0"/>
              <w:snapToGrid w:val="0"/>
              <w:spacing w:before="0" w:beforeAutospacing="0" w:after="0" w:afterAutospacing="0" w:line="240" w:lineRule="atLeast"/>
              <w:jc w:val="both"/>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部分</w:t>
            </w:r>
          </w:p>
          <w:p>
            <w:pPr>
              <w:pStyle w:val="24"/>
              <w:adjustRightInd w:val="0"/>
              <w:snapToGrid w:val="0"/>
              <w:spacing w:before="0" w:beforeAutospacing="0" w:after="0" w:afterAutospacing="0" w:line="240" w:lineRule="atLeast"/>
              <w:jc w:val="both"/>
              <w:rPr>
                <w:rFonts w:hint="eastAsia" w:ascii="仿宋" w:hAnsi="仿宋" w:eastAsia="仿宋" w:cs="仿宋"/>
                <w:color w:val="auto"/>
                <w:kern w:val="2"/>
                <w:sz w:val="21"/>
                <w:szCs w:val="21"/>
                <w:highlight w:val="none"/>
                <w:lang w:eastAsia="zh-CN"/>
              </w:rPr>
            </w:pPr>
          </w:p>
        </w:tc>
        <w:tc>
          <w:tcPr>
            <w:tcW w:w="1289" w:type="dxa"/>
            <w:tcBorders>
              <w:top w:val="single" w:color="auto" w:sz="4" w:space="0"/>
              <w:left w:val="single" w:color="auto" w:sz="4" w:space="0"/>
              <w:right w:val="single" w:color="auto" w:sz="4" w:space="0"/>
            </w:tcBorders>
            <w:noWrap w:val="0"/>
            <w:vAlign w:val="center"/>
          </w:tcPr>
          <w:p>
            <w:pPr>
              <w:pStyle w:val="24"/>
              <w:adjustRightInd w:val="0"/>
              <w:snapToGrid w:val="0"/>
              <w:spacing w:before="0" w:beforeAutospacing="0" w:after="0" w:afterAutospacing="0" w:line="240" w:lineRule="atLeas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项目组织</w:t>
            </w:r>
          </w:p>
          <w:p>
            <w:pPr>
              <w:pStyle w:val="24"/>
              <w:adjustRightInd w:val="0"/>
              <w:snapToGrid w:val="0"/>
              <w:spacing w:before="0" w:beforeAutospacing="0" w:after="0" w:afterAutospacing="0" w:line="24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机构人员</w:t>
            </w:r>
          </w:p>
        </w:tc>
        <w:tc>
          <w:tcPr>
            <w:tcW w:w="7301" w:type="dxa"/>
            <w:tcBorders>
              <w:top w:val="single" w:color="auto" w:sz="4" w:space="0"/>
              <w:left w:val="single" w:color="auto" w:sz="4" w:space="0"/>
              <w:right w:val="single" w:color="auto" w:sz="4" w:space="0"/>
            </w:tcBorders>
            <w:noWrap w:val="0"/>
            <w:vAlign w:val="center"/>
          </w:tcPr>
          <w:p>
            <w:pPr>
              <w:pStyle w:val="24"/>
              <w:adjustRightInd w:val="0"/>
              <w:snapToGrid w:val="0"/>
              <w:spacing w:before="0" w:beforeAutospacing="0" w:after="0" w:afterAutospacing="0" w:line="240" w:lineRule="atLeas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项目组织机构人员（施工员、质量员、安全员、材料员、资料员）每提供一项得1分，最多得5分。[注:评审依据供应商响应文件中提供人员劳动合同或养老保险复印件、证书复印件以上资料须加盖供应商公章，没有或上述资料不全的不得分]</w:t>
            </w:r>
          </w:p>
        </w:tc>
        <w:tc>
          <w:tcPr>
            <w:tcW w:w="703" w:type="dxa"/>
            <w:tcBorders>
              <w:top w:val="single" w:color="auto" w:sz="4" w:space="0"/>
              <w:left w:val="single" w:color="auto" w:sz="4" w:space="0"/>
              <w:right w:val="single" w:color="auto" w:sz="4" w:space="0"/>
            </w:tcBorders>
            <w:noWrap w:val="0"/>
            <w:vAlign w:val="center"/>
          </w:tcPr>
          <w:p>
            <w:pPr>
              <w:pStyle w:val="24"/>
              <w:adjustRightInd w:val="0"/>
              <w:snapToGrid w:val="0"/>
              <w:spacing w:before="0" w:beforeAutospacing="0" w:after="0" w:afterAutospacing="0" w:line="240" w:lineRule="atLeast"/>
              <w:jc w:val="center"/>
              <w:rPr>
                <w:rFonts w:hint="default" w:ascii="仿宋" w:hAnsi="仿宋" w:eastAsia="仿宋" w:cs="仿宋"/>
                <w:color w:val="auto"/>
                <w:kern w:val="2"/>
                <w:sz w:val="21"/>
                <w:szCs w:val="21"/>
                <w:highlight w:val="none"/>
                <w:lang w:val="en-US" w:eastAsia="zh-CN"/>
              </w:rPr>
            </w:pPr>
            <w:r>
              <w:rPr>
                <w:rFonts w:hint="eastAsia" w:ascii="仿宋" w:hAnsi="仿宋" w:eastAsia="仿宋" w:cs="仿宋"/>
                <w:color w:val="auto"/>
                <w:kern w:val="2"/>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atLeast"/>
        </w:trPr>
        <w:tc>
          <w:tcPr>
            <w:tcW w:w="917" w:type="dxa"/>
            <w:vMerge w:val="continue"/>
            <w:tcBorders>
              <w:left w:val="single" w:color="auto" w:sz="4" w:space="0"/>
              <w:right w:val="single" w:color="auto" w:sz="4" w:space="0"/>
            </w:tcBorders>
            <w:noWrap w:val="0"/>
            <w:vAlign w:val="center"/>
          </w:tcPr>
          <w:p>
            <w:pPr>
              <w:pStyle w:val="24"/>
              <w:adjustRightInd w:val="0"/>
              <w:snapToGrid w:val="0"/>
              <w:spacing w:before="0" w:beforeAutospacing="0" w:after="0" w:afterAutospacing="0" w:line="240" w:lineRule="atLeast"/>
              <w:jc w:val="both"/>
              <w:rPr>
                <w:rFonts w:hint="eastAsia" w:ascii="仿宋" w:hAnsi="仿宋" w:eastAsia="仿宋" w:cs="仿宋"/>
                <w:color w:val="auto"/>
                <w:kern w:val="2"/>
                <w:sz w:val="21"/>
                <w:szCs w:val="21"/>
                <w:highlight w:val="none"/>
              </w:rPr>
            </w:pPr>
          </w:p>
        </w:tc>
        <w:tc>
          <w:tcPr>
            <w:tcW w:w="1289" w:type="dxa"/>
            <w:tcBorders>
              <w:top w:val="single" w:color="auto" w:sz="4" w:space="0"/>
              <w:left w:val="single" w:color="auto" w:sz="4" w:space="0"/>
              <w:right w:val="single" w:color="auto" w:sz="4" w:space="0"/>
            </w:tcBorders>
            <w:noWrap w:val="0"/>
            <w:vAlign w:val="center"/>
          </w:tcPr>
          <w:p>
            <w:pPr>
              <w:pStyle w:val="24"/>
              <w:adjustRightInd w:val="0"/>
              <w:snapToGrid w:val="0"/>
              <w:spacing w:before="0" w:beforeAutospacing="0" w:after="0" w:afterAutospacing="0" w:line="24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体系认证</w:t>
            </w:r>
          </w:p>
        </w:tc>
        <w:tc>
          <w:tcPr>
            <w:tcW w:w="7301" w:type="dxa"/>
            <w:tcBorders>
              <w:top w:val="single" w:color="auto" w:sz="4" w:space="0"/>
              <w:left w:val="single" w:color="auto" w:sz="4" w:space="0"/>
              <w:right w:val="single" w:color="auto" w:sz="4" w:space="0"/>
            </w:tcBorders>
            <w:noWrap w:val="0"/>
            <w:vAlign w:val="center"/>
          </w:tcPr>
          <w:p>
            <w:pPr>
              <w:pStyle w:val="24"/>
              <w:adjustRightInd w:val="0"/>
              <w:snapToGrid w:val="0"/>
              <w:spacing w:before="0" w:beforeAutospacing="0" w:after="0" w:afterAutospacing="0" w:line="240" w:lineRule="atLeas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具备有效期内的质量管理体系、环境管理体系、职业健康安全管理体系</w:t>
            </w:r>
            <w:r>
              <w:rPr>
                <w:rFonts w:hint="eastAsia" w:ascii="仿宋" w:hAnsi="仿宋" w:eastAsia="仿宋" w:cs="仿宋"/>
                <w:color w:val="auto"/>
                <w:sz w:val="21"/>
                <w:szCs w:val="21"/>
                <w:highlight w:val="none"/>
                <w:lang w:val="en-US" w:eastAsia="zh-CN"/>
              </w:rPr>
              <w:t>认证证书，</w:t>
            </w:r>
            <w:r>
              <w:rPr>
                <w:rFonts w:hint="eastAsia" w:ascii="仿宋" w:hAnsi="仿宋" w:eastAsia="仿宋" w:cs="仿宋"/>
                <w:color w:val="auto"/>
                <w:sz w:val="21"/>
                <w:szCs w:val="21"/>
                <w:highlight w:val="none"/>
              </w:rPr>
              <w:t>每提供1项得</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分，最多得</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分。</w:t>
            </w:r>
          </w:p>
          <w:p>
            <w:pPr>
              <w:pStyle w:val="24"/>
              <w:adjustRightInd w:val="0"/>
              <w:snapToGrid w:val="0"/>
              <w:spacing w:before="0" w:beforeAutospacing="0" w:after="0" w:afterAutospacing="0" w:line="240" w:lineRule="atLeas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（提供体系认证证书的复印件并加盖公章为评审依据，不提供不得分。）</w:t>
            </w:r>
          </w:p>
        </w:tc>
        <w:tc>
          <w:tcPr>
            <w:tcW w:w="703" w:type="dxa"/>
            <w:tcBorders>
              <w:top w:val="single" w:color="auto" w:sz="4" w:space="0"/>
              <w:left w:val="single" w:color="auto" w:sz="4" w:space="0"/>
              <w:right w:val="single" w:color="auto" w:sz="4" w:space="0"/>
            </w:tcBorders>
            <w:noWrap w:val="0"/>
            <w:vAlign w:val="center"/>
          </w:tcPr>
          <w:p>
            <w:pPr>
              <w:widowControl/>
              <w:jc w:val="center"/>
              <w:rPr>
                <w:rFonts w:hint="default" w:ascii="仿宋" w:hAnsi="仿宋" w:eastAsia="仿宋" w:cs="仿宋"/>
                <w:color w:val="auto"/>
                <w:kern w:val="2"/>
                <w:sz w:val="21"/>
                <w:szCs w:val="21"/>
                <w:highlight w:val="none"/>
                <w:lang w:val="en-US" w:eastAsia="zh-CN"/>
              </w:rPr>
            </w:pPr>
            <w:r>
              <w:rPr>
                <w:rFonts w:hint="eastAsia" w:ascii="仿宋" w:hAnsi="仿宋" w:eastAsia="仿宋" w:cs="仿宋"/>
                <w:color w:val="auto"/>
                <w:kern w:val="2"/>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atLeast"/>
        </w:trPr>
        <w:tc>
          <w:tcPr>
            <w:tcW w:w="917" w:type="dxa"/>
            <w:vMerge w:val="continue"/>
            <w:tcBorders>
              <w:left w:val="single" w:color="auto" w:sz="4" w:space="0"/>
              <w:right w:val="single" w:color="auto" w:sz="4" w:space="0"/>
            </w:tcBorders>
            <w:noWrap w:val="0"/>
            <w:vAlign w:val="center"/>
          </w:tcPr>
          <w:p>
            <w:pPr>
              <w:pStyle w:val="24"/>
              <w:adjustRightInd w:val="0"/>
              <w:snapToGrid w:val="0"/>
              <w:spacing w:before="0" w:beforeAutospacing="0" w:after="0" w:afterAutospacing="0" w:line="240" w:lineRule="atLeast"/>
              <w:jc w:val="both"/>
              <w:rPr>
                <w:rFonts w:hint="eastAsia" w:ascii="仿宋" w:hAnsi="仿宋" w:eastAsia="仿宋" w:cs="仿宋"/>
                <w:color w:val="auto"/>
                <w:kern w:val="2"/>
                <w:sz w:val="21"/>
                <w:szCs w:val="21"/>
                <w:highlight w:val="none"/>
              </w:rPr>
            </w:pPr>
          </w:p>
        </w:tc>
        <w:tc>
          <w:tcPr>
            <w:tcW w:w="1289" w:type="dxa"/>
            <w:tcBorders>
              <w:top w:val="single" w:color="auto" w:sz="4" w:space="0"/>
              <w:left w:val="single" w:color="auto" w:sz="4" w:space="0"/>
              <w:right w:val="single" w:color="auto" w:sz="4" w:space="0"/>
            </w:tcBorders>
            <w:noWrap w:val="0"/>
            <w:vAlign w:val="center"/>
          </w:tcPr>
          <w:p>
            <w:pPr>
              <w:pStyle w:val="24"/>
              <w:adjustRightInd w:val="0"/>
              <w:snapToGrid w:val="0"/>
              <w:spacing w:before="0" w:beforeAutospacing="0" w:after="0" w:afterAutospacing="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rPr>
              <w:t>企业业绩</w:t>
            </w:r>
          </w:p>
        </w:tc>
        <w:tc>
          <w:tcPr>
            <w:tcW w:w="7301" w:type="dxa"/>
            <w:tcBorders>
              <w:top w:val="single" w:color="auto" w:sz="4" w:space="0"/>
              <w:left w:val="single" w:color="auto" w:sz="4" w:space="0"/>
              <w:right w:val="single" w:color="auto" w:sz="4" w:space="0"/>
            </w:tcBorders>
            <w:noWrap w:val="0"/>
            <w:vAlign w:val="center"/>
          </w:tcPr>
          <w:p>
            <w:p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提供类似项目业绩，中标通知书(或直接发包通知书)或合同。每提供一份得</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分，最高</w:t>
            </w: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分。</w:t>
            </w:r>
          </w:p>
          <w:p>
            <w:pPr>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注:响应文件中以合同或中标通知书原件扫描件并加盖公章作为评审依据，否则不得分。</w:t>
            </w:r>
          </w:p>
        </w:tc>
        <w:tc>
          <w:tcPr>
            <w:tcW w:w="703" w:type="dxa"/>
            <w:tcBorders>
              <w:top w:val="single" w:color="auto" w:sz="4" w:space="0"/>
              <w:left w:val="single" w:color="auto" w:sz="4" w:space="0"/>
              <w:right w:val="single" w:color="auto" w:sz="4" w:space="0"/>
            </w:tcBorders>
            <w:noWrap w:val="0"/>
            <w:vAlign w:val="center"/>
          </w:tcPr>
          <w:p>
            <w:pPr>
              <w:widowControl/>
              <w:jc w:val="center"/>
              <w:rPr>
                <w:rFonts w:hint="default" w:ascii="仿宋" w:hAnsi="仿宋" w:eastAsia="仿宋" w:cs="仿宋"/>
                <w:color w:val="auto"/>
                <w:kern w:val="2"/>
                <w:sz w:val="21"/>
                <w:szCs w:val="21"/>
                <w:highlight w:val="none"/>
                <w:lang w:val="en-US" w:eastAsia="zh-CN"/>
              </w:rPr>
            </w:pPr>
            <w:r>
              <w:rPr>
                <w:rFonts w:hint="eastAsia" w:ascii="仿宋" w:hAnsi="仿宋" w:eastAsia="仿宋" w:cs="仿宋"/>
                <w:color w:val="auto"/>
                <w:kern w:val="2"/>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917" w:type="dxa"/>
            <w:tcBorders>
              <w:top w:val="single" w:color="auto" w:sz="4" w:space="0"/>
              <w:left w:val="single" w:color="auto" w:sz="4" w:space="0"/>
              <w:bottom w:val="single" w:color="auto" w:sz="4" w:space="0"/>
              <w:right w:val="single" w:color="auto" w:sz="4" w:space="0"/>
            </w:tcBorders>
            <w:noWrap w:val="0"/>
            <w:vAlign w:val="center"/>
          </w:tcPr>
          <w:p>
            <w:pPr>
              <w:pStyle w:val="24"/>
              <w:adjustRightInd w:val="0"/>
              <w:snapToGrid w:val="0"/>
              <w:spacing w:before="0" w:beforeAutospacing="0" w:after="0" w:afterAutospacing="0" w:line="240" w:lineRule="atLeast"/>
              <w:jc w:val="both"/>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合计</w:t>
            </w:r>
          </w:p>
        </w:tc>
        <w:tc>
          <w:tcPr>
            <w:tcW w:w="1289" w:type="dxa"/>
            <w:tcBorders>
              <w:top w:val="single" w:color="auto" w:sz="4" w:space="0"/>
              <w:left w:val="single" w:color="auto" w:sz="4" w:space="0"/>
              <w:bottom w:val="single" w:color="auto" w:sz="4" w:space="0"/>
              <w:right w:val="single" w:color="auto" w:sz="4" w:space="0"/>
            </w:tcBorders>
            <w:noWrap w:val="0"/>
            <w:vAlign w:val="center"/>
          </w:tcPr>
          <w:p>
            <w:pPr>
              <w:pStyle w:val="24"/>
              <w:adjustRightInd w:val="0"/>
              <w:snapToGrid w:val="0"/>
              <w:spacing w:before="0" w:beforeAutospacing="0" w:after="0" w:afterAutospacing="0" w:line="240" w:lineRule="atLeast"/>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w:t>
            </w:r>
          </w:p>
        </w:tc>
        <w:tc>
          <w:tcPr>
            <w:tcW w:w="7301" w:type="dxa"/>
            <w:tcBorders>
              <w:top w:val="single" w:color="auto" w:sz="4" w:space="0"/>
              <w:left w:val="single" w:color="auto" w:sz="4" w:space="0"/>
              <w:bottom w:val="single" w:color="auto" w:sz="4" w:space="0"/>
              <w:right w:val="single" w:color="auto" w:sz="4" w:space="0"/>
            </w:tcBorders>
            <w:noWrap w:val="0"/>
            <w:vAlign w:val="center"/>
          </w:tcPr>
          <w:p>
            <w:pPr>
              <w:pStyle w:val="24"/>
              <w:adjustRightInd w:val="0"/>
              <w:snapToGrid w:val="0"/>
              <w:spacing w:before="0" w:beforeAutospacing="0" w:after="0" w:afterAutospacing="0" w:line="240" w:lineRule="atLeast"/>
              <w:jc w:val="center"/>
              <w:rPr>
                <w:rFonts w:hint="eastAsia" w:ascii="仿宋" w:hAnsi="仿宋" w:eastAsia="仿宋" w:cs="仿宋"/>
                <w:color w:val="auto"/>
                <w:kern w:val="2"/>
                <w:sz w:val="21"/>
                <w:szCs w:val="21"/>
                <w:highlight w:val="none"/>
              </w:rPr>
            </w:pPr>
          </w:p>
        </w:tc>
        <w:tc>
          <w:tcPr>
            <w:tcW w:w="703" w:type="dxa"/>
            <w:tcBorders>
              <w:top w:val="single" w:color="auto" w:sz="4" w:space="0"/>
              <w:left w:val="single" w:color="auto" w:sz="4" w:space="0"/>
              <w:bottom w:val="single" w:color="auto" w:sz="4" w:space="0"/>
              <w:right w:val="single" w:color="auto" w:sz="4" w:space="0"/>
            </w:tcBorders>
            <w:noWrap w:val="0"/>
            <w:vAlign w:val="center"/>
          </w:tcPr>
          <w:p>
            <w:pPr>
              <w:pStyle w:val="24"/>
              <w:adjustRightInd w:val="0"/>
              <w:snapToGrid w:val="0"/>
              <w:spacing w:before="0" w:beforeAutospacing="0" w:after="0" w:afterAutospacing="0" w:line="240" w:lineRule="atLeast"/>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100</w:t>
            </w:r>
          </w:p>
        </w:tc>
      </w:tr>
    </w:tbl>
    <w:p>
      <w:pPr>
        <w:widowControl/>
        <w:shd w:val="clear" w:color="auto" w:fill="FFFFFF"/>
        <w:spacing w:line="240" w:lineRule="exact"/>
        <w:jc w:val="left"/>
        <w:rPr>
          <w:rFonts w:hint="eastAsia" w:ascii="仿宋_GB2312" w:hAnsi="仿宋_GB2312" w:eastAsia="仿宋_GB2312" w:cs="仿宋_GB2312"/>
          <w:color w:val="auto"/>
          <w:kern w:val="0"/>
          <w:szCs w:val="21"/>
        </w:rPr>
      </w:pPr>
    </w:p>
    <w:p>
      <w:pPr>
        <w:widowControl/>
        <w:shd w:val="clear" w:color="auto" w:fill="FFFFFF"/>
        <w:spacing w:line="240" w:lineRule="exact"/>
        <w:jc w:val="left"/>
        <w:rPr>
          <w:rFonts w:hint="eastAsia" w:ascii="仿宋_GB2312" w:hAnsi="仿宋_GB2312" w:eastAsia="仿宋_GB2312" w:cs="仿宋_GB2312"/>
          <w:color w:val="auto"/>
          <w:kern w:val="0"/>
          <w:szCs w:val="21"/>
        </w:rPr>
      </w:pPr>
    </w:p>
    <w:p>
      <w:pPr>
        <w:numPr>
          <w:ilvl w:val="0"/>
          <w:numId w:val="5"/>
        </w:numPr>
        <w:rPr>
          <w:rFonts w:hint="eastAsia" w:ascii="仿宋_GB2312" w:hAnsi="仿宋_GB2312" w:eastAsia="仿宋_GB2312" w:cs="仿宋_GB2312"/>
          <w:b/>
          <w:color w:val="auto"/>
          <w:szCs w:val="21"/>
        </w:rPr>
      </w:pPr>
      <w:r>
        <w:rPr>
          <w:rFonts w:hint="eastAsia" w:ascii="仿宋_GB2312" w:hAnsi="仿宋_GB2312" w:eastAsia="仿宋_GB2312" w:cs="仿宋_GB2312"/>
          <w:b/>
          <w:color w:val="auto"/>
          <w:szCs w:val="21"/>
        </w:rPr>
        <w:t>加分项评分标准</w:t>
      </w:r>
    </w:p>
    <w:tbl>
      <w:tblPr>
        <w:tblStyle w:val="28"/>
        <w:tblW w:w="87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7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jc w:val="center"/>
        </w:trPr>
        <w:tc>
          <w:tcPr>
            <w:tcW w:w="8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加分</w:t>
            </w:r>
          </w:p>
          <w:p>
            <w:pPr>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因素</w:t>
            </w:r>
          </w:p>
        </w:tc>
        <w:tc>
          <w:tcPr>
            <w:tcW w:w="791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加分说明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9" w:hRule="atLeast"/>
          <w:jc w:val="center"/>
        </w:trPr>
        <w:tc>
          <w:tcPr>
            <w:tcW w:w="8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节能</w:t>
            </w:r>
          </w:p>
          <w:p>
            <w:pPr>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产品</w:t>
            </w:r>
          </w:p>
        </w:tc>
        <w:tc>
          <w:tcPr>
            <w:tcW w:w="7910" w:type="dxa"/>
            <w:tcBorders>
              <w:top w:val="single" w:color="auto" w:sz="4" w:space="0"/>
              <w:left w:val="single" w:color="auto" w:sz="4" w:space="0"/>
              <w:bottom w:val="single" w:color="auto" w:sz="4" w:space="0"/>
              <w:right w:val="single" w:color="auto" w:sz="4" w:space="0"/>
            </w:tcBorders>
            <w:noWrap w:val="0"/>
            <w:vAlign w:val="center"/>
          </w:tcPr>
          <w:p>
            <w:pP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对于清单中的产品最后报价给予价格部分总分值</w:t>
            </w:r>
            <w:r>
              <w:rPr>
                <w:rFonts w:hint="eastAsia" w:ascii="仿宋_GB2312" w:hAnsi="仿宋_GB2312" w:eastAsia="仿宋_GB2312" w:cs="仿宋_GB2312"/>
                <w:color w:val="auto"/>
                <w:kern w:val="0"/>
                <w:szCs w:val="21"/>
                <w:u w:val="single"/>
              </w:rPr>
              <w:t xml:space="preserve">   </w:t>
            </w:r>
            <w:r>
              <w:rPr>
                <w:rFonts w:hint="eastAsia" w:ascii="仿宋_GB2312" w:hAnsi="仿宋_GB2312" w:eastAsia="仿宋_GB2312" w:cs="仿宋_GB2312"/>
                <w:color w:val="auto"/>
                <w:kern w:val="0"/>
                <w:szCs w:val="21"/>
              </w:rPr>
              <w:t>%</w:t>
            </w:r>
            <w:r>
              <w:rPr>
                <w:rFonts w:hint="eastAsia" w:ascii="仿宋_GB2312" w:hAnsi="仿宋_GB2312" w:eastAsia="仿宋_GB2312" w:cs="仿宋_GB2312"/>
                <w:color w:val="auto"/>
                <w:szCs w:val="21"/>
              </w:rPr>
              <w:t>的加分，计算公式如下：</w:t>
            </w:r>
          </w:p>
          <w:p>
            <w:pP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节能产品加分＝（节能产品最后报价之和/最后报价总价）×价格部分总分值</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1" w:hRule="atLeast"/>
          <w:jc w:val="center"/>
        </w:trPr>
        <w:tc>
          <w:tcPr>
            <w:tcW w:w="8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环保</w:t>
            </w:r>
          </w:p>
          <w:p>
            <w:pPr>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产品</w:t>
            </w:r>
          </w:p>
        </w:tc>
        <w:tc>
          <w:tcPr>
            <w:tcW w:w="7910" w:type="dxa"/>
            <w:tcBorders>
              <w:top w:val="single" w:color="auto" w:sz="4" w:space="0"/>
              <w:left w:val="single" w:color="auto" w:sz="4" w:space="0"/>
              <w:bottom w:val="single" w:color="auto" w:sz="4" w:space="0"/>
              <w:right w:val="single" w:color="auto" w:sz="4" w:space="0"/>
            </w:tcBorders>
            <w:noWrap w:val="0"/>
            <w:vAlign w:val="center"/>
          </w:tcPr>
          <w:p>
            <w:pP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对于清单中的产品最后报价给予价格部分总分值</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%的加分，计算公式如下：</w:t>
            </w:r>
          </w:p>
          <w:p>
            <w:pP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环保产品加分＝（环保产品最后报价之和/最后报标总价）×价格部分总分值</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w:t>
            </w:r>
          </w:p>
        </w:tc>
      </w:tr>
    </w:tbl>
    <w:p>
      <w:pPr>
        <w:pStyle w:val="2"/>
        <w:keepNext/>
        <w:keepLines/>
        <w:pageBreakBefore w:val="0"/>
        <w:widowControl w:val="0"/>
        <w:kinsoku/>
        <w:wordWrap/>
        <w:overflowPunct/>
        <w:topLinePunct w:val="0"/>
        <w:autoSpaceDE/>
        <w:autoSpaceDN/>
        <w:bidi w:val="0"/>
        <w:adjustRightInd/>
        <w:snapToGrid/>
        <w:spacing w:before="0" w:beforeLines="0" w:after="0" w:afterLines="0" w:line="360" w:lineRule="auto"/>
        <w:jc w:val="center"/>
        <w:textAlignment w:val="auto"/>
        <w:outlineLvl w:val="0"/>
        <w:rPr>
          <w:rFonts w:hint="eastAsia" w:ascii="仿宋" w:hAnsi="仿宋" w:eastAsia="仿宋" w:cs="仿宋"/>
          <w:color w:val="auto"/>
          <w:highlight w:val="none"/>
          <w:lang w:val="en-US" w:eastAsia="zh-CN"/>
        </w:rPr>
      </w:pPr>
      <w:r>
        <w:rPr>
          <w:rFonts w:hint="eastAsia" w:ascii="仿宋_GB2312" w:hAnsi="仿宋_GB2312" w:eastAsia="仿宋_GB2312" w:cs="仿宋_GB2312"/>
          <w:color w:val="auto"/>
          <w:szCs w:val="21"/>
        </w:rPr>
        <w:br w:type="page"/>
      </w:r>
      <w:bookmarkStart w:id="185" w:name="_Toc3590"/>
      <w:r>
        <w:rPr>
          <w:rFonts w:hint="eastAsia" w:ascii="仿宋" w:hAnsi="仿宋" w:eastAsia="仿宋" w:cs="仿宋"/>
          <w:color w:val="auto"/>
          <w:highlight w:val="none"/>
          <w:lang w:val="en-US" w:eastAsia="zh-CN"/>
        </w:rPr>
        <w:t xml:space="preserve">第六章 </w:t>
      </w:r>
      <w:r>
        <w:rPr>
          <w:rFonts w:hint="eastAsia" w:ascii="仿宋" w:hAnsi="仿宋" w:eastAsia="仿宋" w:cs="仿宋"/>
          <w:color w:val="auto"/>
          <w:highlight w:val="none"/>
        </w:rPr>
        <w:t>政府采购合同条款</w:t>
      </w:r>
      <w:r>
        <w:rPr>
          <w:rFonts w:hint="eastAsia" w:ascii="仿宋" w:hAnsi="仿宋" w:eastAsia="仿宋" w:cs="仿宋"/>
          <w:color w:val="auto"/>
          <w:highlight w:val="none"/>
          <w:lang w:val="en-US" w:eastAsia="zh-CN"/>
        </w:rPr>
        <w:t>及格式</w:t>
      </w:r>
      <w:bookmarkEnd w:id="185"/>
    </w:p>
    <w:p>
      <w:pPr>
        <w:pStyle w:val="2"/>
        <w:keepNext/>
        <w:keepLines/>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outlineLvl w:val="9"/>
        <w:rPr>
          <w:rFonts w:hint="eastAsia" w:ascii="仿宋" w:hAnsi="仿宋" w:eastAsia="仿宋" w:cs="仿宋"/>
          <w:color w:val="auto"/>
          <w:sz w:val="32"/>
          <w:szCs w:val="32"/>
          <w:highlight w:val="none"/>
        </w:rPr>
      </w:pPr>
    </w:p>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ascii="Times New Roman" w:hAnsi="Times New Roman" w:eastAsia="仿宋_GB2312"/>
          <w:bCs/>
          <w:color w:val="auto"/>
          <w:sz w:val="32"/>
          <w:szCs w:val="32"/>
          <w:highlight w:val="none"/>
        </w:rPr>
      </w:pPr>
      <w:r>
        <w:rPr>
          <w:rFonts w:ascii="Times New Roman" w:hAnsi="Times New Roman" w:eastAsia="仿宋_GB2312"/>
          <w:bCs/>
          <w:color w:val="auto"/>
          <w:sz w:val="32"/>
          <w:szCs w:val="32"/>
          <w:highlight w:val="none"/>
        </w:rPr>
        <w:t>（GF—201</w:t>
      </w:r>
      <w:r>
        <w:rPr>
          <w:rFonts w:hint="eastAsia" w:ascii="Times New Roman" w:hAnsi="Times New Roman" w:eastAsia="仿宋_GB2312"/>
          <w:bCs/>
          <w:color w:val="auto"/>
          <w:sz w:val="32"/>
          <w:szCs w:val="32"/>
          <w:highlight w:val="none"/>
        </w:rPr>
        <w:t>7</w:t>
      </w:r>
      <w:r>
        <w:rPr>
          <w:rFonts w:ascii="Times New Roman" w:hAnsi="Times New Roman" w:eastAsia="仿宋_GB2312"/>
          <w:bCs/>
          <w:color w:val="auto"/>
          <w:sz w:val="32"/>
          <w:szCs w:val="32"/>
          <w:highlight w:val="none"/>
        </w:rPr>
        <w:t>—</w:t>
      </w:r>
      <w:r>
        <w:rPr>
          <w:rFonts w:hint="eastAsia" w:ascii="Times New Roman" w:hAnsi="Times New Roman" w:eastAsia="仿宋_GB2312"/>
          <w:bCs/>
          <w:color w:val="auto"/>
          <w:sz w:val="32"/>
          <w:szCs w:val="32"/>
          <w:highlight w:val="none"/>
        </w:rPr>
        <w:t>0201）</w:t>
      </w:r>
    </w:p>
    <w:p>
      <w:pPr>
        <w:jc w:val="center"/>
        <w:rPr>
          <w:rFonts w:ascii="Times New Roman" w:hAnsi="Times New Roman" w:eastAsia="华文中宋"/>
          <w:b/>
          <w:color w:val="auto"/>
          <w:sz w:val="52"/>
          <w:szCs w:val="52"/>
          <w:highlight w:val="none"/>
        </w:rPr>
      </w:pPr>
    </w:p>
    <w:p>
      <w:pPr>
        <w:jc w:val="center"/>
        <w:rPr>
          <w:rFonts w:ascii="Times New Roman" w:hAnsi="Times New Roman" w:eastAsia="华文中宋"/>
          <w:b/>
          <w:color w:val="auto"/>
          <w:sz w:val="52"/>
          <w:szCs w:val="52"/>
          <w:highlight w:val="none"/>
        </w:rPr>
      </w:pPr>
    </w:p>
    <w:p>
      <w:pPr>
        <w:jc w:val="center"/>
        <w:rPr>
          <w:rFonts w:ascii="Times New Roman" w:hAnsi="Times New Roman" w:eastAsia="华文中宋"/>
          <w:b/>
          <w:color w:val="auto"/>
          <w:sz w:val="52"/>
          <w:szCs w:val="52"/>
          <w:highlight w:val="none"/>
        </w:rPr>
      </w:pPr>
    </w:p>
    <w:p>
      <w:pPr>
        <w:jc w:val="center"/>
        <w:rPr>
          <w:rFonts w:ascii="Times New Roman" w:hAnsi="Times New Roman" w:eastAsia="华文中宋"/>
          <w:b/>
          <w:color w:val="auto"/>
          <w:sz w:val="52"/>
          <w:szCs w:val="52"/>
          <w:highlight w:val="none"/>
        </w:rPr>
      </w:pPr>
    </w:p>
    <w:p>
      <w:pPr>
        <w:jc w:val="center"/>
        <w:rPr>
          <w:rFonts w:hint="eastAsia" w:ascii="方正小标宋简体" w:hAnsi="Times New Roman" w:eastAsia="方正小标宋简体"/>
          <w:color w:val="auto"/>
          <w:sz w:val="44"/>
          <w:szCs w:val="44"/>
          <w:highlight w:val="none"/>
          <w:lang w:eastAsia="zh-CN"/>
        </w:rPr>
      </w:pPr>
      <w:r>
        <w:rPr>
          <w:rFonts w:hint="eastAsia" w:ascii="方正小标宋简体" w:hAnsi="Times New Roman" w:eastAsia="方正小标宋简体"/>
          <w:color w:val="auto"/>
          <w:sz w:val="44"/>
          <w:szCs w:val="44"/>
          <w:highlight w:val="none"/>
        </w:rPr>
        <w:t>建设工程施工合同</w:t>
      </w:r>
    </w:p>
    <w:p>
      <w:pPr>
        <w:jc w:val="center"/>
        <w:rPr>
          <w:rFonts w:hint="eastAsia" w:ascii="方正小标宋简体" w:hAnsi="Times New Roman" w:eastAsia="方正小标宋简体"/>
          <w:color w:val="auto"/>
          <w:sz w:val="44"/>
          <w:szCs w:val="44"/>
          <w:highlight w:val="none"/>
        </w:rPr>
      </w:pPr>
      <w:r>
        <w:rPr>
          <w:rFonts w:hint="eastAsia" w:ascii="方正小标宋简体" w:hAnsi="Times New Roman" w:eastAsia="方正小标宋简体"/>
          <w:color w:val="auto"/>
          <w:sz w:val="44"/>
          <w:szCs w:val="44"/>
          <w:highlight w:val="none"/>
        </w:rPr>
        <w:t>（示范文本）</w:t>
      </w:r>
    </w:p>
    <w:p>
      <w:pPr>
        <w:jc w:val="center"/>
        <w:rPr>
          <w:rFonts w:ascii="Times New Roman" w:hAnsi="Times New Roman" w:eastAsia="华文中宋"/>
          <w:b/>
          <w:color w:val="auto"/>
          <w:sz w:val="52"/>
          <w:szCs w:val="52"/>
          <w:highlight w:val="none"/>
        </w:rPr>
      </w:pPr>
    </w:p>
    <w:p>
      <w:pPr>
        <w:jc w:val="center"/>
        <w:rPr>
          <w:rFonts w:ascii="Times New Roman" w:hAnsi="Times New Roman" w:eastAsia="黑体"/>
          <w:b/>
          <w:color w:val="auto"/>
          <w:sz w:val="72"/>
          <w:szCs w:val="72"/>
          <w:highlight w:val="none"/>
        </w:rPr>
      </w:pPr>
    </w:p>
    <w:p>
      <w:pPr>
        <w:jc w:val="center"/>
        <w:rPr>
          <w:rFonts w:ascii="Times New Roman" w:hAnsi="Times New Roman" w:eastAsia="楷体_GB2312"/>
          <w:b/>
          <w:color w:val="auto"/>
          <w:sz w:val="72"/>
          <w:szCs w:val="72"/>
          <w:highlight w:val="none"/>
        </w:rPr>
      </w:pPr>
    </w:p>
    <w:p>
      <w:pPr>
        <w:jc w:val="center"/>
        <w:rPr>
          <w:rFonts w:ascii="Times New Roman" w:hAnsi="Times New Roman" w:eastAsia="黑体"/>
          <w:b/>
          <w:color w:val="auto"/>
          <w:sz w:val="52"/>
          <w:szCs w:val="52"/>
          <w:highlight w:val="none"/>
        </w:rPr>
      </w:pPr>
    </w:p>
    <w:p>
      <w:pPr>
        <w:rPr>
          <w:rFonts w:ascii="Times New Roman" w:hAnsi="Times New Roman"/>
          <w:b/>
          <w:color w:val="auto"/>
          <w:sz w:val="28"/>
          <w:szCs w:val="28"/>
          <w:highlight w:val="none"/>
        </w:rPr>
      </w:pPr>
    </w:p>
    <w:p>
      <w:pPr>
        <w:rPr>
          <w:rFonts w:ascii="Times New Roman" w:hAnsi="Times New Roman"/>
          <w:b/>
          <w:color w:val="auto"/>
          <w:sz w:val="28"/>
          <w:szCs w:val="28"/>
          <w:highlight w:val="none"/>
        </w:rPr>
      </w:pPr>
    </w:p>
    <w:p>
      <w:pPr>
        <w:rPr>
          <w:rFonts w:ascii="Times New Roman" w:hAnsi="Times New Roman"/>
          <w:b/>
          <w:color w:val="auto"/>
          <w:sz w:val="28"/>
          <w:szCs w:val="28"/>
          <w:highlight w:val="none"/>
        </w:rPr>
      </w:pPr>
    </w:p>
    <w:p>
      <w:pPr>
        <w:rPr>
          <w:rFonts w:ascii="Times New Roman" w:hAnsi="Times New Roman"/>
          <w:b/>
          <w:color w:val="auto"/>
          <w:sz w:val="28"/>
          <w:szCs w:val="28"/>
          <w:highlight w:val="none"/>
        </w:rPr>
      </w:pPr>
    </w:p>
    <w:p>
      <w:pPr>
        <w:jc w:val="center"/>
        <w:rPr>
          <w:rFonts w:hint="eastAsia"/>
          <w:b/>
          <w:bCs/>
          <w:color w:val="auto"/>
          <w:sz w:val="32"/>
          <w:highlight w:val="none"/>
        </w:rPr>
      </w:pPr>
      <w:r>
        <w:rPr>
          <w:rFonts w:hint="eastAsia"/>
          <w:b/>
          <w:bCs/>
          <w:color w:val="auto"/>
          <w:sz w:val="32"/>
          <w:highlight w:val="none"/>
        </w:rPr>
        <mc:AlternateContent>
          <mc:Choice Requires="wps">
            <w:drawing>
              <wp:anchor distT="0" distB="0" distL="114300" distR="114300" simplePos="0" relativeHeight="251662336" behindDoc="0" locked="0" layoutInCell="1" allowOverlap="1">
                <wp:simplePos x="0" y="0"/>
                <wp:positionH relativeFrom="column">
                  <wp:posOffset>3970020</wp:posOffset>
                </wp:positionH>
                <wp:positionV relativeFrom="paragraph">
                  <wp:posOffset>120015</wp:posOffset>
                </wp:positionV>
                <wp:extent cx="723900" cy="457200"/>
                <wp:effectExtent l="4445" t="4445" r="14605" b="14605"/>
                <wp:wrapNone/>
                <wp:docPr id="7" name="文本框 7"/>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wps:spPr>
                      <wps:txbx>
                        <w:txbxContent>
                          <w:p>
                            <w:pPr>
                              <w:rPr>
                                <w:rFonts w:hint="eastAsia"/>
                                <w:b/>
                                <w:bCs/>
                                <w:sz w:val="32"/>
                              </w:rPr>
                            </w:pPr>
                            <w:r>
                              <w:rPr>
                                <w:rFonts w:hint="eastAsia"/>
                                <w:b/>
                                <w:bCs/>
                                <w:sz w:val="32"/>
                              </w:rPr>
                              <w:t>制定</w:t>
                            </w:r>
                          </w:p>
                        </w:txbxContent>
                      </wps:txbx>
                      <wps:bodyPr upright="1"/>
                    </wps:wsp>
                  </a:graphicData>
                </a:graphic>
              </wp:anchor>
            </w:drawing>
          </mc:Choice>
          <mc:Fallback>
            <w:pict>
              <v:shape id="_x0000_s1026" o:spid="_x0000_s1026" o:spt="202" type="#_x0000_t202" style="position:absolute;left:0pt;margin-left:312.6pt;margin-top:9.45pt;height:36pt;width:57pt;z-index:251662336;mso-width-relative:page;mso-height-relative:page;" filled="f" stroked="t" coordsize="21600,21600" o:gfxdata="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c0tcdgAAAAJAQAADwAAAAAAAAABACAAAAAiAAAAZHJz&#10;L2Rvd25yZXYueG1sUEsBAhQAFAAAAAgAh07iQFAlGQoEAgAADAQAAA4AAAAAAAAAAQAgAAAAJwEA&#10;AGRycy9lMm9Eb2MueG1sUEsFBgAAAAAGAAYAWQEAAJ0FAAAAAA==&#10;">
                <v:fill on="f" focussize="0,0"/>
                <v:stroke color="#FFFFFF" joinstyle="miter"/>
                <v:imagedata o:title=""/>
                <o:lock v:ext="edit" aspectratio="f"/>
                <v:textbox>
                  <w:txbxContent>
                    <w:p>
                      <w:pPr>
                        <w:rPr>
                          <w:rFonts w:hint="eastAsia"/>
                          <w:b/>
                          <w:bCs/>
                          <w:sz w:val="32"/>
                        </w:rPr>
                      </w:pPr>
                      <w:r>
                        <w:rPr>
                          <w:rFonts w:hint="eastAsia"/>
                          <w:b/>
                          <w:bCs/>
                          <w:sz w:val="32"/>
                        </w:rPr>
                        <w:t>制定</w:t>
                      </w:r>
                    </w:p>
                  </w:txbxContent>
                </v:textbox>
              </v:shape>
            </w:pict>
          </mc:Fallback>
        </mc:AlternateContent>
      </w:r>
      <w:r>
        <w:rPr>
          <w:rFonts w:hint="eastAsia"/>
          <w:b/>
          <w:bCs/>
          <w:color w:val="auto"/>
          <w:sz w:val="32"/>
          <w:highlight w:val="none"/>
        </w:rPr>
        <w:t>住</w:t>
      </w:r>
      <w:r>
        <w:rPr>
          <w:rFonts w:hint="eastAsia"/>
          <w:b/>
          <w:bCs/>
          <w:color w:val="auto"/>
          <w:sz w:val="32"/>
          <w:highlight w:val="none"/>
          <w:lang w:val="en-US" w:eastAsia="zh-CN"/>
        </w:rPr>
        <w:t xml:space="preserve"> </w:t>
      </w:r>
      <w:r>
        <w:rPr>
          <w:rFonts w:hint="eastAsia"/>
          <w:b/>
          <w:bCs/>
          <w:color w:val="auto"/>
          <w:sz w:val="32"/>
          <w:highlight w:val="none"/>
        </w:rPr>
        <w:t>房</w:t>
      </w:r>
      <w:r>
        <w:rPr>
          <w:rFonts w:hint="eastAsia"/>
          <w:b/>
          <w:bCs/>
          <w:color w:val="auto"/>
          <w:sz w:val="32"/>
          <w:highlight w:val="none"/>
          <w:lang w:val="en-US" w:eastAsia="zh-CN"/>
        </w:rPr>
        <w:t xml:space="preserve"> </w:t>
      </w:r>
      <w:r>
        <w:rPr>
          <w:rFonts w:hint="eastAsia"/>
          <w:b/>
          <w:bCs/>
          <w:color w:val="auto"/>
          <w:sz w:val="32"/>
          <w:highlight w:val="none"/>
        </w:rPr>
        <w:t>城</w:t>
      </w:r>
      <w:r>
        <w:rPr>
          <w:rFonts w:hint="eastAsia"/>
          <w:b/>
          <w:bCs/>
          <w:color w:val="auto"/>
          <w:sz w:val="32"/>
          <w:highlight w:val="none"/>
          <w:lang w:val="en-US" w:eastAsia="zh-CN"/>
        </w:rPr>
        <w:t xml:space="preserve"> </w:t>
      </w:r>
      <w:r>
        <w:rPr>
          <w:rFonts w:hint="eastAsia"/>
          <w:b/>
          <w:bCs/>
          <w:color w:val="auto"/>
          <w:sz w:val="32"/>
          <w:highlight w:val="none"/>
        </w:rPr>
        <w:t>乡</w:t>
      </w:r>
      <w:r>
        <w:rPr>
          <w:rFonts w:hint="eastAsia"/>
          <w:b/>
          <w:bCs/>
          <w:color w:val="auto"/>
          <w:sz w:val="32"/>
          <w:highlight w:val="none"/>
          <w:lang w:val="en-US" w:eastAsia="zh-CN"/>
        </w:rPr>
        <w:t xml:space="preserve"> </w:t>
      </w:r>
      <w:r>
        <w:rPr>
          <w:rFonts w:hint="eastAsia"/>
          <w:b/>
          <w:bCs/>
          <w:color w:val="auto"/>
          <w:sz w:val="32"/>
          <w:highlight w:val="none"/>
        </w:rPr>
        <w:t>建</w:t>
      </w:r>
      <w:r>
        <w:rPr>
          <w:rFonts w:hint="eastAsia"/>
          <w:b/>
          <w:bCs/>
          <w:color w:val="auto"/>
          <w:sz w:val="32"/>
          <w:highlight w:val="none"/>
          <w:lang w:val="en-US" w:eastAsia="zh-CN"/>
        </w:rPr>
        <w:t xml:space="preserve"> </w:t>
      </w:r>
      <w:r>
        <w:rPr>
          <w:rFonts w:hint="eastAsia"/>
          <w:b/>
          <w:bCs/>
          <w:color w:val="auto"/>
          <w:sz w:val="32"/>
          <w:highlight w:val="none"/>
        </w:rPr>
        <w:t>设</w:t>
      </w:r>
      <w:r>
        <w:rPr>
          <w:rFonts w:hint="eastAsia"/>
          <w:b/>
          <w:bCs/>
          <w:color w:val="auto"/>
          <w:sz w:val="32"/>
          <w:highlight w:val="none"/>
          <w:lang w:val="en-US" w:eastAsia="zh-CN"/>
        </w:rPr>
        <w:t xml:space="preserve"> </w:t>
      </w:r>
      <w:r>
        <w:rPr>
          <w:rFonts w:hint="eastAsia"/>
          <w:b/>
          <w:bCs/>
          <w:color w:val="auto"/>
          <w:sz w:val="32"/>
          <w:highlight w:val="none"/>
        </w:rPr>
        <w:t>部</w:t>
      </w:r>
    </w:p>
    <w:p>
      <w:pPr>
        <w:jc w:val="center"/>
        <w:rPr>
          <w:color w:val="auto"/>
          <w:highlight w:val="none"/>
        </w:rPr>
      </w:pPr>
      <w:r>
        <w:rPr>
          <w:rFonts w:hint="eastAsia"/>
          <w:b/>
          <w:bCs/>
          <w:color w:val="auto"/>
          <w:sz w:val="32"/>
          <w:highlight w:val="none"/>
        </w:rPr>
        <w:t>国家工商行政管理总局</w:t>
      </w:r>
    </w:p>
    <w:p>
      <w:pPr>
        <w:rPr>
          <w:rFonts w:ascii="Times New Roman" w:hAnsi="Times New Roman"/>
          <w:b/>
          <w:color w:val="auto"/>
          <w:highlight w:val="none"/>
        </w:rPr>
      </w:pPr>
    </w:p>
    <w:p>
      <w:pPr>
        <w:bidi w:val="0"/>
        <w:jc w:val="center"/>
        <w:rPr>
          <w:rFonts w:hint="eastAsia"/>
          <w:color w:val="auto"/>
          <w:sz w:val="21"/>
          <w:szCs w:val="21"/>
          <w:highlight w:val="none"/>
        </w:rPr>
      </w:pPr>
      <w:bookmarkStart w:id="186" w:name="_Toc351203480"/>
      <w:r>
        <w:rPr>
          <w:rFonts w:hint="eastAsia" w:ascii="仿宋_GB2312" w:hAnsi="仿宋_GB2312" w:eastAsia="仿宋_GB2312" w:cs="仿宋_GB2312"/>
          <w:b/>
          <w:bCs/>
          <w:color w:val="auto"/>
          <w:sz w:val="21"/>
          <w:szCs w:val="21"/>
          <w:highlight w:val="none"/>
        </w:rPr>
        <w:t>第一部分 合同协议书</w:t>
      </w:r>
      <w:bookmarkEnd w:id="186"/>
    </w:p>
    <w:p>
      <w:pPr>
        <w:bidi w:val="0"/>
        <w:rPr>
          <w:rFonts w:hint="eastAsia" w:ascii="仿宋_GB2312" w:hAnsi="仿宋_GB2312" w:eastAsia="仿宋_GB2312" w:cs="仿宋_GB2312"/>
          <w:color w:val="auto"/>
          <w:sz w:val="21"/>
          <w:szCs w:val="21"/>
          <w:highlight w:val="none"/>
          <w:u w:val="single"/>
          <w:lang w:val="en-US" w:eastAsia="zh-CN"/>
        </w:rPr>
      </w:pPr>
      <w:r>
        <w:rPr>
          <w:rFonts w:hint="eastAsia" w:ascii="仿宋_GB2312" w:hAnsi="仿宋_GB2312" w:eastAsia="仿宋_GB2312" w:cs="仿宋_GB2312"/>
          <w:b/>
          <w:bCs/>
          <w:color w:val="auto"/>
          <w:sz w:val="21"/>
          <w:szCs w:val="21"/>
          <w:highlight w:val="none"/>
        </w:rPr>
        <w:t>发包人（全称）：</w:t>
      </w:r>
      <w:r>
        <w:rPr>
          <w:rFonts w:hint="eastAsia" w:ascii="仿宋_GB2312" w:hAnsi="仿宋_GB2312" w:eastAsia="仿宋_GB2312" w:cs="仿宋_GB2312"/>
          <w:color w:val="auto"/>
          <w:sz w:val="21"/>
          <w:szCs w:val="21"/>
          <w:highlight w:val="none"/>
          <w:u w:val="single"/>
          <w:lang w:val="en-US" w:eastAsia="zh-CN"/>
        </w:rPr>
        <w:t xml:space="preserve">                       </w:t>
      </w:r>
    </w:p>
    <w:p>
      <w:pPr>
        <w:bidi w:val="0"/>
        <w:rPr>
          <w:rFonts w:hint="default" w:ascii="仿宋_GB2312" w:hAnsi="仿宋_GB2312" w:eastAsia="仿宋_GB2312" w:cs="仿宋_GB2312"/>
          <w:color w:val="auto"/>
          <w:sz w:val="21"/>
          <w:szCs w:val="21"/>
          <w:highlight w:val="none"/>
          <w:lang w:val="en-US"/>
        </w:rPr>
      </w:pPr>
      <w:r>
        <w:rPr>
          <w:rFonts w:hint="eastAsia" w:ascii="仿宋_GB2312" w:hAnsi="仿宋_GB2312" w:eastAsia="仿宋_GB2312" w:cs="仿宋_GB2312"/>
          <w:b/>
          <w:bCs/>
          <w:color w:val="auto"/>
          <w:sz w:val="21"/>
          <w:szCs w:val="21"/>
          <w:highlight w:val="none"/>
        </w:rPr>
        <w:t>承包人（全称）：</w:t>
      </w:r>
      <w:r>
        <w:rPr>
          <w:rFonts w:hint="eastAsia" w:ascii="仿宋_GB2312" w:hAnsi="仿宋_GB2312" w:eastAsia="仿宋_GB2312" w:cs="仿宋_GB2312"/>
          <w:color w:val="auto"/>
          <w:sz w:val="21"/>
          <w:szCs w:val="21"/>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根据《中华人民共和国合同法》、《中华人民共和国建筑法》及有关法律规定，遵循平等、自愿、公平和诚实信用的原则，双方就</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工程施工及有关事项协商一致，共同达成如下协议：</w:t>
      </w:r>
    </w:p>
    <w:p>
      <w:pPr>
        <w:bidi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 xml:space="preserve">    </w:t>
      </w:r>
      <w:bookmarkStart w:id="187" w:name="_Toc351203481"/>
      <w:r>
        <w:rPr>
          <w:rFonts w:hint="eastAsia" w:ascii="仿宋_GB2312" w:hAnsi="仿宋_GB2312" w:eastAsia="仿宋_GB2312" w:cs="仿宋_GB2312"/>
          <w:b/>
          <w:bCs/>
          <w:color w:val="auto"/>
          <w:sz w:val="21"/>
          <w:szCs w:val="21"/>
          <w:highlight w:val="none"/>
        </w:rPr>
        <w:t>一、工程概况</w:t>
      </w:r>
      <w:bookmarkEnd w:id="187"/>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1.工程名称</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2.工程地点</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3.工程立项批准文号</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4.资金来源</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5.工程内容</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群体工程应附《承包人承揽工程项目一览表》（附件1）。</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6.工程承包范围</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b/>
          <w:bCs/>
          <w:color w:val="auto"/>
          <w:sz w:val="21"/>
          <w:szCs w:val="21"/>
          <w:highlight w:val="none"/>
        </w:rPr>
      </w:pPr>
      <w:bookmarkStart w:id="188" w:name="_Toc351203482"/>
      <w:r>
        <w:rPr>
          <w:rFonts w:hint="eastAsia" w:ascii="仿宋_GB2312" w:hAnsi="仿宋_GB2312" w:eastAsia="仿宋_GB2312" w:cs="仿宋_GB2312"/>
          <w:b/>
          <w:bCs/>
          <w:color w:val="auto"/>
          <w:sz w:val="21"/>
          <w:szCs w:val="21"/>
          <w:highlight w:val="none"/>
        </w:rPr>
        <w:t>二、合同工期</w:t>
      </w:r>
      <w:bookmarkEnd w:id="188"/>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计划开工日期：</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年</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 xml:space="preserve">月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计划竣工日期：</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年</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月</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工期总日历天数：</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天。工期总日历天数与根据前述计划开竣工日期计算的工期天数不一致的，以工期总日历天数为准。</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b/>
          <w:bCs/>
          <w:color w:val="auto"/>
          <w:sz w:val="21"/>
          <w:szCs w:val="21"/>
          <w:highlight w:val="none"/>
        </w:rPr>
      </w:pPr>
      <w:bookmarkStart w:id="189" w:name="_Toc351203483"/>
      <w:r>
        <w:rPr>
          <w:rFonts w:hint="eastAsia" w:ascii="仿宋_GB2312" w:hAnsi="仿宋_GB2312" w:eastAsia="仿宋_GB2312" w:cs="仿宋_GB2312"/>
          <w:b/>
          <w:bCs/>
          <w:color w:val="auto"/>
          <w:sz w:val="21"/>
          <w:szCs w:val="21"/>
          <w:highlight w:val="none"/>
        </w:rPr>
        <w:t>三、质量标准</w:t>
      </w:r>
      <w:bookmarkEnd w:id="189"/>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工程质量符合</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标准。</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仿宋_GB2312" w:hAnsi="仿宋_GB2312" w:eastAsia="仿宋_GB2312" w:cs="仿宋_GB2312"/>
          <w:color w:val="auto"/>
          <w:sz w:val="21"/>
          <w:szCs w:val="21"/>
          <w:highlight w:val="none"/>
        </w:rPr>
      </w:pPr>
      <w:bookmarkStart w:id="190" w:name="_Toc351203484"/>
      <w:r>
        <w:rPr>
          <w:rFonts w:hint="eastAsia" w:ascii="仿宋_GB2312" w:hAnsi="仿宋_GB2312" w:eastAsia="仿宋_GB2312" w:cs="仿宋_GB2312"/>
          <w:b/>
          <w:bCs/>
          <w:color w:val="auto"/>
          <w:sz w:val="21"/>
          <w:szCs w:val="21"/>
          <w:highlight w:val="none"/>
        </w:rPr>
        <w:t>四、签约合同价与合同价格形式</w:t>
      </w:r>
      <w:bookmarkEnd w:id="190"/>
      <w:r>
        <w:rPr>
          <w:rFonts w:hint="eastAsia" w:ascii="仿宋_GB2312" w:hAnsi="仿宋_GB2312" w:eastAsia="仿宋_GB2312" w:cs="仿宋_GB2312"/>
          <w:color w:val="auto"/>
          <w:sz w:val="21"/>
          <w:szCs w:val="21"/>
          <w:highlight w:val="none"/>
        </w:rPr>
        <w:tab/>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_GB2312" w:hAnsi="仿宋_GB2312" w:eastAsia="仿宋_GB2312" w:cs="仿宋_GB2312"/>
          <w:color w:val="auto"/>
          <w:sz w:val="21"/>
          <w:szCs w:val="21"/>
          <w:highlight w:val="none"/>
          <w:u w:val="single"/>
          <w:lang w:val="en-US" w:eastAsia="zh-CN"/>
        </w:rPr>
      </w:pPr>
      <w:r>
        <w:rPr>
          <w:rFonts w:hint="eastAsia" w:ascii="仿宋_GB2312" w:hAnsi="仿宋_GB2312" w:eastAsia="仿宋_GB2312" w:cs="仿宋_GB2312"/>
          <w:color w:val="auto"/>
          <w:sz w:val="21"/>
          <w:szCs w:val="21"/>
          <w:highlight w:val="none"/>
        </w:rPr>
        <w:t>1.签约合同价为：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人民币（大写）</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其中：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（1）安全文明施工费：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人民币（大写）</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（2）材料和工程设备暂估价金额：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 xml:space="preserve">人民币（大写）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 xml:space="preserve"> 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（3）专业工程暂估价金额：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人民币（大写）</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（4）暂列金额：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 xml:space="preserve">人民币（大写）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2.合同价格形式：</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b/>
          <w:bCs/>
          <w:color w:val="auto"/>
          <w:sz w:val="21"/>
          <w:szCs w:val="21"/>
          <w:highlight w:val="none"/>
        </w:rPr>
      </w:pPr>
      <w:bookmarkStart w:id="191" w:name="_Toc351203485"/>
      <w:r>
        <w:rPr>
          <w:rFonts w:hint="eastAsia" w:ascii="仿宋_GB2312" w:hAnsi="仿宋_GB2312" w:eastAsia="仿宋_GB2312" w:cs="仿宋_GB2312"/>
          <w:b/>
          <w:bCs/>
          <w:color w:val="auto"/>
          <w:sz w:val="21"/>
          <w:szCs w:val="21"/>
          <w:highlight w:val="none"/>
        </w:rPr>
        <w:t>五、</w:t>
      </w:r>
      <w:bookmarkEnd w:id="191"/>
      <w:r>
        <w:rPr>
          <w:rFonts w:hint="eastAsia" w:ascii="仿宋_GB2312" w:hAnsi="仿宋_GB2312" w:eastAsia="仿宋_GB2312" w:cs="仿宋_GB2312"/>
          <w:b/>
          <w:bCs/>
          <w:color w:val="auto"/>
          <w:sz w:val="21"/>
          <w:szCs w:val="21"/>
          <w:highlight w:val="none"/>
        </w:rPr>
        <w:t>项目经理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承包人项目经理：</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b/>
          <w:bCs/>
          <w:color w:val="auto"/>
          <w:sz w:val="21"/>
          <w:szCs w:val="21"/>
          <w:highlight w:val="none"/>
        </w:rPr>
      </w:pPr>
      <w:bookmarkStart w:id="192" w:name="_Toc351203486"/>
      <w:r>
        <w:rPr>
          <w:rFonts w:hint="eastAsia" w:ascii="仿宋_GB2312" w:hAnsi="仿宋_GB2312" w:eastAsia="仿宋_GB2312" w:cs="仿宋_GB2312"/>
          <w:b/>
          <w:bCs/>
          <w:color w:val="auto"/>
          <w:sz w:val="21"/>
          <w:szCs w:val="21"/>
          <w:highlight w:val="none"/>
        </w:rPr>
        <w:t>六、合同文件构成</w:t>
      </w:r>
      <w:bookmarkEnd w:id="192"/>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本协议书与下列文件一起构成合同文件：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（1）中标通知书（如果有）；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 xml:space="preserve">（2）投标函及其附录（如果有）；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（3）专用合同条款及其附件；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（4）通用合同条款；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（5）技术标准和要求；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（6）图纸；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（7）已标价工程量清单或预算书；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（8）其他合同文件。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在合同订立及履行过程中形成的与合同有关的文件均构成合同文件组成部分。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上述各项合同文件包括合同当事人就该项合同文件所作出的补充和修改，属于同一类内容的文件，应以最新签署的为准。专用合同条款及其附件须经合同当事人签字或盖章。</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仿宋_GB2312" w:hAnsi="仿宋_GB2312" w:eastAsia="仿宋_GB2312" w:cs="仿宋_GB2312"/>
          <w:color w:val="auto"/>
          <w:sz w:val="21"/>
          <w:szCs w:val="21"/>
          <w:highlight w:val="none"/>
        </w:rPr>
      </w:pPr>
      <w:bookmarkStart w:id="193" w:name="_Toc351203487"/>
      <w:r>
        <w:rPr>
          <w:rFonts w:hint="eastAsia" w:ascii="仿宋_GB2312" w:hAnsi="仿宋_GB2312" w:eastAsia="仿宋_GB2312" w:cs="仿宋_GB2312"/>
          <w:b/>
          <w:bCs/>
          <w:color w:val="auto"/>
          <w:sz w:val="21"/>
          <w:szCs w:val="21"/>
          <w:highlight w:val="none"/>
        </w:rPr>
        <w:t>七、承诺</w:t>
      </w:r>
      <w:bookmarkEnd w:id="193"/>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1.发包人承诺按照法律规定履行项目审批手续、筹集工程建设资金并按照合同约定的期限和方式支付合同价款。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2.承包人承诺按照法律规定及合同约定组织完成工程施工，确保工程质量和安全，不进行转包及违法分包，并在缺陷责任期及保修期内承担相应的工程维修责任。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color w:val="auto"/>
          <w:sz w:val="21"/>
          <w:szCs w:val="21"/>
          <w:highlight w:val="none"/>
        </w:rPr>
        <w:t>3.发包人和承包人通过招投标形式签订合同的，双方理解并承诺不再就同一工程另行签订与合同实质性内容相背离的协议。</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仿宋_GB2312" w:hAnsi="仿宋_GB2312" w:eastAsia="仿宋_GB2312" w:cs="仿宋_GB2312"/>
          <w:color w:val="auto"/>
          <w:sz w:val="21"/>
          <w:szCs w:val="21"/>
          <w:highlight w:val="none"/>
        </w:rPr>
      </w:pPr>
      <w:bookmarkStart w:id="194" w:name="_Toc351203488"/>
      <w:r>
        <w:rPr>
          <w:rFonts w:hint="eastAsia" w:ascii="仿宋_GB2312" w:hAnsi="仿宋_GB2312" w:eastAsia="仿宋_GB2312" w:cs="仿宋_GB2312"/>
          <w:b/>
          <w:bCs/>
          <w:color w:val="auto"/>
          <w:sz w:val="21"/>
          <w:szCs w:val="21"/>
          <w:highlight w:val="none"/>
        </w:rPr>
        <w:t xml:space="preserve"> 八、词语含义</w:t>
      </w:r>
      <w:bookmarkEnd w:id="194"/>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color w:val="auto"/>
          <w:sz w:val="21"/>
          <w:szCs w:val="21"/>
          <w:highlight w:val="none"/>
        </w:rPr>
        <w:t>本协议书中词语含义与第二部分通用合同条款中赋予的含义相同。</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仿宋_GB2312" w:hAnsi="仿宋_GB2312" w:eastAsia="仿宋_GB2312" w:cs="仿宋_GB2312"/>
          <w:color w:val="auto"/>
          <w:sz w:val="21"/>
          <w:szCs w:val="21"/>
          <w:highlight w:val="none"/>
        </w:rPr>
      </w:pPr>
      <w:bookmarkStart w:id="195" w:name="_Toc351203489"/>
      <w:r>
        <w:rPr>
          <w:rFonts w:hint="eastAsia" w:ascii="仿宋_GB2312" w:hAnsi="仿宋_GB2312" w:eastAsia="仿宋_GB2312" w:cs="仿宋_GB2312"/>
          <w:b/>
          <w:bCs/>
          <w:color w:val="auto"/>
          <w:sz w:val="21"/>
          <w:szCs w:val="21"/>
          <w:highlight w:val="none"/>
        </w:rPr>
        <w:t>九、签订时间</w:t>
      </w:r>
      <w:bookmarkEnd w:id="195"/>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color w:val="auto"/>
          <w:sz w:val="21"/>
          <w:szCs w:val="21"/>
          <w:highlight w:val="none"/>
        </w:rPr>
        <w:t>本合同于</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年</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月</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日签订。</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仿宋_GB2312" w:hAnsi="仿宋_GB2312" w:eastAsia="仿宋_GB2312" w:cs="仿宋_GB2312"/>
          <w:color w:val="auto"/>
          <w:sz w:val="21"/>
          <w:szCs w:val="21"/>
          <w:highlight w:val="none"/>
        </w:rPr>
      </w:pPr>
      <w:bookmarkStart w:id="196" w:name="_Toc351203490"/>
      <w:r>
        <w:rPr>
          <w:rFonts w:hint="eastAsia" w:ascii="仿宋_GB2312" w:hAnsi="仿宋_GB2312" w:eastAsia="仿宋_GB2312" w:cs="仿宋_GB2312"/>
          <w:b/>
          <w:bCs/>
          <w:color w:val="auto"/>
          <w:sz w:val="21"/>
          <w:szCs w:val="21"/>
          <w:highlight w:val="none"/>
        </w:rPr>
        <w:t>十、签订地点</w:t>
      </w:r>
      <w:bookmarkEnd w:id="196"/>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color w:val="auto"/>
          <w:sz w:val="21"/>
          <w:szCs w:val="21"/>
          <w:highlight w:val="none"/>
        </w:rPr>
        <w:t>本合同在</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签订。</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仿宋_GB2312" w:hAnsi="仿宋_GB2312" w:eastAsia="仿宋_GB2312" w:cs="仿宋_GB2312"/>
          <w:color w:val="auto"/>
          <w:sz w:val="21"/>
          <w:szCs w:val="21"/>
          <w:highlight w:val="none"/>
        </w:rPr>
      </w:pPr>
      <w:bookmarkStart w:id="197" w:name="_Toc351203491"/>
      <w:r>
        <w:rPr>
          <w:rFonts w:hint="eastAsia" w:ascii="仿宋_GB2312" w:hAnsi="仿宋_GB2312" w:eastAsia="仿宋_GB2312" w:cs="仿宋_GB2312"/>
          <w:b/>
          <w:bCs/>
          <w:color w:val="auto"/>
          <w:sz w:val="21"/>
          <w:szCs w:val="21"/>
          <w:highlight w:val="none"/>
        </w:rPr>
        <w:t>十一、补充协议</w:t>
      </w:r>
      <w:bookmarkEnd w:id="197"/>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color w:val="auto"/>
          <w:sz w:val="21"/>
          <w:szCs w:val="21"/>
          <w:highlight w:val="none"/>
        </w:rPr>
        <w:t>合同未尽事宜，合同当事人另行签订补充协议，补充协议是合同的组成部分。</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b/>
          <w:bCs/>
          <w:color w:val="auto"/>
          <w:sz w:val="21"/>
          <w:szCs w:val="21"/>
          <w:highlight w:val="none"/>
        </w:rPr>
      </w:pPr>
      <w:bookmarkStart w:id="198" w:name="_Toc351203492"/>
      <w:r>
        <w:rPr>
          <w:rFonts w:hint="eastAsia" w:ascii="仿宋_GB2312" w:hAnsi="仿宋_GB2312" w:eastAsia="仿宋_GB2312" w:cs="仿宋_GB2312"/>
          <w:b/>
          <w:bCs/>
          <w:color w:val="auto"/>
          <w:sz w:val="21"/>
          <w:szCs w:val="21"/>
          <w:highlight w:val="none"/>
        </w:rPr>
        <w:t>十二、合同生效</w:t>
      </w:r>
      <w:bookmarkEnd w:id="198"/>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本合同自</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生效。</w:t>
      </w:r>
    </w:p>
    <w:p>
      <w:pPr>
        <w:bidi w:val="0"/>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 xml:space="preserve">    </w:t>
      </w:r>
      <w:bookmarkStart w:id="199" w:name="_Toc351203493"/>
      <w:r>
        <w:rPr>
          <w:rFonts w:hint="eastAsia" w:ascii="仿宋_GB2312" w:hAnsi="仿宋_GB2312" w:eastAsia="仿宋_GB2312" w:cs="仿宋_GB2312"/>
          <w:b/>
          <w:bCs/>
          <w:color w:val="auto"/>
          <w:sz w:val="21"/>
          <w:szCs w:val="21"/>
          <w:highlight w:val="none"/>
        </w:rPr>
        <w:t>十三、合同份数</w:t>
      </w:r>
      <w:bookmarkEnd w:id="199"/>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本合同一式</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份，均具有同等法律效力，发包人执</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份，承包人执</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份。</w:t>
      </w:r>
    </w:p>
    <w:p>
      <w:pPr>
        <w:bidi w:val="0"/>
        <w:rPr>
          <w:rFonts w:hint="eastAsia" w:ascii="仿宋_GB2312" w:hAnsi="仿宋_GB2312" w:eastAsia="仿宋_GB2312" w:cs="仿宋_GB2312"/>
          <w:color w:val="auto"/>
          <w:sz w:val="21"/>
          <w:szCs w:val="21"/>
          <w:highlight w:val="none"/>
        </w:rPr>
      </w:pPr>
    </w:p>
    <w:p>
      <w:pPr>
        <w:bidi w:val="0"/>
        <w:rPr>
          <w:rFonts w:hint="eastAsia" w:ascii="仿宋_GB2312" w:hAnsi="仿宋_GB2312" w:eastAsia="仿宋_GB2312" w:cs="仿宋_GB2312"/>
          <w:color w:val="auto"/>
          <w:sz w:val="21"/>
          <w:szCs w:val="21"/>
          <w:highlight w:val="none"/>
        </w:rPr>
      </w:pPr>
    </w:p>
    <w:p>
      <w:pPr>
        <w:bidi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发包人：  (公章)             承包人：  (公章)</w:t>
      </w:r>
    </w:p>
    <w:p>
      <w:pPr>
        <w:bidi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 xml:space="preserve">                                 </w:t>
      </w:r>
    </w:p>
    <w:p>
      <w:pPr>
        <w:bidi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法定代表人或其委托代理人：  法定代表人或其委托代理人：</w:t>
      </w:r>
    </w:p>
    <w:p>
      <w:pPr>
        <w:bidi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（签字）                    （签字）</w:t>
      </w:r>
    </w:p>
    <w:p>
      <w:pPr>
        <w:bidi w:val="0"/>
        <w:rPr>
          <w:rFonts w:hint="eastAsia" w:ascii="仿宋_GB2312" w:hAnsi="仿宋_GB2312" w:eastAsia="仿宋_GB2312" w:cs="仿宋_GB2312"/>
          <w:color w:val="auto"/>
          <w:sz w:val="21"/>
          <w:szCs w:val="21"/>
          <w:highlight w:val="none"/>
        </w:rPr>
      </w:pPr>
    </w:p>
    <w:p>
      <w:pPr>
        <w:bidi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组织机构代码：</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 xml:space="preserve">    组织机构代码：</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 xml:space="preserve"> </w:t>
      </w:r>
    </w:p>
    <w:p>
      <w:pPr>
        <w:bidi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地  址：</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 xml:space="preserve">    地  址：</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 xml:space="preserve">   </w:t>
      </w:r>
    </w:p>
    <w:p>
      <w:pPr>
        <w:bidi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邮政编码：</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 xml:space="preserve">     邮政编码：</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 xml:space="preserve">  </w:t>
      </w:r>
    </w:p>
    <w:p>
      <w:pPr>
        <w:bidi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法定代表人：</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 xml:space="preserve">    法定代表人：</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 xml:space="preserve"> </w:t>
      </w:r>
    </w:p>
    <w:p>
      <w:pPr>
        <w:bidi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委托代理人：</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 xml:space="preserve">    委托代理人：</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p>
    <w:p>
      <w:pPr>
        <w:bidi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电  话：</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 xml:space="preserve">    电  话：</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 xml:space="preserve"> </w:t>
      </w:r>
    </w:p>
    <w:p>
      <w:pPr>
        <w:bidi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传  真：</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 xml:space="preserve">    传  真：</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 xml:space="preserve"> </w:t>
      </w:r>
    </w:p>
    <w:p>
      <w:pPr>
        <w:bidi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电子信箱：</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 xml:space="preserve">    电子信箱：</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 xml:space="preserve"> </w:t>
      </w:r>
    </w:p>
    <w:p>
      <w:pPr>
        <w:bidi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开户银行：</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 xml:space="preserve">    开户银行：</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 xml:space="preserve"> </w:t>
      </w:r>
    </w:p>
    <w:p>
      <w:pPr>
        <w:bidi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账  号：</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 xml:space="preserve">     账  号：</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 xml:space="preserve">  </w:t>
      </w:r>
    </w:p>
    <w:p>
      <w:pPr>
        <w:bidi w:val="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br w:type="page"/>
      </w:r>
      <w:bookmarkStart w:id="200" w:name="_Toc351203632"/>
      <w:r>
        <w:rPr>
          <w:rFonts w:hint="eastAsia" w:ascii="仿宋_GB2312" w:hAnsi="仿宋_GB2312" w:eastAsia="仿宋_GB2312" w:cs="仿宋_GB2312"/>
          <w:b/>
          <w:bCs/>
          <w:color w:val="auto"/>
          <w:sz w:val="21"/>
          <w:szCs w:val="21"/>
          <w:highlight w:val="none"/>
        </w:rPr>
        <w:t>第三部分 专用合同条款</w:t>
      </w:r>
      <w:bookmarkEnd w:id="200"/>
    </w:p>
    <w:p>
      <w:pPr>
        <w:bidi w:val="0"/>
        <w:rPr>
          <w:rFonts w:hint="eastAsia" w:ascii="仿宋_GB2312" w:hAnsi="仿宋_GB2312" w:eastAsia="仿宋_GB2312" w:cs="仿宋_GB2312"/>
          <w:color w:val="auto"/>
          <w:sz w:val="21"/>
          <w:szCs w:val="21"/>
          <w:highlight w:val="none"/>
        </w:rPr>
      </w:pPr>
      <w:bookmarkStart w:id="201" w:name="_Toc351203633"/>
      <w:r>
        <w:rPr>
          <w:rFonts w:hint="eastAsia" w:ascii="仿宋_GB2312" w:hAnsi="仿宋_GB2312" w:eastAsia="仿宋_GB2312" w:cs="仿宋_GB2312"/>
          <w:b/>
          <w:bCs/>
          <w:color w:val="auto"/>
          <w:sz w:val="21"/>
          <w:szCs w:val="21"/>
          <w:highlight w:val="none"/>
        </w:rPr>
        <w:t>1</w:t>
      </w:r>
      <w:bookmarkStart w:id="202" w:name="_Toc296347155"/>
      <w:bookmarkStart w:id="203" w:name="_Toc296890984"/>
      <w:bookmarkStart w:id="204" w:name="_Toc297048342"/>
      <w:bookmarkStart w:id="205" w:name="_Toc292559361"/>
      <w:bookmarkStart w:id="206" w:name="_Toc296891196"/>
      <w:bookmarkStart w:id="207" w:name="_Toc296503156"/>
      <w:bookmarkStart w:id="208" w:name="_Toc296346657"/>
      <w:bookmarkStart w:id="209" w:name="_Toc292559866"/>
      <w:bookmarkStart w:id="210" w:name="_Toc296944495"/>
      <w:bookmarkStart w:id="211" w:name="_Toc297120456"/>
      <w:r>
        <w:rPr>
          <w:rFonts w:hint="eastAsia" w:ascii="仿宋_GB2312" w:hAnsi="仿宋_GB2312" w:eastAsia="仿宋_GB2312" w:cs="仿宋_GB2312"/>
          <w:b/>
          <w:bCs/>
          <w:color w:val="auto"/>
          <w:sz w:val="21"/>
          <w:szCs w:val="21"/>
          <w:highlight w:val="none"/>
        </w:rPr>
        <w:t>. 一般约定</w:t>
      </w:r>
      <w:bookmarkEnd w:id="201"/>
    </w:p>
    <w:bookmarkEnd w:id="202"/>
    <w:bookmarkEnd w:id="203"/>
    <w:bookmarkEnd w:id="204"/>
    <w:bookmarkEnd w:id="205"/>
    <w:bookmarkEnd w:id="206"/>
    <w:bookmarkEnd w:id="207"/>
    <w:bookmarkEnd w:id="208"/>
    <w:bookmarkEnd w:id="209"/>
    <w:bookmarkEnd w:id="210"/>
    <w:bookmarkEnd w:id="211"/>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1.1 词语定义</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1.1.1合同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u w:val="single"/>
          <w:lang w:val="en-US" w:eastAsia="zh-CN"/>
        </w:rPr>
      </w:pPr>
      <w:r>
        <w:rPr>
          <w:rFonts w:hint="eastAsia" w:ascii="仿宋_GB2312" w:hAnsi="仿宋_GB2312" w:eastAsia="仿宋_GB2312" w:cs="仿宋_GB2312"/>
          <w:color w:val="auto"/>
          <w:sz w:val="21"/>
          <w:szCs w:val="21"/>
          <w:highlight w:val="none"/>
        </w:rPr>
        <w:t>1.1.1.10其他合同文件包括：</w:t>
      </w:r>
      <w:r>
        <w:rPr>
          <w:rFonts w:hint="eastAsia" w:ascii="仿宋_GB2312" w:hAnsi="仿宋_GB2312" w:eastAsia="仿宋_GB2312" w:cs="仿宋_GB2312"/>
          <w:color w:val="auto"/>
          <w:sz w:val="21"/>
          <w:szCs w:val="21"/>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1.1.2 合同当事人及其他相关方</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1.1.2.4监理人：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名    称：</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资质类别和等级：</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联系电话：</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电子信箱：</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通信地址：</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1.1.2.5 设计人：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名    称：</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资质类别和等级：</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联系电话</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电子信箱</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通信地址：</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1.1.3 工程和设备</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1.1.3.7 作为施工现场组成部分的其他场所包括：</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1.1.3.9 永久占地包括</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1.1.3.10 临时占地包括</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1.3法律</w:t>
      </w:r>
      <w:r>
        <w:rPr>
          <w:rFonts w:hint="eastAsia" w:ascii="仿宋_GB2312" w:hAnsi="仿宋_GB2312" w:eastAsia="仿宋_GB2312" w:cs="仿宋_GB2312"/>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适用于合同的其他规范性文件</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1.4 标准和规范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1.4.1适用于工程的标准规范包括：</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1.4.2 发包人提供国外标准、规范的名称：</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发包人提供国外标准、规范的份数：</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发包人提供国外标准、规范的名称：</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1.4.3发包人对工程的技术标准和功能要求的特殊要求：</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1.5 合同文件的优先顺序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合同文件组成及优先顺序为</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1.6 图纸和承包人文件</w:t>
      </w:r>
      <w:r>
        <w:rPr>
          <w:rFonts w:hint="eastAsia" w:ascii="仿宋_GB2312" w:hAnsi="仿宋_GB2312" w:eastAsia="仿宋_GB2312" w:cs="仿宋_GB2312"/>
          <w:color w:val="auto"/>
          <w:sz w:val="21"/>
          <w:szCs w:val="21"/>
          <w:highlight w:val="none"/>
        </w:rPr>
        <w:tab/>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1.6.1 图纸的提供</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发包人向承包人提供图纸的期限：</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发包人向承包人提供图纸的数量：</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发包人向承包人提供图纸的内容：</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1.6.4 承包人文件</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需要由承包人提供的文件，包括</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承包人提供的文件的期限为</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承包人提供的文件的数量为</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承包人提供的文件的形式为</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发包人审批承包人文件的期限</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1.6.5 现场图纸准备</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关于现场图纸准备的约定</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1.7 联络</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1.7.1发包人和承包人应当在</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天内将与合同有关的通知、批准、证明、证书、指示、指令、要求、请求、同意、意见、确定和决定等书面函件送达对方当事人。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1.7.2 发包人接收文件的地点</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发包人指定的接收人为</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承包人接收文件的地点</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承包人指定的接收人为</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监理人接收文件的地点</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监理人指定的接收人为</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1.10 交通运输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w:t>
      </w:r>
      <w:bookmarkStart w:id="212" w:name="_Toc300934943"/>
      <w:bookmarkStart w:id="213" w:name="_Toc304295521"/>
      <w:bookmarkStart w:id="214" w:name="_Toc318581155"/>
      <w:bookmarkStart w:id="215" w:name="_Toc303539100"/>
      <w:bookmarkStart w:id="216" w:name="_Toc312677986"/>
      <w:r>
        <w:rPr>
          <w:rFonts w:hint="eastAsia" w:ascii="仿宋_GB2312" w:hAnsi="仿宋_GB2312" w:eastAsia="仿宋_GB2312" w:cs="仿宋_GB2312"/>
          <w:color w:val="auto"/>
          <w:sz w:val="21"/>
          <w:szCs w:val="21"/>
          <w:highlight w:val="none"/>
        </w:rPr>
        <w:t>.10.1 出入现场的权利</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关于出入现场的权利的约定</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bookmarkEnd w:id="212"/>
    <w:bookmarkEnd w:id="213"/>
    <w:bookmarkEnd w:id="214"/>
    <w:bookmarkEnd w:id="215"/>
    <w:bookmarkEnd w:id="216"/>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w:t>
      </w:r>
      <w:bookmarkStart w:id="217" w:name="_Toc318581156"/>
      <w:bookmarkStart w:id="218" w:name="_Toc312677987"/>
      <w:bookmarkStart w:id="219" w:name="_Toc304295522"/>
      <w:bookmarkStart w:id="220" w:name="_Toc300934944"/>
      <w:bookmarkStart w:id="221" w:name="_Toc303539101"/>
      <w:r>
        <w:rPr>
          <w:rFonts w:hint="eastAsia" w:ascii="仿宋_GB2312" w:hAnsi="仿宋_GB2312" w:eastAsia="仿宋_GB2312" w:cs="仿宋_GB2312"/>
          <w:color w:val="auto"/>
          <w:sz w:val="21"/>
          <w:szCs w:val="21"/>
          <w:highlight w:val="none"/>
        </w:rPr>
        <w:t>.10.3 场内交通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关于场外交通和场内交通的边界的约定</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关于发包人向承包人免费提供满足工程施工需要的场内道路和交通设施的约定</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bookmarkEnd w:id="217"/>
      <w:bookmarkEnd w:id="218"/>
      <w:bookmarkEnd w:id="219"/>
      <w:bookmarkEnd w:id="220"/>
      <w:bookmarkEnd w:id="221"/>
      <w:r>
        <w:rPr>
          <w:rFonts w:hint="eastAsia" w:ascii="仿宋_GB2312" w:hAnsi="仿宋_GB2312" w:eastAsia="仿宋_GB2312" w:cs="仿宋_GB2312"/>
          <w:color w:val="auto"/>
          <w:sz w:val="21"/>
          <w:szCs w:val="21"/>
          <w:highlight w:val="none"/>
        </w:rPr>
        <w:t xml:space="preserve">  </w:t>
      </w:r>
      <w:bookmarkStart w:id="222" w:name="_Toc318581157"/>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1.10.4超大件和超重件的运输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运输超大件或超重件所需的道路和桥梁临时加固改造费用和其他有关费用由</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承担</w:t>
      </w:r>
      <w:r>
        <w:rPr>
          <w:rFonts w:hint="eastAsia" w:ascii="仿宋_GB2312" w:hAnsi="仿宋_GB2312" w:eastAsia="仿宋_GB2312" w:cs="仿宋_GB2312"/>
          <w:color w:val="auto"/>
          <w:sz w:val="21"/>
          <w:szCs w:val="21"/>
          <w:highlight w:val="none"/>
        </w:rPr>
        <w:t>。</w:t>
      </w:r>
    </w:p>
    <w:bookmarkEnd w:id="222"/>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1.11 知识产权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1.11.1关于发包人提供给承包人的图纸、发包人为实施工程自行编制或委托编制的技术规范以及反映发包人关于合同要求或其他类似性质的文件的著作权的归属：</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关于发包人提供的上述文件的使用限制的要求：</w:t>
      </w:r>
      <w:r>
        <w:rPr>
          <w:rFonts w:hint="eastAsia" w:ascii="仿宋_GB2312" w:hAnsi="仿宋_GB2312" w:eastAsia="仿宋_GB2312" w:cs="仿宋_GB2312"/>
          <w:color w:val="auto"/>
          <w:sz w:val="21"/>
          <w:szCs w:val="21"/>
          <w:highlight w:val="none"/>
          <w:lang w:val="en-US" w:eastAsia="zh-CN"/>
        </w:rPr>
        <w:t xml:space="preserve"> </w:t>
      </w:r>
      <w:r>
        <w:rPr>
          <w:rFonts w:hint="eastAsia" w:ascii="仿宋_GB2312" w:hAnsi="仿宋_GB2312" w:eastAsia="仿宋_GB2312" w:cs="仿宋_GB2312"/>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1.11.2 关于承包人为实施工程所编制文件的著作权的归属</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关于承包人提供的上述文件的使用限制的要求</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1.11.4 承包人在施工过程中所采用的专利、专有技术、技术秘密的使用费的承担方式</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1.13工程量清单错误的修正</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出现工程量清单错误时，是否调整合同价格</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允许调整合同价格的工程量偏差范围</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bidi w:val="0"/>
        <w:rPr>
          <w:rFonts w:hint="eastAsia" w:ascii="仿宋_GB2312" w:hAnsi="仿宋_GB2312" w:eastAsia="仿宋_GB2312" w:cs="仿宋_GB2312"/>
          <w:color w:val="auto"/>
          <w:sz w:val="21"/>
          <w:szCs w:val="21"/>
          <w:highlight w:val="none"/>
        </w:rPr>
      </w:pPr>
      <w:bookmarkStart w:id="223" w:name="_Toc351203634"/>
      <w:r>
        <w:rPr>
          <w:rFonts w:hint="eastAsia" w:ascii="仿宋_GB2312" w:hAnsi="仿宋_GB2312" w:eastAsia="仿宋_GB2312" w:cs="仿宋_GB2312"/>
          <w:b/>
          <w:bCs/>
          <w:color w:val="auto"/>
          <w:sz w:val="21"/>
          <w:szCs w:val="21"/>
          <w:highlight w:val="none"/>
        </w:rPr>
        <w:t>2</w:t>
      </w:r>
      <w:bookmarkStart w:id="224" w:name="_Toc296890985"/>
      <w:bookmarkStart w:id="225" w:name="_Toc296891197"/>
      <w:bookmarkStart w:id="226" w:name="_Toc296503157"/>
      <w:bookmarkStart w:id="227" w:name="_Toc296346658"/>
      <w:bookmarkStart w:id="228" w:name="_Toc296944496"/>
      <w:bookmarkStart w:id="229" w:name="_Toc296347156"/>
      <w:bookmarkStart w:id="230" w:name="_Toc292559362"/>
      <w:bookmarkStart w:id="231" w:name="_Toc297120457"/>
      <w:bookmarkStart w:id="232" w:name="_Toc292559867"/>
      <w:bookmarkStart w:id="233" w:name="_Toc297048343"/>
      <w:r>
        <w:rPr>
          <w:rFonts w:hint="eastAsia" w:ascii="仿宋_GB2312" w:hAnsi="仿宋_GB2312" w:eastAsia="仿宋_GB2312" w:cs="仿宋_GB2312"/>
          <w:b/>
          <w:bCs/>
          <w:color w:val="auto"/>
          <w:sz w:val="21"/>
          <w:szCs w:val="21"/>
          <w:highlight w:val="none"/>
        </w:rPr>
        <w:t>. 发包人</w:t>
      </w:r>
      <w:bookmarkEnd w:id="223"/>
    </w:p>
    <w:bookmarkEnd w:id="224"/>
    <w:bookmarkEnd w:id="225"/>
    <w:bookmarkEnd w:id="226"/>
    <w:bookmarkEnd w:id="227"/>
    <w:bookmarkEnd w:id="228"/>
    <w:bookmarkEnd w:id="229"/>
    <w:bookmarkEnd w:id="230"/>
    <w:bookmarkEnd w:id="231"/>
    <w:bookmarkEnd w:id="232"/>
    <w:bookmarkEnd w:id="233"/>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2.2 发包人代表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发包人代表：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姓    名：</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身份证号：</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职    务：</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联系电话：</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电子信箱：</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通信地址：</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发包人对发包人代表的授权范围如下：</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2.4 施工现场、施工条件和基础资料的提供</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2.4.1 提供施工现场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关于发包人移交施工现场的期限要求</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2.4.2 提供施工条件</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关于发包人应负责提供施工所需要的条件，包括</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2.5 资金来源证明及支付担保</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发包人提供资金来源证明的期限要求：</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发包人是否提供支付担保：</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u w:val="single"/>
        </w:rPr>
      </w:pPr>
      <w:r>
        <w:rPr>
          <w:rFonts w:hint="eastAsia" w:ascii="仿宋_GB2312" w:hAnsi="仿宋_GB2312" w:eastAsia="仿宋_GB2312" w:cs="仿宋_GB2312"/>
          <w:color w:val="auto"/>
          <w:sz w:val="21"/>
          <w:szCs w:val="21"/>
          <w:highlight w:val="none"/>
        </w:rPr>
        <w:t>发包人提供支付担保的形式：</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bookmarkStart w:id="234" w:name="_Toc351203635"/>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3</w:t>
      </w:r>
      <w:bookmarkStart w:id="235" w:name="_Toc296503158"/>
      <w:bookmarkStart w:id="236" w:name="_Toc296347157"/>
      <w:bookmarkStart w:id="237" w:name="_Toc297120458"/>
      <w:bookmarkStart w:id="238" w:name="_Toc296346659"/>
      <w:bookmarkStart w:id="239" w:name="_Toc292559868"/>
      <w:bookmarkStart w:id="240" w:name="_Toc297048344"/>
      <w:bookmarkStart w:id="241" w:name="_Toc296890986"/>
      <w:bookmarkStart w:id="242" w:name="_Toc296944497"/>
      <w:bookmarkStart w:id="243" w:name="_Toc292559363"/>
      <w:bookmarkStart w:id="244" w:name="_Toc296891198"/>
      <w:r>
        <w:rPr>
          <w:rFonts w:hint="eastAsia" w:ascii="仿宋_GB2312" w:hAnsi="仿宋_GB2312" w:eastAsia="仿宋_GB2312" w:cs="仿宋_GB2312"/>
          <w:b/>
          <w:bCs/>
          <w:color w:val="auto"/>
          <w:sz w:val="21"/>
          <w:szCs w:val="21"/>
          <w:highlight w:val="none"/>
        </w:rPr>
        <w:t>. 承包人</w:t>
      </w:r>
      <w:bookmarkEnd w:id="234"/>
    </w:p>
    <w:bookmarkEnd w:id="235"/>
    <w:bookmarkEnd w:id="236"/>
    <w:bookmarkEnd w:id="237"/>
    <w:bookmarkEnd w:id="238"/>
    <w:bookmarkEnd w:id="239"/>
    <w:bookmarkEnd w:id="240"/>
    <w:bookmarkEnd w:id="241"/>
    <w:bookmarkEnd w:id="242"/>
    <w:bookmarkEnd w:id="243"/>
    <w:bookmarkEnd w:id="244"/>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3.1 承包人的一般义务</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（9）承包人提交的竣工资料的内容</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承包人需要提交的竣工资料套数：</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u w:val="single"/>
        </w:rPr>
      </w:pPr>
      <w:r>
        <w:rPr>
          <w:rFonts w:hint="eastAsia" w:ascii="仿宋_GB2312" w:hAnsi="仿宋_GB2312" w:eastAsia="仿宋_GB2312" w:cs="仿宋_GB2312"/>
          <w:color w:val="auto"/>
          <w:sz w:val="21"/>
          <w:szCs w:val="21"/>
          <w:highlight w:val="none"/>
        </w:rPr>
        <w:t>承包人提交的竣工资料的费用承担</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承包人提交的竣工资料移交时间</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承包人提交的竣工资料形式要求</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（10）承包人应履行的其他义务</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3.2 项目经理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3.2.1 项目经理：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姓    名：</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身份证号：</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建造师执业资格等级</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建造师注册证书号</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建造师执业印章号</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安全生产考核合格证书号</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联系电话</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电子信箱</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通信地址</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承包人对项目经理的授权范围如下</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关于项目经理每月在施工现场的时间要求</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 xml:space="preserve">承包人未提交劳动合同，以及没有为项目经理缴纳社会保险证明的违约责任： </w:t>
      </w:r>
      <w:r>
        <w:rPr>
          <w:rFonts w:hint="eastAsia" w:ascii="仿宋_GB2312" w:hAnsi="仿宋_GB2312" w:eastAsia="仿宋_GB2312" w:cs="仿宋_GB2312"/>
          <w:color w:val="auto"/>
          <w:sz w:val="21"/>
          <w:szCs w:val="21"/>
          <w:highlight w:val="none"/>
          <w:lang w:val="en-US" w:eastAsia="zh-CN"/>
        </w:rPr>
        <w:t xml:space="preserve"> </w:t>
      </w:r>
      <w:r>
        <w:rPr>
          <w:rFonts w:hint="eastAsia" w:ascii="仿宋_GB2312" w:hAnsi="仿宋_GB2312" w:eastAsia="仿宋_GB2312" w:cs="仿宋_GB2312"/>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项目经理未经批准，擅自离开施工现场的违约责任</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3.2.3 承包人擅自更换项目经理的违约责任</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 xml:space="preserve">    3.2.4 承包人无正当理由拒绝更换项目经理的违约责任：</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3.3 承包人人员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3.3.1 承包人提交项目管理机构及施工现场管理人员安排报告的期限：</w:t>
      </w:r>
      <w:r>
        <w:rPr>
          <w:rFonts w:hint="eastAsia" w:ascii="仿宋_GB2312" w:hAnsi="仿宋_GB2312" w:eastAsia="仿宋_GB2312" w:cs="仿宋_GB2312"/>
          <w:color w:val="auto"/>
          <w:sz w:val="21"/>
          <w:szCs w:val="21"/>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u w:val="single"/>
          <w:lang w:val="en-US" w:eastAsia="zh-CN"/>
        </w:rPr>
      </w:pPr>
      <w:r>
        <w:rPr>
          <w:rFonts w:hint="eastAsia" w:ascii="仿宋_GB2312" w:hAnsi="仿宋_GB2312" w:eastAsia="仿宋_GB2312" w:cs="仿宋_GB2312"/>
          <w:color w:val="auto"/>
          <w:sz w:val="21"/>
          <w:szCs w:val="21"/>
          <w:highlight w:val="none"/>
        </w:rPr>
        <w:t>3.3.3 承包人无正当理由拒绝撤换主要施工管理人员的违约责任：</w:t>
      </w:r>
      <w:r>
        <w:rPr>
          <w:rFonts w:hint="eastAsia" w:ascii="仿宋_GB2312" w:hAnsi="仿宋_GB2312" w:eastAsia="仿宋_GB2312" w:cs="仿宋_GB2312"/>
          <w:color w:val="auto"/>
          <w:sz w:val="21"/>
          <w:szCs w:val="21"/>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3.3.4 承包人主要施工管理人员离开施工现场的批准要求</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3.3.5承包人擅自更换主要施工管理人员的违约责任：</w:t>
      </w:r>
      <w:r>
        <w:rPr>
          <w:rFonts w:hint="eastAsia" w:ascii="仿宋_GB2312" w:hAnsi="仿宋_GB2312" w:eastAsia="仿宋_GB2312" w:cs="仿宋_GB2312"/>
          <w:color w:val="auto"/>
          <w:sz w:val="21"/>
          <w:szCs w:val="21"/>
          <w:highlight w:val="none"/>
          <w:lang w:val="en-US" w:eastAsia="zh-CN"/>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承包人主要施工管理人员擅自离开施工现场的违约责任：</w:t>
      </w:r>
      <w:r>
        <w:rPr>
          <w:rFonts w:hint="eastAsia" w:ascii="仿宋_GB2312" w:hAnsi="仿宋_GB2312" w:eastAsia="仿宋_GB2312" w:cs="仿宋_GB2312"/>
          <w:color w:val="auto"/>
          <w:sz w:val="21"/>
          <w:szCs w:val="21"/>
          <w:highlight w:val="none"/>
          <w:lang w:val="en-US" w:eastAsia="zh-CN"/>
        </w:rPr>
        <w:t xml:space="preserve"> </w:t>
      </w:r>
      <w:r>
        <w:rPr>
          <w:rFonts w:hint="eastAsia" w:ascii="仿宋_GB2312" w:hAnsi="仿宋_GB2312" w:eastAsia="仿宋_GB2312" w:cs="仿宋_GB2312"/>
          <w:color w:val="auto"/>
          <w:sz w:val="21"/>
          <w:szCs w:val="21"/>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3</w:t>
      </w:r>
      <w:bookmarkStart w:id="245" w:name="_Toc300934945"/>
      <w:bookmarkStart w:id="246" w:name="_Toc292559364"/>
      <w:bookmarkStart w:id="247" w:name="_Toc297120459"/>
      <w:bookmarkStart w:id="248" w:name="_Toc297123492"/>
      <w:bookmarkStart w:id="249" w:name="_Toc296346660"/>
      <w:bookmarkStart w:id="250" w:name="_Toc292559869"/>
      <w:bookmarkStart w:id="251" w:name="_Toc297216151"/>
      <w:bookmarkStart w:id="252" w:name="_Toc296503159"/>
      <w:bookmarkStart w:id="253" w:name="_Toc296890987"/>
      <w:bookmarkStart w:id="254" w:name="_Toc296891199"/>
      <w:bookmarkStart w:id="255" w:name="_Toc312677988"/>
      <w:bookmarkStart w:id="256" w:name="_Toc297048345"/>
      <w:bookmarkStart w:id="257" w:name="_Toc303539102"/>
      <w:bookmarkStart w:id="258" w:name="_Toc296347158"/>
      <w:bookmarkStart w:id="259" w:name="_Toc304295523"/>
      <w:bookmarkStart w:id="260" w:name="_Toc296944498"/>
      <w:r>
        <w:rPr>
          <w:rFonts w:hint="eastAsia" w:ascii="仿宋_GB2312" w:hAnsi="仿宋_GB2312" w:eastAsia="仿宋_GB2312" w:cs="仿宋_GB2312"/>
          <w:b/>
          <w:bCs/>
          <w:color w:val="auto"/>
          <w:sz w:val="21"/>
          <w:szCs w:val="21"/>
          <w:highlight w:val="none"/>
        </w:rPr>
        <w:t>.5 分包</w:t>
      </w:r>
    </w:p>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3</w:t>
      </w:r>
      <w:bookmarkStart w:id="261" w:name="_Toc297048346"/>
      <w:bookmarkStart w:id="262" w:name="_Toc296503160"/>
      <w:bookmarkStart w:id="263" w:name="_Toc303539103"/>
      <w:bookmarkStart w:id="264" w:name="_Toc296944499"/>
      <w:bookmarkStart w:id="265" w:name="_Toc297120460"/>
      <w:bookmarkStart w:id="266" w:name="_Toc292559870"/>
      <w:bookmarkStart w:id="267" w:name="_Toc296346661"/>
      <w:bookmarkStart w:id="268" w:name="_Toc296347159"/>
      <w:bookmarkStart w:id="269" w:name="_Toc297216152"/>
      <w:bookmarkStart w:id="270" w:name="_Toc304295524"/>
      <w:bookmarkStart w:id="271" w:name="_Toc297123493"/>
      <w:bookmarkStart w:id="272" w:name="_Toc300934946"/>
      <w:bookmarkStart w:id="273" w:name="_Toc296890988"/>
      <w:bookmarkStart w:id="274" w:name="_Toc296891200"/>
      <w:bookmarkStart w:id="275" w:name="_Toc292559365"/>
      <w:bookmarkStart w:id="276" w:name="_Toc312677989"/>
      <w:bookmarkStart w:id="277" w:name="_Toc318581158"/>
      <w:r>
        <w:rPr>
          <w:rFonts w:hint="eastAsia" w:ascii="仿宋_GB2312" w:hAnsi="仿宋_GB2312" w:eastAsia="仿宋_GB2312" w:cs="仿宋_GB2312"/>
          <w:color w:val="auto"/>
          <w:sz w:val="21"/>
          <w:szCs w:val="21"/>
          <w:highlight w:val="none"/>
        </w:rPr>
        <w:t>.5.1 分包的一般约定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禁止分包的工程包括</w:t>
      </w:r>
      <w:r>
        <w:rPr>
          <w:rFonts w:hint="eastAsia" w:ascii="仿宋_GB2312" w:hAnsi="仿宋_GB2312" w:eastAsia="仿宋_GB2312" w:cs="仿宋_GB2312"/>
          <w:color w:val="auto"/>
          <w:sz w:val="21"/>
          <w:szCs w:val="21"/>
          <w:highlight w:val="none"/>
          <w:u w:val="single"/>
          <w:lang w:val="en-US" w:eastAsia="zh-CN"/>
        </w:rPr>
        <w:t>：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b/>
          <w:bCs/>
          <w:color w:val="auto"/>
          <w:sz w:val="21"/>
          <w:szCs w:val="21"/>
          <w:highlight w:val="none"/>
          <w:lang w:val="en-US" w:eastAsia="zh-CN"/>
        </w:rPr>
      </w:pPr>
      <w:r>
        <w:rPr>
          <w:rFonts w:hint="eastAsia" w:ascii="仿宋_GB2312" w:hAnsi="仿宋_GB2312" w:eastAsia="仿宋_GB2312" w:cs="仿宋_GB2312"/>
          <w:color w:val="auto"/>
          <w:sz w:val="21"/>
          <w:szCs w:val="21"/>
          <w:highlight w:val="none"/>
        </w:rPr>
        <w:t>主体结构、关键性工作的范围</w:t>
      </w:r>
      <w:r>
        <w:rPr>
          <w:rFonts w:hint="eastAsia" w:ascii="仿宋_GB2312" w:hAnsi="仿宋_GB2312" w:eastAsia="仿宋_GB2312" w:cs="仿宋_GB2312"/>
          <w:color w:val="auto"/>
          <w:sz w:val="21"/>
          <w:szCs w:val="21"/>
          <w:highlight w:val="none"/>
          <w:u w:val="single"/>
          <w:lang w:val="en-US" w:eastAsia="zh-CN"/>
        </w:rPr>
        <w:t>：     。</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Start w:id="278" w:name="_Toc296503161"/>
      <w:bookmarkStart w:id="279" w:name="_Toc297120461"/>
      <w:bookmarkStart w:id="280" w:name="_Toc296890989"/>
      <w:bookmarkStart w:id="281" w:name="_Toc303539104"/>
      <w:bookmarkStart w:id="282" w:name="_Toc297123494"/>
      <w:bookmarkStart w:id="283" w:name="_Toc297216153"/>
      <w:bookmarkStart w:id="284" w:name="_Toc304295525"/>
      <w:bookmarkStart w:id="285" w:name="_Toc300934947"/>
      <w:bookmarkStart w:id="286" w:name="_Toc296346662"/>
      <w:bookmarkStart w:id="287" w:name="_Toc296944500"/>
      <w:bookmarkStart w:id="288" w:name="_Toc296347160"/>
      <w:bookmarkStart w:id="289" w:name="_Toc297048347"/>
      <w:bookmarkStart w:id="290" w:name="_Toc296891201"/>
    </w:p>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3</w:t>
      </w:r>
      <w:bookmarkStart w:id="291" w:name="_Toc312677990"/>
      <w:bookmarkStart w:id="292" w:name="_Toc318581159"/>
      <w:r>
        <w:rPr>
          <w:rFonts w:hint="eastAsia" w:ascii="仿宋_GB2312" w:hAnsi="仿宋_GB2312" w:eastAsia="仿宋_GB2312" w:cs="仿宋_GB2312"/>
          <w:color w:val="auto"/>
          <w:sz w:val="21"/>
          <w:szCs w:val="21"/>
          <w:highlight w:val="none"/>
        </w:rPr>
        <w:t>.5.2分包的确定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u w:val="single"/>
          <w:lang w:val="en-US" w:eastAsia="zh-CN"/>
        </w:rPr>
      </w:pPr>
      <w:r>
        <w:rPr>
          <w:rFonts w:hint="eastAsia" w:ascii="仿宋_GB2312" w:hAnsi="仿宋_GB2312" w:eastAsia="仿宋_GB2312" w:cs="仿宋_GB2312"/>
          <w:color w:val="auto"/>
          <w:sz w:val="21"/>
          <w:szCs w:val="21"/>
          <w:highlight w:val="none"/>
        </w:rPr>
        <w:t>允许分包的专业工程包括</w:t>
      </w:r>
      <w:r>
        <w:rPr>
          <w:rFonts w:hint="eastAsia" w:ascii="仿宋_GB2312" w:hAnsi="仿宋_GB2312" w:eastAsia="仿宋_GB2312" w:cs="仿宋_GB2312"/>
          <w:color w:val="auto"/>
          <w:sz w:val="21"/>
          <w:szCs w:val="21"/>
          <w:highlight w:val="none"/>
          <w:u w:val="single"/>
          <w:lang w:val="en-US" w:eastAsia="zh-CN"/>
        </w:rPr>
        <w:t>：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u w:val="single"/>
          <w:lang w:val="en-US" w:eastAsia="zh-CN"/>
        </w:rPr>
      </w:pPr>
      <w:r>
        <w:rPr>
          <w:rFonts w:hint="eastAsia" w:ascii="仿宋_GB2312" w:hAnsi="仿宋_GB2312" w:eastAsia="仿宋_GB2312" w:cs="仿宋_GB2312"/>
          <w:color w:val="auto"/>
          <w:sz w:val="21"/>
          <w:szCs w:val="21"/>
          <w:highlight w:val="none"/>
        </w:rPr>
        <w:t>其他关于分包的约定：</w:t>
      </w:r>
      <w:r>
        <w:rPr>
          <w:rFonts w:hint="eastAsia" w:ascii="仿宋_GB2312" w:hAnsi="仿宋_GB2312" w:eastAsia="仿宋_GB2312" w:cs="仿宋_GB2312"/>
          <w:color w:val="auto"/>
          <w:sz w:val="21"/>
          <w:szCs w:val="21"/>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3.5.4 分包合同价款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关于分包合同价款支付的约定</w:t>
      </w:r>
      <w:r>
        <w:rPr>
          <w:rFonts w:hint="eastAsia" w:ascii="仿宋_GB2312" w:hAnsi="仿宋_GB2312" w:eastAsia="仿宋_GB2312" w:cs="仿宋_GB2312"/>
          <w:color w:val="auto"/>
          <w:sz w:val="21"/>
          <w:szCs w:val="21"/>
          <w:highlight w:val="none"/>
          <w:u w:val="single"/>
          <w:lang w:val="en-US" w:eastAsia="zh-CN"/>
        </w:rPr>
        <w:t>：              。</w:t>
      </w:r>
    </w:p>
    <w:bookmarkEnd w:id="291"/>
    <w:bookmarkEnd w:id="292"/>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3.6 工程照管与成品、半成品保护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承包人负责照管工程及工程相关的材料、工程设备的起始时间</w:t>
      </w:r>
      <w:r>
        <w:rPr>
          <w:rFonts w:hint="eastAsia" w:ascii="仿宋_GB2312" w:hAnsi="仿宋_GB2312" w:eastAsia="仿宋_GB2312" w:cs="仿宋_GB2312"/>
          <w:color w:val="auto"/>
          <w:sz w:val="21"/>
          <w:szCs w:val="21"/>
          <w:highlight w:val="none"/>
          <w:u w:val="single"/>
          <w:lang w:val="en-US" w:eastAsia="zh-CN"/>
        </w:rPr>
        <w:t>：                      。</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3.7 履约担保</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承包人是否提供履约担保</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承包人提供履约担保的形式、金额及期限的</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b/>
          <w:bCs/>
          <w:color w:val="auto"/>
          <w:sz w:val="21"/>
          <w:szCs w:val="21"/>
          <w:highlight w:val="none"/>
        </w:rPr>
      </w:pPr>
      <w:bookmarkStart w:id="293" w:name="_Toc351203636"/>
      <w:r>
        <w:rPr>
          <w:rFonts w:hint="eastAsia" w:ascii="仿宋_GB2312" w:hAnsi="仿宋_GB2312" w:eastAsia="仿宋_GB2312" w:cs="仿宋_GB2312"/>
          <w:b/>
          <w:bCs/>
          <w:color w:val="auto"/>
          <w:sz w:val="21"/>
          <w:szCs w:val="21"/>
          <w:highlight w:val="none"/>
        </w:rPr>
        <w:t>4</w:t>
      </w:r>
      <w:bookmarkStart w:id="294" w:name="_Toc296891202"/>
      <w:bookmarkStart w:id="295" w:name="_Toc297120462"/>
      <w:bookmarkStart w:id="296" w:name="_Toc267251413"/>
      <w:bookmarkStart w:id="297" w:name="_Toc292559366"/>
      <w:bookmarkStart w:id="298" w:name="_Toc296944501"/>
      <w:bookmarkStart w:id="299" w:name="_Toc296503162"/>
      <w:bookmarkStart w:id="300" w:name="_Toc296346663"/>
      <w:bookmarkStart w:id="301" w:name="_Toc296890990"/>
      <w:bookmarkStart w:id="302" w:name="_Toc292559871"/>
      <w:bookmarkStart w:id="303" w:name="_Toc296347161"/>
      <w:bookmarkStart w:id="304" w:name="_Toc297048348"/>
      <w:r>
        <w:rPr>
          <w:rFonts w:hint="eastAsia" w:ascii="仿宋_GB2312" w:hAnsi="仿宋_GB2312" w:eastAsia="仿宋_GB2312" w:cs="仿宋_GB2312"/>
          <w:b/>
          <w:bCs/>
          <w:color w:val="auto"/>
          <w:sz w:val="21"/>
          <w:szCs w:val="21"/>
          <w:highlight w:val="none"/>
        </w:rPr>
        <w:t>. 监</w:t>
      </w:r>
      <w:bookmarkEnd w:id="294"/>
      <w:bookmarkEnd w:id="295"/>
      <w:bookmarkEnd w:id="296"/>
      <w:bookmarkEnd w:id="297"/>
      <w:bookmarkEnd w:id="298"/>
      <w:bookmarkEnd w:id="299"/>
      <w:bookmarkEnd w:id="300"/>
      <w:bookmarkEnd w:id="301"/>
      <w:bookmarkEnd w:id="302"/>
      <w:bookmarkEnd w:id="303"/>
      <w:bookmarkEnd w:id="304"/>
      <w:r>
        <w:rPr>
          <w:rFonts w:hint="eastAsia" w:ascii="仿宋_GB2312" w:hAnsi="仿宋_GB2312" w:eastAsia="仿宋_GB2312" w:cs="仿宋_GB2312"/>
          <w:b/>
          <w:bCs/>
          <w:color w:val="auto"/>
          <w:sz w:val="21"/>
          <w:szCs w:val="21"/>
          <w:highlight w:val="none"/>
        </w:rPr>
        <w:t>理人</w:t>
      </w:r>
      <w:bookmarkEnd w:id="293"/>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4.1监理人的一般规定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关于监理人的监理内容</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关于监理人的监理权限</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关于监理人在施工现场的办公场所、生活场所的提供和费用承担的约定</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4.2 监理人员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总监理工程师：</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姓    名：</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职    务：</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监理工程师执业资格证书号：</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联系电话</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电子信箱</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通信地址</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关于监理人的其他约定</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4.4 商定或确定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bookmarkStart w:id="305" w:name="_Toc267251418"/>
      <w:r>
        <w:rPr>
          <w:rFonts w:hint="eastAsia" w:ascii="仿宋_GB2312" w:hAnsi="仿宋_GB2312" w:eastAsia="仿宋_GB2312" w:cs="仿宋_GB2312"/>
          <w:color w:val="auto"/>
          <w:sz w:val="21"/>
          <w:szCs w:val="21"/>
          <w:highlight w:val="none"/>
        </w:rPr>
        <w:t>在发包人和承包人不能通过协商达成一致意见时，发包人授权监理人对以下事项进行确定：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 xml:space="preserve">（1）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 xml:space="preserve">（2）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（3）</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bookmarkEnd w:id="305"/>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b/>
          <w:bCs/>
          <w:color w:val="auto"/>
          <w:sz w:val="21"/>
          <w:szCs w:val="21"/>
          <w:highlight w:val="none"/>
        </w:rPr>
      </w:pPr>
      <w:bookmarkStart w:id="306" w:name="_Toc351203532"/>
      <w:bookmarkStart w:id="307" w:name="_Toc297123496"/>
      <w:bookmarkStart w:id="308" w:name="_Toc312677997"/>
      <w:bookmarkStart w:id="309" w:name="_Toc318581164"/>
      <w:bookmarkStart w:id="310" w:name="_Toc303539106"/>
      <w:bookmarkStart w:id="311" w:name="_Toc297216155"/>
      <w:bookmarkStart w:id="312" w:name="_Toc300934949"/>
      <w:bookmarkStart w:id="313" w:name="_Toc304295527"/>
      <w:bookmarkStart w:id="314" w:name="_Toc296890991"/>
      <w:bookmarkStart w:id="315" w:name="_Toc297048349"/>
      <w:bookmarkStart w:id="316" w:name="_Toc292559872"/>
      <w:bookmarkStart w:id="317" w:name="_Toc296346664"/>
      <w:bookmarkStart w:id="318" w:name="_Toc296944502"/>
      <w:bookmarkStart w:id="319" w:name="_Toc296891203"/>
      <w:bookmarkStart w:id="320" w:name="_Toc296503163"/>
      <w:bookmarkStart w:id="321" w:name="_Toc292559367"/>
      <w:bookmarkStart w:id="322" w:name="_Toc296347162"/>
      <w:bookmarkStart w:id="323" w:name="_Toc297120463"/>
      <w:r>
        <w:rPr>
          <w:rFonts w:hint="eastAsia" w:ascii="仿宋_GB2312" w:hAnsi="仿宋_GB2312" w:eastAsia="仿宋_GB2312" w:cs="仿宋_GB2312"/>
          <w:b/>
          <w:bCs/>
          <w:color w:val="auto"/>
          <w:sz w:val="21"/>
          <w:szCs w:val="21"/>
          <w:highlight w:val="none"/>
        </w:rPr>
        <w:t>5</w:t>
      </w:r>
      <w:bookmarkStart w:id="324" w:name="_Toc337558758"/>
      <w:r>
        <w:rPr>
          <w:rFonts w:hint="eastAsia" w:ascii="仿宋_GB2312" w:hAnsi="仿宋_GB2312" w:eastAsia="仿宋_GB2312" w:cs="仿宋_GB2312"/>
          <w:b/>
          <w:bCs/>
          <w:color w:val="auto"/>
          <w:sz w:val="21"/>
          <w:szCs w:val="21"/>
          <w:highlight w:val="none"/>
        </w:rPr>
        <w:t>. 工程质量</w:t>
      </w:r>
      <w:bookmarkEnd w:id="306"/>
    </w:p>
    <w:bookmarkEnd w:id="324"/>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color w:val="auto"/>
          <w:sz w:val="21"/>
          <w:szCs w:val="21"/>
          <w:highlight w:val="none"/>
        </w:rPr>
      </w:pPr>
      <w:bookmarkStart w:id="325" w:name="_Toc351203533"/>
      <w:r>
        <w:rPr>
          <w:rFonts w:hint="eastAsia" w:ascii="仿宋_GB2312" w:hAnsi="仿宋_GB2312" w:eastAsia="仿宋_GB2312" w:cs="仿宋_GB2312"/>
          <w:b/>
          <w:bCs/>
          <w:color w:val="auto"/>
          <w:sz w:val="21"/>
          <w:szCs w:val="21"/>
          <w:highlight w:val="none"/>
        </w:rPr>
        <w:t>5</w:t>
      </w:r>
      <w:bookmarkStart w:id="326" w:name="_Toc337558759"/>
      <w:r>
        <w:rPr>
          <w:rFonts w:hint="eastAsia" w:ascii="仿宋_GB2312" w:hAnsi="仿宋_GB2312" w:eastAsia="仿宋_GB2312" w:cs="仿宋_GB2312"/>
          <w:b/>
          <w:bCs/>
          <w:color w:val="auto"/>
          <w:sz w:val="21"/>
          <w:szCs w:val="21"/>
          <w:highlight w:val="none"/>
        </w:rPr>
        <w:t>.1质量要求</w:t>
      </w:r>
      <w:bookmarkEnd w:id="325"/>
    </w:p>
    <w:bookmarkEnd w:id="326"/>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rPr>
        <w:t>5.1.1 工程质量标准必须符合现行国家有关工程施工质量验收规范和标准的要求。有关工程质量的特殊标准或要求由合同当事人在专用合同条款中约定</w:t>
      </w:r>
      <w:r>
        <w:rPr>
          <w:rFonts w:hint="eastAsia" w:ascii="仿宋_GB2312" w:hAnsi="仿宋_GB2312" w:eastAsia="仿宋_GB2312" w:cs="仿宋_GB2312"/>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特殊质量标准和要求</w:t>
      </w:r>
      <w:r>
        <w:rPr>
          <w:rFonts w:hint="eastAsia" w:ascii="仿宋_GB2312" w:hAnsi="仿宋_GB2312" w:eastAsia="仿宋_GB2312" w:cs="仿宋_GB2312"/>
          <w:color w:val="auto"/>
          <w:sz w:val="21"/>
          <w:szCs w:val="21"/>
          <w:highlight w:val="none"/>
          <w:u w:val="single"/>
          <w:lang w:val="en-US" w:eastAsia="zh-CN"/>
        </w:rPr>
        <w:t>：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关于工程奖项的约定</w:t>
      </w:r>
      <w:r>
        <w:rPr>
          <w:rFonts w:hint="eastAsia" w:ascii="仿宋_GB2312" w:hAnsi="仿宋_GB2312" w:eastAsia="仿宋_GB2312" w:cs="仿宋_GB2312"/>
          <w:color w:val="auto"/>
          <w:sz w:val="21"/>
          <w:szCs w:val="21"/>
          <w:highlight w:val="none"/>
          <w:u w:val="single"/>
          <w:lang w:val="en-US" w:eastAsia="zh-CN"/>
        </w:rPr>
        <w:t>：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5.1.2 因发包人原因造成工程质量未达到合同约定标准的，由发包人承担由此增加的费用和（或）延误的工期，并支付承包人合理的利润。</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5.1.3 因承包人原因造成工程质量未达到合同约定标准的，发包人有权要求承包人返工直至工程质量达到合同约定的标准为止，并由承包人承担由此增加的费用和（或）延误的工期。</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color w:val="auto"/>
          <w:sz w:val="21"/>
          <w:szCs w:val="21"/>
          <w:highlight w:val="none"/>
        </w:rPr>
      </w:pPr>
      <w:bookmarkStart w:id="327" w:name="_Toc351203534"/>
      <w:r>
        <w:rPr>
          <w:rFonts w:hint="eastAsia" w:ascii="仿宋_GB2312" w:hAnsi="仿宋_GB2312" w:eastAsia="仿宋_GB2312" w:cs="仿宋_GB2312"/>
          <w:b/>
          <w:bCs/>
          <w:color w:val="auto"/>
          <w:sz w:val="21"/>
          <w:szCs w:val="21"/>
          <w:highlight w:val="none"/>
        </w:rPr>
        <w:t>5</w:t>
      </w:r>
      <w:bookmarkStart w:id="328" w:name="_Toc337558760"/>
      <w:r>
        <w:rPr>
          <w:rFonts w:hint="eastAsia" w:ascii="仿宋_GB2312" w:hAnsi="仿宋_GB2312" w:eastAsia="仿宋_GB2312" w:cs="仿宋_GB2312"/>
          <w:b/>
          <w:bCs/>
          <w:color w:val="auto"/>
          <w:sz w:val="21"/>
          <w:szCs w:val="21"/>
          <w:highlight w:val="none"/>
        </w:rPr>
        <w:t>.2质量保证措施</w:t>
      </w:r>
      <w:bookmarkEnd w:id="327"/>
    </w:p>
    <w:bookmarkEnd w:id="328"/>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5.2.1 发包人的质量管理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发包人应按照法律规定及合同约定完成与工程质量有关的各项工作。</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5.2.2 承包人的质量管理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承包人应对施工人员进行质量教育和技术培训，定期考核施工人员的劳动技能，严格执行施工规范和操作规程。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5.2.3 监理人的质量检查和检验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color w:val="auto"/>
          <w:sz w:val="21"/>
          <w:szCs w:val="21"/>
          <w:highlight w:val="none"/>
        </w:rPr>
      </w:pPr>
      <w:bookmarkStart w:id="329" w:name="_Toc351203535"/>
      <w:r>
        <w:rPr>
          <w:rFonts w:hint="eastAsia" w:ascii="仿宋_GB2312" w:hAnsi="仿宋_GB2312" w:eastAsia="仿宋_GB2312" w:cs="仿宋_GB2312"/>
          <w:b/>
          <w:bCs/>
          <w:color w:val="auto"/>
          <w:sz w:val="21"/>
          <w:szCs w:val="21"/>
          <w:highlight w:val="none"/>
        </w:rPr>
        <w:t>5</w:t>
      </w:r>
      <w:bookmarkStart w:id="330" w:name="_Toc337558761"/>
      <w:r>
        <w:rPr>
          <w:rFonts w:hint="eastAsia" w:ascii="仿宋_GB2312" w:hAnsi="仿宋_GB2312" w:eastAsia="仿宋_GB2312" w:cs="仿宋_GB2312"/>
          <w:b/>
          <w:bCs/>
          <w:color w:val="auto"/>
          <w:sz w:val="21"/>
          <w:szCs w:val="21"/>
          <w:highlight w:val="none"/>
        </w:rPr>
        <w:t>.3 隐蔽工程检查</w:t>
      </w:r>
      <w:bookmarkEnd w:id="329"/>
    </w:p>
    <w:bookmarkEnd w:id="330"/>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5.3.1承包人自检</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承包人应当对工程隐蔽部位进行自检，并经自检确认是否具备覆盖条件。</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5.3.2检查程序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承包人提前通知监理人隐蔽工程检查的期限的约定：</w:t>
      </w:r>
      <w:r>
        <w:rPr>
          <w:rFonts w:hint="eastAsia" w:ascii="仿宋_GB2312" w:hAnsi="仿宋_GB2312" w:eastAsia="仿宋_GB2312" w:cs="仿宋_GB2312"/>
          <w:color w:val="auto"/>
          <w:sz w:val="21"/>
          <w:szCs w:val="21"/>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监理人不能按时进行检查时，应提前</w:t>
      </w:r>
      <w:r>
        <w:rPr>
          <w:rFonts w:hint="eastAsia" w:ascii="仿宋_GB2312" w:hAnsi="仿宋_GB2312" w:eastAsia="仿宋_GB2312" w:cs="仿宋_GB2312"/>
          <w:color w:val="auto"/>
          <w:sz w:val="21"/>
          <w:szCs w:val="21"/>
          <w:highlight w:val="none"/>
          <w:u w:val="single"/>
          <w:lang w:val="en-US" w:eastAsia="zh-CN"/>
        </w:rPr>
        <w:t xml:space="preserve">   小</w:t>
      </w:r>
      <w:r>
        <w:rPr>
          <w:rFonts w:hint="eastAsia" w:ascii="仿宋_GB2312" w:hAnsi="仿宋_GB2312" w:eastAsia="仿宋_GB2312" w:cs="仿宋_GB2312"/>
          <w:color w:val="auto"/>
          <w:sz w:val="21"/>
          <w:szCs w:val="21"/>
          <w:highlight w:val="none"/>
        </w:rPr>
        <w:t>时提交书面延期要求。</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关于延期最长不得超过</w:t>
      </w:r>
      <w:r>
        <w:rPr>
          <w:rFonts w:hint="eastAsia" w:ascii="仿宋_GB2312" w:hAnsi="仿宋_GB2312" w:eastAsia="仿宋_GB2312" w:cs="仿宋_GB2312"/>
          <w:color w:val="auto"/>
          <w:sz w:val="21"/>
          <w:szCs w:val="21"/>
          <w:highlight w:val="none"/>
          <w:u w:val="single"/>
          <w:lang w:val="en-US" w:eastAsia="zh-CN"/>
        </w:rPr>
        <w:t>：    小</w:t>
      </w:r>
      <w:r>
        <w:rPr>
          <w:rFonts w:hint="eastAsia" w:ascii="仿宋_GB2312" w:hAnsi="仿宋_GB2312" w:eastAsia="仿宋_GB2312" w:cs="仿宋_GB2312"/>
          <w:color w:val="auto"/>
          <w:sz w:val="21"/>
          <w:szCs w:val="21"/>
          <w:highlight w:val="none"/>
        </w:rPr>
        <w:t>时。</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5.3.3 重新检查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5.3.4 承包人私自覆盖</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承包人未通知监理人到场检查，私自将工程隐蔽部位覆盖的，监理人有权指示承包人钻孔探测或揭开检查，无论工程隐蔽部位质量是否合格，由此增加的费用和（或）延误的工期均由承包人承担。</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color w:val="auto"/>
          <w:sz w:val="21"/>
          <w:szCs w:val="21"/>
          <w:highlight w:val="none"/>
        </w:rPr>
      </w:pPr>
      <w:bookmarkStart w:id="331" w:name="_Toc351203536"/>
      <w:r>
        <w:rPr>
          <w:rFonts w:hint="eastAsia" w:ascii="仿宋_GB2312" w:hAnsi="仿宋_GB2312" w:eastAsia="仿宋_GB2312" w:cs="仿宋_GB2312"/>
          <w:b/>
          <w:bCs/>
          <w:color w:val="auto"/>
          <w:sz w:val="21"/>
          <w:szCs w:val="21"/>
          <w:highlight w:val="none"/>
        </w:rPr>
        <w:t>5</w:t>
      </w:r>
      <w:bookmarkStart w:id="332" w:name="_Toc337558762"/>
      <w:r>
        <w:rPr>
          <w:rFonts w:hint="eastAsia" w:ascii="仿宋_GB2312" w:hAnsi="仿宋_GB2312" w:eastAsia="仿宋_GB2312" w:cs="仿宋_GB2312"/>
          <w:b/>
          <w:bCs/>
          <w:color w:val="auto"/>
          <w:sz w:val="21"/>
          <w:szCs w:val="21"/>
          <w:highlight w:val="none"/>
        </w:rPr>
        <w:t>.4不合格工程的处理</w:t>
      </w:r>
      <w:bookmarkEnd w:id="331"/>
    </w:p>
    <w:bookmarkEnd w:id="332"/>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 xml:space="preserve">5.4.1 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5.4.2 因发包人原因造成工程不合格的，由此增加的费用和（或）延误的工期由发包人承担，并支付承包人合理的利润。</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b/>
          <w:bCs/>
          <w:color w:val="auto"/>
          <w:sz w:val="21"/>
          <w:szCs w:val="21"/>
          <w:highlight w:val="none"/>
        </w:rPr>
      </w:pPr>
      <w:bookmarkStart w:id="333" w:name="_Toc351203638"/>
      <w:r>
        <w:rPr>
          <w:rFonts w:hint="eastAsia" w:ascii="仿宋_GB2312" w:hAnsi="仿宋_GB2312" w:eastAsia="仿宋_GB2312" w:cs="仿宋_GB2312"/>
          <w:b/>
          <w:bCs/>
          <w:color w:val="auto"/>
          <w:sz w:val="21"/>
          <w:szCs w:val="21"/>
          <w:highlight w:val="none"/>
        </w:rPr>
        <w:t>6. 安全文明施工与环境保护</w:t>
      </w:r>
      <w:bookmarkEnd w:id="333"/>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6.1安全文明施工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6.1.1 项目安全生产的达标目标及相应事项的约定</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6.1.4 关于治安保卫的特别约定</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关于编制施工场地治安管理计划的约定</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6.1.5 文明施工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合同当事人对文明施工的要求</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6.1.6 关于安全文明施工费支付比例和支付期限的约定：</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p>
    <w:bookmarkEnd w:id="307"/>
    <w:bookmarkEnd w:id="308"/>
    <w:bookmarkEnd w:id="309"/>
    <w:bookmarkEnd w:id="310"/>
    <w:bookmarkEnd w:id="311"/>
    <w:bookmarkEnd w:id="312"/>
    <w:bookmarkEnd w:id="313"/>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b/>
          <w:bCs/>
          <w:color w:val="auto"/>
          <w:sz w:val="21"/>
          <w:szCs w:val="21"/>
          <w:highlight w:val="none"/>
        </w:rPr>
      </w:pPr>
      <w:bookmarkStart w:id="334" w:name="_Toc351203639"/>
      <w:r>
        <w:rPr>
          <w:rFonts w:hint="eastAsia" w:ascii="仿宋_GB2312" w:hAnsi="仿宋_GB2312" w:eastAsia="仿宋_GB2312" w:cs="仿宋_GB2312"/>
          <w:b/>
          <w:bCs/>
          <w:color w:val="auto"/>
          <w:sz w:val="21"/>
          <w:szCs w:val="21"/>
          <w:highlight w:val="none"/>
        </w:rPr>
        <w:t>7. 工期和进度</w:t>
      </w:r>
      <w:bookmarkEnd w:id="334"/>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7.1 施工组织设计</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u w:val="single"/>
        </w:rPr>
      </w:pPr>
      <w:r>
        <w:rPr>
          <w:rFonts w:hint="eastAsia" w:ascii="仿宋_GB2312" w:hAnsi="仿宋_GB2312" w:eastAsia="仿宋_GB2312" w:cs="仿宋_GB2312"/>
          <w:color w:val="auto"/>
          <w:sz w:val="21"/>
          <w:szCs w:val="21"/>
          <w:highlight w:val="none"/>
        </w:rPr>
        <w:t>7.1.1 合同当事人约定的施工组织设计应包括的其他内容：</w:t>
      </w:r>
      <w:r>
        <w:rPr>
          <w:rFonts w:hint="eastAsia" w:ascii="仿宋_GB2312" w:hAnsi="仿宋_GB2312" w:eastAsia="仿宋_GB2312" w:cs="仿宋_GB2312"/>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7.1.2 施工组织设计的提交和修改</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承包人提交详细施工组织设计的期限的约定</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发包人和监理人在收到详细的施工组织设计后确认或提出修改意见的期限：</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7</w:t>
      </w:r>
      <w:bookmarkStart w:id="335" w:name="_Toc297123514"/>
      <w:bookmarkStart w:id="336" w:name="_Toc303539123"/>
      <w:bookmarkStart w:id="337" w:name="_Toc312677479"/>
      <w:bookmarkStart w:id="338" w:name="_Toc300934966"/>
      <w:bookmarkStart w:id="339" w:name="_Toc297216173"/>
      <w:bookmarkStart w:id="340" w:name="_Toc304295541"/>
      <w:bookmarkStart w:id="341" w:name="_Toc312678005"/>
      <w:r>
        <w:rPr>
          <w:rFonts w:hint="eastAsia" w:ascii="仿宋_GB2312" w:hAnsi="仿宋_GB2312" w:eastAsia="仿宋_GB2312" w:cs="仿宋_GB2312"/>
          <w:b/>
          <w:bCs/>
          <w:color w:val="auto"/>
          <w:sz w:val="21"/>
          <w:szCs w:val="21"/>
          <w:highlight w:val="none"/>
        </w:rPr>
        <w:t>.2 施工进度计划</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7.2.2 施工进度计划的修订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u w:val="single"/>
          <w:lang w:val="en-US" w:eastAsia="zh-CN"/>
        </w:rPr>
      </w:pPr>
      <w:r>
        <w:rPr>
          <w:rFonts w:hint="eastAsia" w:ascii="仿宋_GB2312" w:hAnsi="仿宋_GB2312" w:eastAsia="仿宋_GB2312" w:cs="仿宋_GB2312"/>
          <w:color w:val="auto"/>
          <w:sz w:val="21"/>
          <w:szCs w:val="21"/>
          <w:highlight w:val="none"/>
        </w:rPr>
        <w:t>发包人和监理人在收到修订的施工进度计划后确认或提出修改意见的期限</w:t>
      </w:r>
      <w:r>
        <w:rPr>
          <w:rFonts w:hint="eastAsia" w:ascii="仿宋_GB2312" w:hAnsi="仿宋_GB2312" w:eastAsia="仿宋_GB2312" w:cs="仿宋_GB2312"/>
          <w:color w:val="auto"/>
          <w:sz w:val="21"/>
          <w:szCs w:val="21"/>
          <w:highlight w:val="none"/>
          <w:u w:val="single"/>
          <w:lang w:val="en-US" w:eastAsia="zh-CN"/>
        </w:rPr>
        <w:t>：               。</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7.3 开工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7.3.1 开工准备</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关于承包人提交工程开工报审表的期限</w:t>
      </w:r>
      <w:r>
        <w:rPr>
          <w:rFonts w:hint="eastAsia" w:ascii="仿宋_GB2312" w:hAnsi="仿宋_GB2312" w:eastAsia="仿宋_GB2312" w:cs="仿宋_GB2312"/>
          <w:color w:val="auto"/>
          <w:sz w:val="21"/>
          <w:szCs w:val="21"/>
          <w:highlight w:val="none"/>
          <w:u w:val="single"/>
          <w:lang w:val="en-US" w:eastAsia="zh-CN"/>
        </w:rPr>
        <w:t>：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关于发包人应完成的其他开工准备工作及期限：</w:t>
      </w:r>
      <w:r>
        <w:rPr>
          <w:rFonts w:hint="eastAsia" w:ascii="仿宋_GB2312" w:hAnsi="仿宋_GB2312" w:eastAsia="仿宋_GB2312" w:cs="仿宋_GB2312"/>
          <w:color w:val="auto"/>
          <w:sz w:val="21"/>
          <w:szCs w:val="21"/>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关于承包人应完成的其他开工准备工作及期限：</w:t>
      </w:r>
      <w:r>
        <w:rPr>
          <w:rFonts w:hint="eastAsia" w:ascii="仿宋_GB2312" w:hAnsi="仿宋_GB2312" w:eastAsia="仿宋_GB2312" w:cs="仿宋_GB2312"/>
          <w:color w:val="auto"/>
          <w:sz w:val="21"/>
          <w:szCs w:val="21"/>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7.3.2开工通知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 xml:space="preserve">因发包人原因造成监理人未能在计划开工日期之日起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天内发出开工通知的，承包人有权提出价格调整要求，或者解除合同。</w:t>
      </w:r>
    </w:p>
    <w:bookmarkEnd w:id="335"/>
    <w:bookmarkEnd w:id="336"/>
    <w:bookmarkEnd w:id="337"/>
    <w:bookmarkEnd w:id="338"/>
    <w:bookmarkEnd w:id="339"/>
    <w:bookmarkEnd w:id="340"/>
    <w:bookmarkEnd w:id="341"/>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7.4 测量放线</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 xml:space="preserve">7.4.1发包人通过监理人向承包人提供测量基准点、基准线和水准点及其书面资料的期限：  </w:t>
      </w:r>
      <w:r>
        <w:rPr>
          <w:rFonts w:hint="eastAsia" w:ascii="仿宋_GB2312" w:hAnsi="仿宋_GB2312" w:eastAsia="仿宋_GB2312" w:cs="仿宋_GB2312"/>
          <w:color w:val="auto"/>
          <w:sz w:val="21"/>
          <w:szCs w:val="21"/>
          <w:highlight w:val="none"/>
          <w:lang w:val="en-US" w:eastAsia="zh-CN"/>
        </w:rPr>
        <w:t xml:space="preserve"> </w:t>
      </w:r>
      <w:r>
        <w:rPr>
          <w:rFonts w:hint="eastAsia" w:ascii="仿宋_GB2312" w:hAnsi="仿宋_GB2312" w:eastAsia="仿宋_GB2312" w:cs="仿宋_GB2312"/>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7</w:t>
      </w:r>
      <w:bookmarkStart w:id="342" w:name="_Toc300934968"/>
      <w:bookmarkStart w:id="343" w:name="_Toc312678010"/>
      <w:bookmarkStart w:id="344" w:name="_Toc297123516"/>
      <w:bookmarkStart w:id="345" w:name="_Toc303539125"/>
      <w:bookmarkStart w:id="346" w:name="_Toc312677484"/>
      <w:bookmarkStart w:id="347" w:name="_Toc304295546"/>
      <w:bookmarkStart w:id="348" w:name="_Toc297216175"/>
      <w:r>
        <w:rPr>
          <w:rFonts w:hint="eastAsia" w:ascii="仿宋_GB2312" w:hAnsi="仿宋_GB2312" w:eastAsia="仿宋_GB2312" w:cs="仿宋_GB2312"/>
          <w:b/>
          <w:bCs/>
          <w:color w:val="auto"/>
          <w:sz w:val="21"/>
          <w:szCs w:val="21"/>
          <w:highlight w:val="none"/>
        </w:rPr>
        <w:t>.5 工期延误</w:t>
      </w:r>
    </w:p>
    <w:bookmarkEnd w:id="342"/>
    <w:bookmarkEnd w:id="343"/>
    <w:bookmarkEnd w:id="344"/>
    <w:bookmarkEnd w:id="345"/>
    <w:bookmarkEnd w:id="346"/>
    <w:bookmarkEnd w:id="347"/>
    <w:bookmarkEnd w:id="348"/>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7.5.1 因发包人原因导致工期延误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 xml:space="preserve">（7）因发包人原因导致工期延误的其他情形：  </w:t>
      </w:r>
      <w:r>
        <w:rPr>
          <w:rFonts w:hint="eastAsia" w:ascii="仿宋_GB2312" w:hAnsi="仿宋_GB2312" w:eastAsia="仿宋_GB2312" w:cs="仿宋_GB2312"/>
          <w:color w:val="auto"/>
          <w:sz w:val="21"/>
          <w:szCs w:val="21"/>
          <w:highlight w:val="none"/>
          <w:lang w:val="en-US" w:eastAsia="zh-CN"/>
        </w:rPr>
        <w:t xml:space="preserve"> </w:t>
      </w:r>
      <w:r>
        <w:rPr>
          <w:rFonts w:hint="eastAsia" w:ascii="仿宋_GB2312" w:hAnsi="仿宋_GB2312" w:eastAsia="仿宋_GB2312" w:cs="仿宋_GB2312"/>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7</w:t>
      </w:r>
      <w:bookmarkStart w:id="349" w:name="_Toc312677486"/>
      <w:bookmarkStart w:id="350" w:name="_Toc312678012"/>
      <w:bookmarkStart w:id="351" w:name="_Toc318581169"/>
      <w:bookmarkStart w:id="352" w:name="_Toc304295548"/>
      <w:bookmarkStart w:id="353" w:name="_Toc297123518"/>
      <w:bookmarkStart w:id="354" w:name="_Toc297216177"/>
      <w:bookmarkStart w:id="355" w:name="_Toc303539127"/>
      <w:bookmarkStart w:id="356" w:name="_Toc300934970"/>
      <w:r>
        <w:rPr>
          <w:rFonts w:hint="eastAsia" w:ascii="仿宋_GB2312" w:hAnsi="仿宋_GB2312" w:eastAsia="仿宋_GB2312" w:cs="仿宋_GB2312"/>
          <w:color w:val="auto"/>
          <w:sz w:val="21"/>
          <w:szCs w:val="21"/>
          <w:highlight w:val="none"/>
        </w:rPr>
        <w:t>.5.2 因承包人原因导致工期延误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bookmarkStart w:id="357" w:name="_Toc296346577"/>
      <w:bookmarkStart w:id="358" w:name="_Toc296503076"/>
      <w:r>
        <w:rPr>
          <w:rFonts w:hint="eastAsia" w:ascii="仿宋_GB2312" w:hAnsi="仿宋_GB2312" w:eastAsia="仿宋_GB2312" w:cs="仿宋_GB2312"/>
          <w:color w:val="auto"/>
          <w:sz w:val="21"/>
          <w:szCs w:val="21"/>
          <w:highlight w:val="none"/>
        </w:rPr>
        <w:t>因</w:t>
      </w:r>
      <w:bookmarkEnd w:id="357"/>
      <w:bookmarkEnd w:id="358"/>
      <w:r>
        <w:rPr>
          <w:rFonts w:hint="eastAsia" w:ascii="仿宋_GB2312" w:hAnsi="仿宋_GB2312" w:eastAsia="仿宋_GB2312" w:cs="仿宋_GB2312"/>
          <w:color w:val="auto"/>
          <w:sz w:val="21"/>
          <w:szCs w:val="21"/>
          <w:highlight w:val="none"/>
        </w:rPr>
        <w:t>承包人原因造成工期延误的，可以在专用合同条款中约定逾期竣工违约金的计算方法和逾期竣工违约金的上限。承包人支付逾期竣工违约金后，不免除承包人继续完成工程及修补缺陷的义务。</w:t>
      </w:r>
    </w:p>
    <w:bookmarkEnd w:id="349"/>
    <w:bookmarkEnd w:id="350"/>
    <w:bookmarkEnd w:id="351"/>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u w:val="single"/>
          <w:lang w:val="en-US" w:eastAsia="zh-CN"/>
        </w:rPr>
      </w:pPr>
      <w:r>
        <w:rPr>
          <w:rFonts w:hint="eastAsia" w:ascii="仿宋_GB2312" w:hAnsi="仿宋_GB2312" w:eastAsia="仿宋_GB2312" w:cs="仿宋_GB2312"/>
          <w:color w:val="auto"/>
          <w:sz w:val="21"/>
          <w:szCs w:val="21"/>
          <w:highlight w:val="none"/>
        </w:rPr>
        <w:t>因</w:t>
      </w:r>
      <w:bookmarkStart w:id="359" w:name="_Toc312678013"/>
      <w:bookmarkStart w:id="360" w:name="_Toc312677487"/>
      <w:bookmarkStart w:id="361" w:name="_Toc318581170"/>
      <w:r>
        <w:rPr>
          <w:rFonts w:hint="eastAsia" w:ascii="仿宋_GB2312" w:hAnsi="仿宋_GB2312" w:eastAsia="仿宋_GB2312" w:cs="仿宋_GB2312"/>
          <w:color w:val="auto"/>
          <w:sz w:val="21"/>
          <w:szCs w:val="21"/>
          <w:highlight w:val="none"/>
        </w:rPr>
        <w:t>承包人原因造成工期延误，逾期竣工违约金的计算方法为</w:t>
      </w:r>
      <w:r>
        <w:rPr>
          <w:rFonts w:hint="eastAsia" w:ascii="仿宋_GB2312" w:hAnsi="仿宋_GB2312" w:eastAsia="仿宋_GB2312" w:cs="仿宋_GB2312"/>
          <w:color w:val="auto"/>
          <w:sz w:val="21"/>
          <w:szCs w:val="21"/>
          <w:highlight w:val="none"/>
          <w:u w:val="single"/>
          <w:lang w:val="en-US" w:eastAsia="zh-CN"/>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bookmarkEnd w:id="352"/>
      <w:bookmarkEnd w:id="353"/>
      <w:bookmarkEnd w:id="354"/>
      <w:bookmarkEnd w:id="355"/>
      <w:bookmarkEnd w:id="356"/>
      <w:bookmarkEnd w:id="359"/>
      <w:bookmarkEnd w:id="360"/>
    </w:p>
    <w:bookmarkEnd w:id="361"/>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因承包人原因造成工期延误，逾</w:t>
      </w:r>
      <w:bookmarkStart w:id="362" w:name="_Toc312678014"/>
      <w:bookmarkStart w:id="363" w:name="_Toc318581171"/>
      <w:r>
        <w:rPr>
          <w:rFonts w:hint="eastAsia" w:ascii="仿宋_GB2312" w:hAnsi="仿宋_GB2312" w:eastAsia="仿宋_GB2312" w:cs="仿宋_GB2312"/>
          <w:color w:val="auto"/>
          <w:sz w:val="21"/>
          <w:szCs w:val="21"/>
          <w:highlight w:val="none"/>
        </w:rPr>
        <w:t>期竣工违约金的上限</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bookmarkEnd w:id="362"/>
    <w:bookmarkEnd w:id="363"/>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7</w:t>
      </w:r>
      <w:bookmarkStart w:id="364" w:name="_Toc303539128"/>
      <w:bookmarkStart w:id="365" w:name="_Toc312678015"/>
      <w:bookmarkStart w:id="366" w:name="_Toc297123519"/>
      <w:bookmarkStart w:id="367" w:name="_Toc297216178"/>
      <w:bookmarkStart w:id="368" w:name="_Toc300934971"/>
      <w:bookmarkStart w:id="369" w:name="_Toc304295549"/>
      <w:r>
        <w:rPr>
          <w:rFonts w:hint="eastAsia" w:ascii="仿宋_GB2312" w:hAnsi="仿宋_GB2312" w:eastAsia="仿宋_GB2312" w:cs="仿宋_GB2312"/>
          <w:b/>
          <w:bCs/>
          <w:color w:val="auto"/>
          <w:sz w:val="21"/>
          <w:szCs w:val="21"/>
          <w:highlight w:val="none"/>
        </w:rPr>
        <w:t>.6 不</w:t>
      </w:r>
      <w:bookmarkEnd w:id="364"/>
      <w:bookmarkEnd w:id="365"/>
      <w:bookmarkEnd w:id="366"/>
      <w:bookmarkEnd w:id="367"/>
      <w:bookmarkEnd w:id="368"/>
      <w:bookmarkEnd w:id="369"/>
      <w:r>
        <w:rPr>
          <w:rFonts w:hint="eastAsia" w:ascii="仿宋_GB2312" w:hAnsi="仿宋_GB2312" w:eastAsia="仿宋_GB2312" w:cs="仿宋_GB2312"/>
          <w:b/>
          <w:bCs/>
          <w:color w:val="auto"/>
          <w:sz w:val="21"/>
          <w:szCs w:val="21"/>
          <w:highlight w:val="none"/>
        </w:rPr>
        <w:t>利物质条件</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bookmarkStart w:id="370" w:name="_Toc304295550"/>
      <w:bookmarkStart w:id="371" w:name="_Toc297216179"/>
      <w:bookmarkStart w:id="372" w:name="_Toc300934972"/>
      <w:bookmarkStart w:id="373" w:name="_Toc318581172"/>
      <w:bookmarkStart w:id="374" w:name="_Toc297123520"/>
      <w:bookmarkStart w:id="375" w:name="_Toc312678016"/>
      <w:bookmarkStart w:id="376" w:name="_Toc303539129"/>
      <w:r>
        <w:rPr>
          <w:rFonts w:hint="eastAsia" w:ascii="仿宋_GB2312" w:hAnsi="仿宋_GB2312" w:eastAsia="仿宋_GB2312" w:cs="仿宋_GB2312"/>
          <w:color w:val="auto"/>
          <w:sz w:val="21"/>
          <w:szCs w:val="21"/>
          <w:highlight w:val="none"/>
        </w:rPr>
        <w:t>不利物质条件的其他情形和有关约定</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bookmarkEnd w:id="370"/>
    <w:bookmarkEnd w:id="371"/>
    <w:bookmarkEnd w:id="372"/>
    <w:bookmarkEnd w:id="373"/>
    <w:bookmarkEnd w:id="374"/>
    <w:bookmarkEnd w:id="375"/>
    <w:bookmarkEnd w:id="376"/>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7</w:t>
      </w:r>
      <w:bookmarkStart w:id="377" w:name="_Toc300934973"/>
      <w:bookmarkStart w:id="378" w:name="_Toc303539130"/>
      <w:bookmarkStart w:id="379" w:name="_Toc297216180"/>
      <w:bookmarkStart w:id="380" w:name="_Toc312678017"/>
      <w:bookmarkStart w:id="381" w:name="_Toc297123521"/>
      <w:bookmarkStart w:id="382" w:name="_Toc304295551"/>
      <w:r>
        <w:rPr>
          <w:rFonts w:hint="eastAsia" w:ascii="仿宋_GB2312" w:hAnsi="仿宋_GB2312" w:eastAsia="仿宋_GB2312" w:cs="仿宋_GB2312"/>
          <w:b/>
          <w:bCs/>
          <w:color w:val="auto"/>
          <w:sz w:val="21"/>
          <w:szCs w:val="21"/>
          <w:highlight w:val="none"/>
        </w:rPr>
        <w:t>.7异常恶劣的气候条件</w:t>
      </w:r>
    </w:p>
    <w:bookmarkEnd w:id="377"/>
    <w:bookmarkEnd w:id="378"/>
    <w:bookmarkEnd w:id="379"/>
    <w:bookmarkEnd w:id="380"/>
    <w:bookmarkEnd w:id="381"/>
    <w:bookmarkEnd w:id="382"/>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发包人和承包人同意以下情形视为异常恶劣的气候条件：</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（2）</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（3）</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7.9 提前竣工的奖励</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7.9.2提前竣工的奖励：</w:t>
      </w:r>
      <w:r>
        <w:rPr>
          <w:rFonts w:hint="eastAsia" w:ascii="仿宋_GB2312" w:hAnsi="仿宋_GB2312" w:eastAsia="仿宋_GB2312" w:cs="仿宋_GB2312"/>
          <w:color w:val="auto"/>
          <w:sz w:val="21"/>
          <w:szCs w:val="21"/>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b/>
          <w:bCs/>
          <w:color w:val="auto"/>
          <w:sz w:val="21"/>
          <w:szCs w:val="21"/>
          <w:highlight w:val="none"/>
        </w:rPr>
      </w:pPr>
      <w:bookmarkStart w:id="383" w:name="_Toc351203640"/>
      <w:r>
        <w:rPr>
          <w:rFonts w:hint="eastAsia" w:ascii="仿宋_GB2312" w:hAnsi="仿宋_GB2312" w:eastAsia="仿宋_GB2312" w:cs="仿宋_GB2312"/>
          <w:b/>
          <w:bCs/>
          <w:color w:val="auto"/>
          <w:sz w:val="21"/>
          <w:szCs w:val="21"/>
          <w:highlight w:val="none"/>
        </w:rPr>
        <w:t>8. 材料与设备</w:t>
      </w:r>
      <w:bookmarkEnd w:id="383"/>
    </w:p>
    <w:bookmarkEnd w:id="314"/>
    <w:bookmarkEnd w:id="315"/>
    <w:bookmarkEnd w:id="316"/>
    <w:bookmarkEnd w:id="317"/>
    <w:bookmarkEnd w:id="318"/>
    <w:bookmarkEnd w:id="319"/>
    <w:bookmarkEnd w:id="320"/>
    <w:bookmarkEnd w:id="321"/>
    <w:bookmarkEnd w:id="322"/>
    <w:bookmarkEnd w:id="323"/>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8</w:t>
      </w:r>
      <w:bookmarkStart w:id="384" w:name="_Toc297048353"/>
      <w:bookmarkStart w:id="385" w:name="_Toc304295556"/>
      <w:bookmarkStart w:id="386" w:name="_Toc296347166"/>
      <w:bookmarkStart w:id="387" w:name="_Toc312678019"/>
      <w:bookmarkStart w:id="388" w:name="_Toc300934979"/>
      <w:bookmarkStart w:id="389" w:name="_Toc297120467"/>
      <w:bookmarkStart w:id="390" w:name="_Toc297123527"/>
      <w:bookmarkStart w:id="391" w:name="_Toc296891207"/>
      <w:bookmarkStart w:id="392" w:name="_Toc296346668"/>
      <w:bookmarkStart w:id="393" w:name="_Toc296944506"/>
      <w:bookmarkStart w:id="394" w:name="_Toc292559372"/>
      <w:bookmarkStart w:id="395" w:name="_Toc280868654"/>
      <w:bookmarkStart w:id="396" w:name="_Toc296503167"/>
      <w:bookmarkStart w:id="397" w:name="_Toc296890995"/>
      <w:bookmarkStart w:id="398" w:name="_Toc303539136"/>
      <w:bookmarkStart w:id="399" w:name="_Toc297216186"/>
      <w:bookmarkStart w:id="400" w:name="_Toc312677493"/>
      <w:bookmarkStart w:id="401" w:name="_Toc292559877"/>
      <w:bookmarkStart w:id="402" w:name="_Toc267251424"/>
      <w:bookmarkStart w:id="403" w:name="_Toc280868655"/>
      <w:bookmarkStart w:id="404" w:name="_Toc280868656"/>
      <w:r>
        <w:rPr>
          <w:rFonts w:hint="eastAsia" w:ascii="仿宋_GB2312" w:hAnsi="仿宋_GB2312" w:eastAsia="仿宋_GB2312" w:cs="仿宋_GB2312"/>
          <w:b/>
          <w:bCs/>
          <w:color w:val="auto"/>
          <w:sz w:val="21"/>
          <w:szCs w:val="21"/>
          <w:highlight w:val="none"/>
        </w:rPr>
        <w:t>.4材料与工程设备的保管与使用</w:t>
      </w:r>
    </w:p>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8</w:t>
      </w:r>
      <w:bookmarkStart w:id="405" w:name="_Toc292559373"/>
      <w:bookmarkStart w:id="406" w:name="_Toc292559878"/>
      <w:bookmarkStart w:id="407" w:name="_Toc296944507"/>
      <w:bookmarkStart w:id="408" w:name="_Toc297048354"/>
      <w:bookmarkStart w:id="409" w:name="_Toc304295557"/>
      <w:bookmarkStart w:id="410" w:name="_Toc312678020"/>
      <w:bookmarkStart w:id="411" w:name="_Toc296347167"/>
      <w:bookmarkStart w:id="412" w:name="_Toc297216187"/>
      <w:bookmarkStart w:id="413" w:name="_Toc300934980"/>
      <w:bookmarkStart w:id="414" w:name="_Toc318581173"/>
      <w:bookmarkStart w:id="415" w:name="_Toc312677494"/>
      <w:bookmarkStart w:id="416" w:name="_Toc296346669"/>
      <w:bookmarkStart w:id="417" w:name="_Toc296890996"/>
      <w:bookmarkStart w:id="418" w:name="_Toc296891208"/>
      <w:bookmarkStart w:id="419" w:name="_Toc297123528"/>
      <w:bookmarkStart w:id="420" w:name="_Toc296503168"/>
      <w:bookmarkStart w:id="421" w:name="_Toc297120468"/>
      <w:bookmarkStart w:id="422" w:name="_Toc303539137"/>
      <w:r>
        <w:rPr>
          <w:rFonts w:hint="eastAsia" w:ascii="仿宋_GB2312" w:hAnsi="仿宋_GB2312" w:eastAsia="仿宋_GB2312" w:cs="仿宋_GB2312"/>
          <w:color w:val="auto"/>
          <w:sz w:val="21"/>
          <w:szCs w:val="21"/>
          <w:highlight w:val="none"/>
        </w:rPr>
        <w:t>.4.1发包人供应的材料设备的保管费用的承担：</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bookmarkEnd w:id="405"/>
      <w:bookmarkEnd w:id="406"/>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8.4.</w:t>
      </w:r>
      <w:r>
        <w:rPr>
          <w:rFonts w:hint="eastAsia" w:ascii="仿宋_GB2312" w:hAnsi="仿宋_GB2312" w:eastAsia="仿宋_GB2312" w:cs="仿宋_GB2312"/>
          <w:color w:val="auto"/>
          <w:sz w:val="21"/>
          <w:szCs w:val="21"/>
          <w:highlight w:val="none"/>
          <w:lang w:val="en-US" w:eastAsia="zh-CN"/>
        </w:rPr>
        <w:t>2</w:t>
      </w:r>
      <w:r>
        <w:rPr>
          <w:rFonts w:hint="eastAsia" w:ascii="仿宋_GB2312" w:hAnsi="仿宋_GB2312" w:eastAsia="仿宋_GB2312" w:cs="仿宋_GB2312"/>
          <w:color w:val="auto"/>
          <w:sz w:val="21"/>
          <w:szCs w:val="21"/>
          <w:highlight w:val="none"/>
        </w:rPr>
        <w:t>发包人或监理人发现承包人使用不符合设计或有关标准要求的材料和工程设备时，有权要求承包人进行修复、拆除或重新采购，由此增加的费用和（或）延误的工期，由承包人承担。</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8.6 样品</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8.6.1</w:t>
      </w:r>
      <w:r>
        <w:rPr>
          <w:rFonts w:hint="eastAsia" w:ascii="仿宋_GB2312" w:hAnsi="仿宋_GB2312" w:eastAsia="仿宋_GB2312" w:cs="仿宋_GB2312"/>
          <w:color w:val="auto"/>
          <w:sz w:val="21"/>
          <w:szCs w:val="21"/>
          <w:highlight w:val="none"/>
        </w:rPr>
        <w:tab/>
      </w:r>
      <w:r>
        <w:rPr>
          <w:rFonts w:hint="eastAsia" w:ascii="仿宋_GB2312" w:hAnsi="仿宋_GB2312" w:eastAsia="仿宋_GB2312" w:cs="仿宋_GB2312"/>
          <w:color w:val="auto"/>
          <w:sz w:val="21"/>
          <w:szCs w:val="21"/>
          <w:highlight w:val="none"/>
        </w:rPr>
        <w:t>样品的报送与封存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需要承包人报送样品的材料或工程设备，样品的种类、名称、规格、数量要求</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8.8 施工设备和临时设施</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8.8.1 承包人提供的施工设备和临时设施</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关于修建临时设施费用承担的约定</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b/>
          <w:bCs/>
          <w:color w:val="auto"/>
          <w:sz w:val="21"/>
          <w:szCs w:val="21"/>
          <w:highlight w:val="none"/>
        </w:rPr>
      </w:pPr>
      <w:bookmarkStart w:id="423" w:name="_Toc351203641"/>
      <w:r>
        <w:rPr>
          <w:rFonts w:hint="eastAsia" w:ascii="仿宋_GB2312" w:hAnsi="仿宋_GB2312" w:eastAsia="仿宋_GB2312" w:cs="仿宋_GB2312"/>
          <w:b/>
          <w:bCs/>
          <w:color w:val="auto"/>
          <w:sz w:val="21"/>
          <w:szCs w:val="21"/>
          <w:highlight w:val="none"/>
        </w:rPr>
        <w:t>9</w:t>
      </w:r>
      <w:bookmarkEnd w:id="402"/>
      <w:bookmarkEnd w:id="403"/>
      <w:bookmarkEnd w:id="404"/>
      <w:bookmarkStart w:id="424" w:name="_Toc297216192"/>
      <w:bookmarkStart w:id="425" w:name="_Toc312677495"/>
      <w:bookmarkStart w:id="426" w:name="_Toc300934982"/>
      <w:bookmarkStart w:id="427" w:name="_Toc303539139"/>
      <w:bookmarkStart w:id="428" w:name="_Toc304295559"/>
      <w:bookmarkStart w:id="429" w:name="_Toc312678021"/>
      <w:bookmarkStart w:id="430" w:name="_Toc297123533"/>
      <w:bookmarkStart w:id="431" w:name="_Toc296891001"/>
      <w:bookmarkStart w:id="432" w:name="_Toc296944512"/>
      <w:bookmarkStart w:id="433" w:name="_Toc297048359"/>
      <w:bookmarkStart w:id="434" w:name="_Toc296346674"/>
      <w:bookmarkStart w:id="435" w:name="_Toc297120473"/>
      <w:bookmarkStart w:id="436" w:name="_Toc292559883"/>
      <w:bookmarkStart w:id="437" w:name="_Toc267251427"/>
      <w:bookmarkStart w:id="438" w:name="_Toc292559378"/>
      <w:bookmarkStart w:id="439" w:name="_Toc296503173"/>
      <w:bookmarkStart w:id="440" w:name="_Toc296347172"/>
      <w:bookmarkStart w:id="441" w:name="_Toc267251428"/>
      <w:bookmarkStart w:id="442" w:name="_Toc296891213"/>
      <w:r>
        <w:rPr>
          <w:rFonts w:hint="eastAsia" w:ascii="仿宋_GB2312" w:hAnsi="仿宋_GB2312" w:eastAsia="仿宋_GB2312" w:cs="仿宋_GB2312"/>
          <w:b/>
          <w:bCs/>
          <w:color w:val="auto"/>
          <w:sz w:val="21"/>
          <w:szCs w:val="21"/>
          <w:highlight w:val="none"/>
        </w:rPr>
        <w:t>. 试验与检验</w:t>
      </w:r>
      <w:bookmarkEnd w:id="423"/>
    </w:p>
    <w:bookmarkEnd w:id="424"/>
    <w:bookmarkEnd w:id="425"/>
    <w:bookmarkEnd w:id="426"/>
    <w:bookmarkEnd w:id="427"/>
    <w:bookmarkEnd w:id="428"/>
    <w:bookmarkEnd w:id="429"/>
    <w:bookmarkEnd w:id="430"/>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9</w:t>
      </w:r>
      <w:bookmarkStart w:id="443" w:name="_Toc304295560"/>
      <w:bookmarkStart w:id="444" w:name="_Toc297216193"/>
      <w:bookmarkStart w:id="445" w:name="_Toc303539140"/>
      <w:bookmarkStart w:id="446" w:name="_Toc312678022"/>
      <w:bookmarkStart w:id="447" w:name="_Toc297123534"/>
      <w:bookmarkStart w:id="448" w:name="_Toc300934983"/>
      <w:bookmarkStart w:id="449" w:name="_Toc312677496"/>
      <w:r>
        <w:rPr>
          <w:rFonts w:hint="eastAsia" w:ascii="仿宋_GB2312" w:hAnsi="仿宋_GB2312" w:eastAsia="仿宋_GB2312" w:cs="仿宋_GB2312"/>
          <w:b/>
          <w:bCs/>
          <w:color w:val="auto"/>
          <w:sz w:val="21"/>
          <w:szCs w:val="21"/>
          <w:highlight w:val="none"/>
        </w:rPr>
        <w:t>.1试验设备与试验人员</w:t>
      </w:r>
    </w:p>
    <w:bookmarkEnd w:id="443"/>
    <w:bookmarkEnd w:id="444"/>
    <w:bookmarkEnd w:id="445"/>
    <w:bookmarkEnd w:id="446"/>
    <w:bookmarkEnd w:id="447"/>
    <w:bookmarkEnd w:id="448"/>
    <w:bookmarkEnd w:id="449"/>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9</w:t>
      </w:r>
      <w:bookmarkStart w:id="450" w:name="_Toc297123535"/>
      <w:bookmarkStart w:id="451" w:name="_Toc312677497"/>
      <w:bookmarkStart w:id="452" w:name="_Toc297216194"/>
      <w:bookmarkStart w:id="453" w:name="_Toc304295561"/>
      <w:bookmarkStart w:id="454" w:name="_Toc303539141"/>
      <w:bookmarkStart w:id="455" w:name="_Toc312678023"/>
      <w:bookmarkStart w:id="456" w:name="_Toc300934984"/>
      <w:bookmarkStart w:id="457" w:name="_Toc318581174"/>
      <w:r>
        <w:rPr>
          <w:rFonts w:hint="eastAsia" w:ascii="仿宋_GB2312" w:hAnsi="仿宋_GB2312" w:eastAsia="仿宋_GB2312" w:cs="仿宋_GB2312"/>
          <w:color w:val="auto"/>
          <w:sz w:val="21"/>
          <w:szCs w:val="21"/>
          <w:highlight w:val="none"/>
        </w:rPr>
        <w:t>.1.2 试验设备</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施工现场需要配置的试验场所</w:t>
      </w:r>
      <w:r>
        <w:rPr>
          <w:rFonts w:hint="eastAsia" w:ascii="仿宋_GB2312" w:hAnsi="仿宋_GB2312" w:eastAsia="仿宋_GB2312" w:cs="仿宋_GB2312"/>
          <w:color w:val="auto"/>
          <w:sz w:val="21"/>
          <w:szCs w:val="21"/>
          <w:highlight w:val="none"/>
          <w:u w:val="single"/>
          <w:lang w:val="en-US" w:eastAsia="zh-CN"/>
        </w:rPr>
        <w:t>：</w:t>
      </w:r>
      <w:bookmarkEnd w:id="450"/>
      <w:bookmarkEnd w:id="451"/>
      <w:bookmarkEnd w:id="452"/>
      <w:bookmarkEnd w:id="453"/>
      <w:bookmarkEnd w:id="454"/>
      <w:bookmarkEnd w:id="455"/>
      <w:bookmarkEnd w:id="456"/>
      <w:bookmarkStart w:id="458" w:name="_Toc300934985"/>
      <w:bookmarkStart w:id="459" w:name="_Toc312677498"/>
      <w:bookmarkStart w:id="460" w:name="_Toc303539142"/>
      <w:bookmarkStart w:id="461" w:name="_Toc312678024"/>
      <w:bookmarkStart w:id="462" w:name="_Toc297123536"/>
      <w:bookmarkStart w:id="463" w:name="_Toc304295562"/>
      <w:bookmarkStart w:id="464" w:name="_Toc297216195"/>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施工现场需要配备的试验设备</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施工现场需要具备的其他试验条件：</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9.4 现场工艺试验</w:t>
      </w:r>
      <w:r>
        <w:rPr>
          <w:rFonts w:hint="eastAsia" w:ascii="仿宋_GB2312" w:hAnsi="仿宋_GB2312" w:eastAsia="仿宋_GB2312" w:cs="仿宋_GB2312"/>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现场工艺试验的有关约定：</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bookmarkEnd w:id="457"/>
    <w:bookmarkEnd w:id="458"/>
    <w:bookmarkEnd w:id="459"/>
    <w:bookmarkEnd w:id="460"/>
    <w:bookmarkEnd w:id="461"/>
    <w:bookmarkEnd w:id="462"/>
    <w:bookmarkEnd w:id="463"/>
    <w:bookmarkEnd w:id="464"/>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b/>
          <w:bCs/>
          <w:color w:val="auto"/>
          <w:sz w:val="21"/>
          <w:szCs w:val="21"/>
          <w:highlight w:val="none"/>
        </w:rPr>
      </w:pPr>
      <w:bookmarkStart w:id="465" w:name="_Toc351203642"/>
      <w:r>
        <w:rPr>
          <w:rFonts w:hint="eastAsia" w:ascii="仿宋_GB2312" w:hAnsi="仿宋_GB2312" w:eastAsia="仿宋_GB2312" w:cs="仿宋_GB2312"/>
          <w:b/>
          <w:bCs/>
          <w:color w:val="auto"/>
          <w:sz w:val="21"/>
          <w:szCs w:val="21"/>
          <w:highlight w:val="none"/>
        </w:rPr>
        <w:t>1</w:t>
      </w:r>
      <w:bookmarkEnd w:id="431"/>
      <w:bookmarkEnd w:id="432"/>
      <w:bookmarkEnd w:id="433"/>
      <w:bookmarkEnd w:id="434"/>
      <w:bookmarkEnd w:id="435"/>
      <w:bookmarkEnd w:id="436"/>
      <w:bookmarkEnd w:id="437"/>
      <w:bookmarkEnd w:id="438"/>
      <w:bookmarkEnd w:id="439"/>
      <w:bookmarkEnd w:id="440"/>
      <w:bookmarkEnd w:id="441"/>
      <w:bookmarkEnd w:id="442"/>
      <w:bookmarkStart w:id="466" w:name="_Toc297216199"/>
      <w:bookmarkStart w:id="467" w:name="_Toc303539146"/>
      <w:bookmarkStart w:id="468" w:name="_Toc296891021"/>
      <w:bookmarkStart w:id="469" w:name="_Toc296346694"/>
      <w:bookmarkStart w:id="470" w:name="_Toc296503193"/>
      <w:bookmarkStart w:id="471" w:name="_Toc300934989"/>
      <w:bookmarkStart w:id="472" w:name="_Toc296347192"/>
      <w:bookmarkStart w:id="473" w:name="_Toc297048379"/>
      <w:bookmarkStart w:id="474" w:name="_Toc292559903"/>
      <w:bookmarkStart w:id="475" w:name="_Toc296891233"/>
      <w:bookmarkStart w:id="476" w:name="_Toc296944532"/>
      <w:bookmarkStart w:id="477" w:name="_Toc304295566"/>
      <w:bookmarkStart w:id="478" w:name="_Toc297120493"/>
      <w:bookmarkStart w:id="479" w:name="_Toc292559398"/>
      <w:bookmarkStart w:id="480" w:name="_Toc297123540"/>
      <w:bookmarkStart w:id="481" w:name="_Toc312677499"/>
      <w:bookmarkStart w:id="482" w:name="_Toc312678025"/>
      <w:bookmarkStart w:id="483" w:name="_Toc267251435"/>
      <w:bookmarkStart w:id="484" w:name="_Toc267251437"/>
      <w:bookmarkStart w:id="485" w:name="_Toc267251440"/>
      <w:bookmarkStart w:id="486" w:name="_Toc267251441"/>
      <w:bookmarkStart w:id="487" w:name="_Toc267251433"/>
      <w:bookmarkStart w:id="488" w:name="_Toc267251439"/>
      <w:bookmarkStart w:id="489" w:name="_Toc267251442"/>
      <w:r>
        <w:rPr>
          <w:rFonts w:hint="eastAsia" w:ascii="仿宋_GB2312" w:hAnsi="仿宋_GB2312" w:eastAsia="仿宋_GB2312" w:cs="仿宋_GB2312"/>
          <w:b/>
          <w:bCs/>
          <w:color w:val="auto"/>
          <w:sz w:val="21"/>
          <w:szCs w:val="21"/>
          <w:highlight w:val="none"/>
        </w:rPr>
        <w:t>0. 变更</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bookmarkEnd w:id="481"/>
    <w:bookmarkEnd w:id="482"/>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1</w:t>
      </w:r>
      <w:bookmarkStart w:id="490" w:name="_Toc292559904"/>
      <w:bookmarkStart w:id="491" w:name="_Toc297048380"/>
      <w:bookmarkStart w:id="492" w:name="_Toc296503194"/>
      <w:bookmarkStart w:id="493" w:name="_Toc296891234"/>
      <w:bookmarkStart w:id="494" w:name="_Toc296891022"/>
      <w:bookmarkStart w:id="495" w:name="_Toc312678026"/>
      <w:bookmarkStart w:id="496" w:name="_Toc297120494"/>
      <w:bookmarkStart w:id="497" w:name="_Toc297216200"/>
      <w:bookmarkStart w:id="498" w:name="_Toc303539147"/>
      <w:bookmarkStart w:id="499" w:name="_Toc300934990"/>
      <w:bookmarkStart w:id="500" w:name="_Toc296346695"/>
      <w:bookmarkStart w:id="501" w:name="_Toc304295567"/>
      <w:bookmarkStart w:id="502" w:name="_Toc296944533"/>
      <w:bookmarkStart w:id="503" w:name="_Toc296347193"/>
      <w:bookmarkStart w:id="504" w:name="_Toc312677500"/>
      <w:bookmarkStart w:id="505" w:name="_Toc297123541"/>
      <w:bookmarkStart w:id="506" w:name="_Toc292559399"/>
      <w:r>
        <w:rPr>
          <w:rFonts w:hint="eastAsia" w:ascii="仿宋_GB2312" w:hAnsi="仿宋_GB2312" w:eastAsia="仿宋_GB2312" w:cs="仿宋_GB2312"/>
          <w:b/>
          <w:bCs/>
          <w:color w:val="auto"/>
          <w:sz w:val="21"/>
          <w:szCs w:val="21"/>
          <w:highlight w:val="none"/>
        </w:rPr>
        <w:t>0.1变更的范围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关于变更的范围的约定：</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10.4 变更估价</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10.4.1 变更估价原则</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关于变更估价的约定:</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1</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Start w:id="507" w:name="_Toc296891025"/>
      <w:bookmarkStart w:id="508" w:name="_Toc296346698"/>
      <w:bookmarkStart w:id="509" w:name="_Toc296891237"/>
      <w:bookmarkStart w:id="510" w:name="_Toc297120497"/>
      <w:bookmarkStart w:id="511" w:name="_Toc296503197"/>
      <w:bookmarkStart w:id="512" w:name="_Toc300934993"/>
      <w:bookmarkStart w:id="513" w:name="_Toc297048383"/>
      <w:bookmarkStart w:id="514" w:name="_Toc296944536"/>
      <w:bookmarkStart w:id="515" w:name="_Toc296347196"/>
      <w:bookmarkStart w:id="516" w:name="_Toc292559907"/>
      <w:bookmarkStart w:id="517" w:name="_Toc292559402"/>
      <w:bookmarkStart w:id="518" w:name="_Toc297216203"/>
      <w:bookmarkStart w:id="519" w:name="_Toc303539150"/>
      <w:bookmarkStart w:id="520" w:name="_Toc297123544"/>
      <w:bookmarkStart w:id="521" w:name="_Toc312677503"/>
      <w:bookmarkStart w:id="522" w:name="_Toc312678029"/>
      <w:bookmarkStart w:id="523" w:name="_Toc304295570"/>
      <w:r>
        <w:rPr>
          <w:rFonts w:hint="eastAsia" w:ascii="仿宋_GB2312" w:hAnsi="仿宋_GB2312" w:eastAsia="仿宋_GB2312" w:cs="仿宋_GB2312"/>
          <w:b/>
          <w:bCs/>
          <w:color w:val="auto"/>
          <w:sz w:val="21"/>
          <w:szCs w:val="21"/>
          <w:highlight w:val="none"/>
        </w:rPr>
        <w:t>0.5承</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Start w:id="524" w:name="_Toc297123545"/>
      <w:bookmarkStart w:id="525" w:name="_Toc292559408"/>
      <w:bookmarkStart w:id="526" w:name="_Toc292559913"/>
      <w:bookmarkStart w:id="527" w:name="_Toc296503203"/>
      <w:bookmarkStart w:id="528" w:name="_Toc303539151"/>
      <w:bookmarkStart w:id="529" w:name="_Toc297120503"/>
      <w:bookmarkStart w:id="530" w:name="_Toc297048389"/>
      <w:bookmarkStart w:id="531" w:name="_Toc296891243"/>
      <w:bookmarkStart w:id="532" w:name="_Toc297216204"/>
      <w:bookmarkStart w:id="533" w:name="_Toc296347202"/>
      <w:bookmarkStart w:id="534" w:name="_Toc300934994"/>
      <w:bookmarkStart w:id="535" w:name="_Toc296346704"/>
      <w:bookmarkStart w:id="536" w:name="_Toc296891031"/>
      <w:bookmarkStart w:id="537" w:name="_Toc296944542"/>
      <w:r>
        <w:rPr>
          <w:rFonts w:hint="eastAsia" w:ascii="仿宋_GB2312" w:hAnsi="仿宋_GB2312" w:eastAsia="仿宋_GB2312" w:cs="仿宋_GB2312"/>
          <w:b/>
          <w:bCs/>
          <w:color w:val="auto"/>
          <w:sz w:val="21"/>
          <w:szCs w:val="21"/>
          <w:highlight w:val="none"/>
        </w:rPr>
        <w:t>包人的合理化建议</w:t>
      </w:r>
    </w:p>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监理人审查承包人合理化建议的期限</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发包人审批承包人合理化建议的期限</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承</w:t>
      </w:r>
      <w:bookmarkStart w:id="538" w:name="_Toc296347203"/>
      <w:bookmarkStart w:id="539" w:name="_Toc296891244"/>
      <w:bookmarkStart w:id="540" w:name="_Toc296944543"/>
      <w:bookmarkStart w:id="541" w:name="_Toc300934995"/>
      <w:bookmarkStart w:id="542" w:name="_Toc297123546"/>
      <w:bookmarkStart w:id="543" w:name="_Toc296891032"/>
      <w:bookmarkStart w:id="544" w:name="_Toc312677504"/>
      <w:bookmarkStart w:id="545" w:name="_Toc292559914"/>
      <w:bookmarkStart w:id="546" w:name="_Toc318581175"/>
      <w:bookmarkStart w:id="547" w:name="_Toc292559409"/>
      <w:bookmarkStart w:id="548" w:name="_Toc297216205"/>
      <w:bookmarkStart w:id="549" w:name="_Toc303539152"/>
      <w:bookmarkStart w:id="550" w:name="_Toc297120504"/>
      <w:bookmarkStart w:id="551" w:name="_Toc297048390"/>
      <w:bookmarkStart w:id="552" w:name="_Toc296346705"/>
      <w:bookmarkStart w:id="553" w:name="_Toc312678030"/>
      <w:bookmarkStart w:id="554" w:name="_Toc304295571"/>
      <w:bookmarkStart w:id="555" w:name="_Toc296503204"/>
      <w:r>
        <w:rPr>
          <w:rFonts w:hint="eastAsia" w:ascii="仿宋_GB2312" w:hAnsi="仿宋_GB2312" w:eastAsia="仿宋_GB2312" w:cs="仿宋_GB2312"/>
          <w:color w:val="auto"/>
          <w:sz w:val="21"/>
          <w:szCs w:val="21"/>
          <w:highlight w:val="none"/>
        </w:rPr>
        <w:t>包人提出的合理化建议降低了合同价格或者提高了工程经济效益的奖励的方法和金额为</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1</w:t>
      </w:r>
      <w:bookmarkStart w:id="556" w:name="_Toc296346700"/>
      <w:bookmarkStart w:id="557" w:name="_Toc297216207"/>
      <w:bookmarkStart w:id="558" w:name="_Toc296347198"/>
      <w:bookmarkStart w:id="559" w:name="_Toc304295574"/>
      <w:bookmarkStart w:id="560" w:name="_Toc292559909"/>
      <w:bookmarkStart w:id="561" w:name="_Toc297123548"/>
      <w:bookmarkStart w:id="562" w:name="_Toc296891027"/>
      <w:bookmarkStart w:id="563" w:name="_Toc296503199"/>
      <w:bookmarkStart w:id="564" w:name="_Toc312677507"/>
      <w:bookmarkStart w:id="565" w:name="_Toc296891239"/>
      <w:bookmarkStart w:id="566" w:name="_Toc296944538"/>
      <w:bookmarkStart w:id="567" w:name="_Toc297048385"/>
      <w:bookmarkStart w:id="568" w:name="_Toc312678033"/>
      <w:bookmarkStart w:id="569" w:name="_Toc303539154"/>
      <w:bookmarkStart w:id="570" w:name="_Toc297120499"/>
      <w:bookmarkStart w:id="571" w:name="_Toc292559404"/>
      <w:bookmarkStart w:id="572" w:name="_Toc300934997"/>
      <w:r>
        <w:rPr>
          <w:rFonts w:hint="eastAsia" w:ascii="仿宋_GB2312" w:hAnsi="仿宋_GB2312" w:eastAsia="仿宋_GB2312" w:cs="仿宋_GB2312"/>
          <w:b/>
          <w:bCs/>
          <w:color w:val="auto"/>
          <w:sz w:val="21"/>
          <w:szCs w:val="21"/>
          <w:highlight w:val="none"/>
        </w:rPr>
        <w:t>0.7 暂估价</w:t>
      </w:r>
    </w:p>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暂</w:t>
      </w:r>
      <w:bookmarkStart w:id="573" w:name="_Toc318581176"/>
      <w:bookmarkStart w:id="574" w:name="_Toc312678034"/>
      <w:bookmarkStart w:id="575" w:name="_Toc312677508"/>
      <w:r>
        <w:rPr>
          <w:rFonts w:hint="eastAsia" w:ascii="仿宋_GB2312" w:hAnsi="仿宋_GB2312" w:eastAsia="仿宋_GB2312" w:cs="仿宋_GB2312"/>
          <w:color w:val="auto"/>
          <w:sz w:val="21"/>
          <w:szCs w:val="21"/>
          <w:highlight w:val="none"/>
        </w:rPr>
        <w:t>估价材料和工程设备的明细详见附件11：《暂估价一览表》。</w:t>
      </w:r>
    </w:p>
    <w:bookmarkEnd w:id="573"/>
    <w:bookmarkEnd w:id="574"/>
    <w:bookmarkEnd w:id="575"/>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w:t>
      </w:r>
      <w:bookmarkStart w:id="576" w:name="_Toc312677509"/>
      <w:bookmarkStart w:id="577" w:name="_Toc318581177"/>
      <w:bookmarkStart w:id="578" w:name="_Toc312678035"/>
      <w:r>
        <w:rPr>
          <w:rFonts w:hint="eastAsia" w:ascii="仿宋_GB2312" w:hAnsi="仿宋_GB2312" w:eastAsia="仿宋_GB2312" w:cs="仿宋_GB2312"/>
          <w:color w:val="auto"/>
          <w:sz w:val="21"/>
          <w:szCs w:val="21"/>
          <w:highlight w:val="none"/>
        </w:rPr>
        <w:t>0.7.1 依法必须招标的暂估价项目</w:t>
      </w:r>
    </w:p>
    <w:bookmarkEnd w:id="576"/>
    <w:bookmarkEnd w:id="577"/>
    <w:bookmarkEnd w:id="578"/>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对于依法必须招标的暂估价项目的确认和批准采取第</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种方式确定。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10.7.2 不属于依法必须招标的暂估价项目</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u w:val="none"/>
        </w:rPr>
        <w:t>对于不属于依法必须招标的暂估价项目的确认和批准采取第</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none"/>
        </w:rPr>
        <w:t xml:space="preserve">  种方式确定。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第3种方式：承包人直接实施的暂估价项目</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承包人直接实施的暂估价项目的约定</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10.8 暂列金额</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合同当事人关于暂列金额使用的约定</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b/>
          <w:bCs/>
          <w:color w:val="auto"/>
          <w:sz w:val="21"/>
          <w:szCs w:val="21"/>
          <w:highlight w:val="none"/>
        </w:rPr>
      </w:pPr>
      <w:bookmarkStart w:id="579" w:name="_Toc351203643"/>
      <w:r>
        <w:rPr>
          <w:rFonts w:hint="eastAsia" w:ascii="仿宋_GB2312" w:hAnsi="仿宋_GB2312" w:eastAsia="仿宋_GB2312" w:cs="仿宋_GB2312"/>
          <w:b/>
          <w:bCs/>
          <w:color w:val="auto"/>
          <w:sz w:val="21"/>
          <w:szCs w:val="21"/>
          <w:highlight w:val="none"/>
        </w:rPr>
        <w:t>11. 价格调整</w:t>
      </w:r>
      <w:bookmarkEnd w:id="579"/>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color w:val="auto"/>
          <w:sz w:val="21"/>
          <w:szCs w:val="21"/>
          <w:highlight w:val="none"/>
        </w:rPr>
      </w:pPr>
      <w:bookmarkStart w:id="580" w:name="_Toc296503201"/>
      <w:bookmarkStart w:id="581" w:name="_Toc296891029"/>
      <w:bookmarkStart w:id="582" w:name="_Toc296891241"/>
      <w:bookmarkStart w:id="583" w:name="_Toc300935000"/>
      <w:bookmarkStart w:id="584" w:name="_Toc297123550"/>
      <w:bookmarkStart w:id="585" w:name="_Toc297120501"/>
      <w:bookmarkStart w:id="586" w:name="_Toc297048387"/>
      <w:bookmarkStart w:id="587" w:name="_Toc312678039"/>
      <w:bookmarkStart w:id="588" w:name="_Toc297216209"/>
      <w:bookmarkStart w:id="589" w:name="_Toc304295577"/>
      <w:bookmarkStart w:id="590" w:name="_Toc292559911"/>
      <w:bookmarkStart w:id="591" w:name="_Toc296346702"/>
      <w:bookmarkStart w:id="592" w:name="_Toc303539157"/>
      <w:bookmarkStart w:id="593" w:name="_Toc292559406"/>
      <w:bookmarkStart w:id="594" w:name="_Toc296944540"/>
      <w:bookmarkStart w:id="595" w:name="_Toc296347200"/>
      <w:r>
        <w:rPr>
          <w:rFonts w:hint="eastAsia" w:ascii="仿宋_GB2312" w:hAnsi="仿宋_GB2312" w:eastAsia="仿宋_GB2312" w:cs="仿宋_GB2312"/>
          <w:b/>
          <w:bCs/>
          <w:color w:val="auto"/>
          <w:sz w:val="21"/>
          <w:szCs w:val="21"/>
          <w:highlight w:val="none"/>
        </w:rPr>
        <w:t>11.1 市场价格波动引起的调整</w:t>
      </w:r>
    </w:p>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市场价格波动是否调整合同价格的约定</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因市场价格波动调整合同价格，采用以下第</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种方式对合同价格进行调整：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第1种方式：采用价格指数进行价格调整。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关于各可调因子、定值和变值权重，以及基本价格指数及其来源的约定</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 xml:space="preserve">    ；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第2种方式：采用造价信息进行价格调整。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（2）关于基准价格的约定：</w:t>
      </w:r>
      <w:r>
        <w:rPr>
          <w:rFonts w:hint="eastAsia" w:ascii="仿宋_GB2312" w:hAnsi="仿宋_GB2312" w:eastAsia="仿宋_GB2312" w:cs="仿宋_GB2312"/>
          <w:color w:val="auto"/>
          <w:sz w:val="21"/>
          <w:szCs w:val="21"/>
          <w:highlight w:val="none"/>
          <w:lang w:val="en-US" w:eastAsia="zh-CN"/>
        </w:rPr>
        <w:t xml:space="preserve">  </w:t>
      </w:r>
      <w:r>
        <w:rPr>
          <w:rFonts w:hint="eastAsia" w:ascii="仿宋_GB2312" w:hAnsi="仿宋_GB2312" w:eastAsia="仿宋_GB2312" w:cs="仿宋_GB2312"/>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专用合同条款①承包人在已标价工程量清单或预算书中载明的材料单价低于基准价格的：专用合同条款合同履行期间材料单价涨幅以基准价格为基础超过</w:t>
      </w:r>
      <w:r>
        <w:rPr>
          <w:rFonts w:hint="eastAsia" w:ascii="仿宋_GB2312" w:hAnsi="仿宋_GB2312" w:eastAsia="仿宋_GB2312" w:cs="仿宋_GB2312"/>
          <w:color w:val="auto"/>
          <w:sz w:val="21"/>
          <w:szCs w:val="21"/>
          <w:highlight w:val="none"/>
          <w:lang w:val="en-US" w:eastAsia="zh-CN"/>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时，或材料单价跌幅以已标价工程量清单或预算书中载明材料单价为基础超过</w:t>
      </w:r>
      <w:r>
        <w:rPr>
          <w:rFonts w:hint="eastAsia" w:ascii="仿宋_GB2312" w:hAnsi="仿宋_GB2312" w:eastAsia="仿宋_GB2312" w:cs="仿宋_GB2312"/>
          <w:color w:val="auto"/>
          <w:sz w:val="21"/>
          <w:szCs w:val="21"/>
          <w:highlight w:val="none"/>
          <w:lang w:val="en-US" w:eastAsia="zh-CN"/>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时，其超过部分据实调整。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②承包人在已标价工程量清单或预算书中载明的材料单价高于基准价格的：专用合同条款合同履行期间材料单价跌幅以基准价格为基础超过</w:t>
      </w:r>
      <w:r>
        <w:rPr>
          <w:rFonts w:hint="eastAsia" w:ascii="仿宋_GB2312" w:hAnsi="仿宋_GB2312" w:eastAsia="仿宋_GB2312" w:cs="仿宋_GB2312"/>
          <w:color w:val="auto"/>
          <w:sz w:val="21"/>
          <w:szCs w:val="21"/>
          <w:highlight w:val="none"/>
          <w:lang w:val="en-US" w:eastAsia="zh-CN"/>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时，材料单价涨幅以已标价工程量清单或预算书中载明材料单价为基础超过</w:t>
      </w:r>
      <w:r>
        <w:rPr>
          <w:rFonts w:hint="eastAsia" w:ascii="仿宋_GB2312" w:hAnsi="仿宋_GB2312" w:eastAsia="仿宋_GB2312" w:cs="仿宋_GB2312"/>
          <w:color w:val="auto"/>
          <w:sz w:val="21"/>
          <w:szCs w:val="21"/>
          <w:highlight w:val="none"/>
          <w:lang w:val="en-US" w:eastAsia="zh-CN"/>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时，其超过部分据实调整。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③承包人在已标价工程量清单或预算书中载明的材料单价等于基准单价的：专用合同条款合同履行期间材料单价涨跌幅以基准单价为基础超过±</w:t>
      </w:r>
      <w:r>
        <w:rPr>
          <w:rFonts w:hint="eastAsia" w:ascii="仿宋_GB2312" w:hAnsi="仿宋_GB2312" w:eastAsia="仿宋_GB2312" w:cs="仿宋_GB2312"/>
          <w:color w:val="auto"/>
          <w:sz w:val="21"/>
          <w:szCs w:val="21"/>
          <w:highlight w:val="none"/>
          <w:lang w:val="en-US" w:eastAsia="zh-CN"/>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时，其超过部分据实调整。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第3种方式：其他价格调整方式：</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bookmarkEnd w:id="483"/>
    <w:bookmarkEnd w:id="484"/>
    <w:bookmarkEnd w:id="485"/>
    <w:bookmarkEnd w:id="486"/>
    <w:bookmarkEnd w:id="487"/>
    <w:bookmarkEnd w:id="488"/>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b/>
          <w:bCs/>
          <w:color w:val="auto"/>
          <w:sz w:val="21"/>
          <w:szCs w:val="21"/>
          <w:highlight w:val="none"/>
        </w:rPr>
      </w:pPr>
      <w:bookmarkStart w:id="596" w:name="_Toc296944544"/>
      <w:bookmarkStart w:id="597" w:name="_Toc296346706"/>
      <w:bookmarkStart w:id="598" w:name="_Toc297120505"/>
      <w:bookmarkStart w:id="599" w:name="_Toc296347204"/>
      <w:bookmarkStart w:id="600" w:name="_Toc292559410"/>
      <w:bookmarkStart w:id="601" w:name="_Toc292559915"/>
      <w:bookmarkStart w:id="602" w:name="_Toc296891245"/>
      <w:bookmarkStart w:id="603" w:name="_Toc296503205"/>
      <w:bookmarkStart w:id="604" w:name="_Toc296891033"/>
      <w:bookmarkStart w:id="605" w:name="_Toc297048391"/>
      <w:bookmarkStart w:id="606" w:name="_Toc351203644"/>
      <w:bookmarkStart w:id="607" w:name="_Toc304295579"/>
      <w:bookmarkStart w:id="608" w:name="_Toc300935002"/>
      <w:bookmarkStart w:id="609" w:name="_Toc303539159"/>
      <w:bookmarkStart w:id="610" w:name="_Toc297216211"/>
      <w:bookmarkStart w:id="611" w:name="_Toc312678040"/>
      <w:bookmarkStart w:id="612" w:name="_Toc297123552"/>
      <w:r>
        <w:rPr>
          <w:rFonts w:hint="eastAsia" w:ascii="仿宋_GB2312" w:hAnsi="仿宋_GB2312" w:eastAsia="仿宋_GB2312" w:cs="仿宋_GB2312"/>
          <w:b/>
          <w:bCs/>
          <w:color w:val="auto"/>
          <w:sz w:val="21"/>
          <w:szCs w:val="21"/>
          <w:highlight w:val="none"/>
        </w:rPr>
        <w:t xml:space="preserve">12. </w:t>
      </w:r>
      <w:bookmarkEnd w:id="596"/>
      <w:bookmarkEnd w:id="597"/>
      <w:bookmarkEnd w:id="598"/>
      <w:bookmarkEnd w:id="599"/>
      <w:bookmarkEnd w:id="600"/>
      <w:bookmarkEnd w:id="601"/>
      <w:bookmarkEnd w:id="602"/>
      <w:bookmarkEnd w:id="603"/>
      <w:bookmarkEnd w:id="604"/>
      <w:bookmarkEnd w:id="605"/>
      <w:r>
        <w:rPr>
          <w:rFonts w:hint="eastAsia" w:ascii="仿宋_GB2312" w:hAnsi="仿宋_GB2312" w:eastAsia="仿宋_GB2312" w:cs="仿宋_GB2312"/>
          <w:b/>
          <w:bCs/>
          <w:color w:val="auto"/>
          <w:sz w:val="21"/>
          <w:szCs w:val="21"/>
          <w:highlight w:val="none"/>
        </w:rPr>
        <w:t>合同价格、计量与支付</w:t>
      </w:r>
      <w:bookmarkEnd w:id="606"/>
    </w:p>
    <w:bookmarkEnd w:id="607"/>
    <w:bookmarkEnd w:id="608"/>
    <w:bookmarkEnd w:id="609"/>
    <w:bookmarkEnd w:id="610"/>
    <w:bookmarkEnd w:id="611"/>
    <w:bookmarkEnd w:id="612"/>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color w:val="auto"/>
          <w:sz w:val="21"/>
          <w:szCs w:val="21"/>
          <w:highlight w:val="none"/>
        </w:rPr>
      </w:pPr>
      <w:bookmarkStart w:id="613" w:name="_Toc292559411"/>
      <w:bookmarkStart w:id="614" w:name="_Toc267251461"/>
      <w:bookmarkStart w:id="615" w:name="_Toc292559916"/>
      <w:bookmarkStart w:id="616" w:name="_Toc297120506"/>
      <w:bookmarkStart w:id="617" w:name="_Toc297048392"/>
      <w:bookmarkStart w:id="618" w:name="_Toc296891034"/>
      <w:bookmarkStart w:id="619" w:name="_Toc296503206"/>
      <w:bookmarkStart w:id="620" w:name="_Toc296891246"/>
      <w:bookmarkStart w:id="621" w:name="_Toc296347205"/>
      <w:bookmarkStart w:id="622" w:name="_Toc296346707"/>
      <w:bookmarkStart w:id="623" w:name="_Toc296944545"/>
      <w:bookmarkStart w:id="624" w:name="_Toc300935003"/>
      <w:bookmarkStart w:id="625" w:name="_Toc297216212"/>
      <w:bookmarkStart w:id="626" w:name="_Toc297123553"/>
      <w:bookmarkStart w:id="627" w:name="_Toc303539160"/>
      <w:bookmarkStart w:id="628" w:name="_Toc304295580"/>
      <w:bookmarkStart w:id="629" w:name="_Toc312678041"/>
      <w:r>
        <w:rPr>
          <w:rFonts w:hint="eastAsia" w:ascii="仿宋_GB2312" w:hAnsi="仿宋_GB2312" w:eastAsia="仿宋_GB2312" w:cs="仿宋_GB2312"/>
          <w:b/>
          <w:bCs/>
          <w:color w:val="auto"/>
          <w:sz w:val="21"/>
          <w:szCs w:val="21"/>
          <w:highlight w:val="none"/>
        </w:rPr>
        <w:t>12.1 合</w:t>
      </w:r>
      <w:bookmarkEnd w:id="613"/>
      <w:bookmarkEnd w:id="614"/>
      <w:bookmarkEnd w:id="615"/>
      <w:r>
        <w:rPr>
          <w:rFonts w:hint="eastAsia" w:ascii="仿宋_GB2312" w:hAnsi="仿宋_GB2312" w:eastAsia="仿宋_GB2312" w:cs="仿宋_GB2312"/>
          <w:b/>
          <w:bCs/>
          <w:color w:val="auto"/>
          <w:sz w:val="21"/>
          <w:szCs w:val="21"/>
          <w:highlight w:val="none"/>
        </w:rPr>
        <w:t>同价</w:t>
      </w:r>
      <w:bookmarkEnd w:id="616"/>
      <w:bookmarkEnd w:id="617"/>
      <w:bookmarkEnd w:id="618"/>
      <w:bookmarkEnd w:id="619"/>
      <w:bookmarkEnd w:id="620"/>
      <w:bookmarkEnd w:id="621"/>
      <w:bookmarkEnd w:id="622"/>
      <w:bookmarkEnd w:id="623"/>
      <w:r>
        <w:rPr>
          <w:rFonts w:hint="eastAsia" w:ascii="仿宋_GB2312" w:hAnsi="仿宋_GB2312" w:eastAsia="仿宋_GB2312" w:cs="仿宋_GB2312"/>
          <w:b/>
          <w:bCs/>
          <w:color w:val="auto"/>
          <w:sz w:val="21"/>
          <w:szCs w:val="21"/>
          <w:highlight w:val="none"/>
        </w:rPr>
        <w:t>格形式</w:t>
      </w:r>
    </w:p>
    <w:bookmarkEnd w:id="624"/>
    <w:bookmarkEnd w:id="625"/>
    <w:bookmarkEnd w:id="626"/>
    <w:bookmarkEnd w:id="627"/>
    <w:bookmarkEnd w:id="628"/>
    <w:bookmarkEnd w:id="629"/>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1、单价合同。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综合单价包含的风险范围：</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风险费用的计算方法</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风险范围以外合同价格的调整方法</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2、总价合同。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总价包含的风险范围</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风险费用的计算方法</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风险范围以外合同价格的调整方法</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3、其他价格方式</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color w:val="auto"/>
          <w:sz w:val="21"/>
          <w:szCs w:val="21"/>
          <w:highlight w:val="none"/>
        </w:rPr>
      </w:pPr>
      <w:bookmarkStart w:id="630" w:name="_Toc297216213"/>
      <w:bookmarkStart w:id="631" w:name="_Toc297123554"/>
      <w:bookmarkStart w:id="632" w:name="_Toc300935004"/>
      <w:bookmarkStart w:id="633" w:name="_Toc304295581"/>
      <w:bookmarkStart w:id="634" w:name="_Toc303539161"/>
      <w:bookmarkStart w:id="635" w:name="_Toc312678042"/>
      <w:bookmarkStart w:id="636" w:name="_Toc297120507"/>
      <w:bookmarkStart w:id="637" w:name="_Toc296347206"/>
      <w:bookmarkStart w:id="638" w:name="_Toc296346708"/>
      <w:bookmarkStart w:id="639" w:name="_Toc296944546"/>
      <w:bookmarkStart w:id="640" w:name="_Toc296503207"/>
      <w:bookmarkStart w:id="641" w:name="_Toc292559412"/>
      <w:bookmarkStart w:id="642" w:name="_Toc292559917"/>
      <w:bookmarkStart w:id="643" w:name="_Toc297048393"/>
      <w:bookmarkStart w:id="644" w:name="_Toc296891035"/>
      <w:bookmarkStart w:id="645" w:name="_Toc296891247"/>
      <w:r>
        <w:rPr>
          <w:rFonts w:hint="eastAsia" w:ascii="仿宋_GB2312" w:hAnsi="仿宋_GB2312" w:eastAsia="仿宋_GB2312" w:cs="仿宋_GB2312"/>
          <w:b/>
          <w:bCs/>
          <w:color w:val="auto"/>
          <w:sz w:val="21"/>
          <w:szCs w:val="21"/>
          <w:highlight w:val="none"/>
        </w:rPr>
        <w:t>12.2 预付款</w:t>
      </w:r>
    </w:p>
    <w:bookmarkEnd w:id="630"/>
    <w:bookmarkEnd w:id="631"/>
    <w:bookmarkEnd w:id="632"/>
    <w:bookmarkEnd w:id="633"/>
    <w:bookmarkEnd w:id="634"/>
    <w:bookmarkEnd w:id="635"/>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12.2.1 预付款的支付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预付款支付比例或金额</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预付款支付期限</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预付款扣回的方式</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12.2.2 预付款担保</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承包人提交预付款担保的期限</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预付款担保的形式为</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bookmarkEnd w:id="636"/>
    <w:bookmarkEnd w:id="637"/>
    <w:bookmarkEnd w:id="638"/>
    <w:bookmarkEnd w:id="639"/>
    <w:bookmarkEnd w:id="640"/>
    <w:bookmarkEnd w:id="641"/>
    <w:bookmarkEnd w:id="642"/>
    <w:bookmarkEnd w:id="643"/>
    <w:bookmarkEnd w:id="644"/>
    <w:bookmarkEnd w:id="645"/>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12.3 计量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12.3.1 计量原则</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工程量计算规则</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12.3.2 计量周期</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关于计量周期的约定</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12.3.3 单价合同的计量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关于单价合同计量的约定</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12.3.4 总价合同的计量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关于总价合同计量的约定</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12.3.5总价合同采用支付分解表计量支付的，是否适用第12.3.4 项〔总价合同的计量〕约定进行计量</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12.3.6 其他价格形式合同的计量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其他价格形式的计量方式和程序</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12.4 工程进度款支付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bookmarkStart w:id="646" w:name="_Toc296891251"/>
      <w:bookmarkStart w:id="647" w:name="_Toc296944550"/>
      <w:bookmarkStart w:id="648" w:name="_Toc297048397"/>
      <w:bookmarkStart w:id="649" w:name="_Toc296347210"/>
      <w:bookmarkStart w:id="650" w:name="_Toc296346712"/>
      <w:bookmarkStart w:id="651" w:name="_Toc296891039"/>
      <w:bookmarkStart w:id="652" w:name="_Toc297216215"/>
      <w:bookmarkStart w:id="653" w:name="_Toc303539163"/>
      <w:bookmarkStart w:id="654" w:name="_Toc297123556"/>
      <w:bookmarkStart w:id="655" w:name="_Toc297120511"/>
      <w:bookmarkStart w:id="656" w:name="_Toc296503211"/>
      <w:bookmarkStart w:id="657" w:name="_Toc300935006"/>
      <w:bookmarkStart w:id="658" w:name="_Toc292559921"/>
      <w:bookmarkStart w:id="659" w:name="_Toc292559416"/>
      <w:r>
        <w:rPr>
          <w:rFonts w:hint="eastAsia" w:ascii="仿宋_GB2312" w:hAnsi="仿宋_GB2312" w:eastAsia="仿宋_GB2312" w:cs="仿宋_GB2312"/>
          <w:color w:val="auto"/>
          <w:sz w:val="21"/>
          <w:szCs w:val="21"/>
          <w:highlight w:val="none"/>
        </w:rPr>
        <w:t>12.4.1 付款周期</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关于付款周期的约定</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12.4.2 进度付款申请单的编制</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关于进度付款申请单编制的约定</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r>
        <w:rPr>
          <w:rFonts w:hint="eastAsia" w:ascii="仿宋_GB2312" w:hAnsi="仿宋_GB2312" w:eastAsia="仿宋_GB2312" w:cs="仿宋_GB2312"/>
          <w:color w:val="auto"/>
          <w:sz w:val="21"/>
          <w:szCs w:val="21"/>
          <w:highlight w:val="none"/>
        </w:rPr>
        <w:t>2.4.3 进度付款申请单的提交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（1）单价合同进度付款申请单提交的约定</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（2）总价合同进度付款申请单提交的约定</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（3）其他价格形式合同进度付款申请单提交的约定</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12.4.4 进度款审核和支付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（1）监理人审查并报送发包人的期限</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发包人完成审批并签发进度款支付证书的期限</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（2）发包人支付进度款的期限</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发包人逾期支付进度款的违约金的计算方式</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12.4.6 支付分解表的编制</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2、总价合同支付分解表的编制与审批</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3、单价合同的总价项目支付分解表的编制与审批</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bookmarkEnd w:id="489"/>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b/>
          <w:bCs/>
          <w:color w:val="auto"/>
          <w:sz w:val="21"/>
          <w:szCs w:val="21"/>
          <w:highlight w:val="none"/>
        </w:rPr>
      </w:pPr>
      <w:bookmarkStart w:id="660" w:name="_Toc351203645"/>
      <w:bookmarkStart w:id="661" w:name="_Toc304295593"/>
      <w:bookmarkStart w:id="662" w:name="_Toc300935015"/>
      <w:bookmarkStart w:id="663" w:name="_Toc296891047"/>
      <w:bookmarkStart w:id="664" w:name="_Toc296346720"/>
      <w:bookmarkStart w:id="665" w:name="_Toc296347218"/>
      <w:bookmarkStart w:id="666" w:name="_Toc297123564"/>
      <w:bookmarkStart w:id="667" w:name="_Toc297048405"/>
      <w:bookmarkStart w:id="668" w:name="_Toc312678053"/>
      <w:bookmarkStart w:id="669" w:name="_Toc292559929"/>
      <w:bookmarkStart w:id="670" w:name="_Toc296891259"/>
      <w:bookmarkStart w:id="671" w:name="_Toc297120519"/>
      <w:bookmarkStart w:id="672" w:name="_Toc303539172"/>
      <w:bookmarkStart w:id="673" w:name="_Toc297216223"/>
      <w:bookmarkStart w:id="674" w:name="_Toc292559424"/>
      <w:bookmarkStart w:id="675" w:name="_Toc296503219"/>
      <w:bookmarkStart w:id="676" w:name="_Toc296944558"/>
      <w:r>
        <w:rPr>
          <w:rFonts w:hint="eastAsia" w:ascii="仿宋_GB2312" w:hAnsi="仿宋_GB2312" w:eastAsia="仿宋_GB2312" w:cs="仿宋_GB2312"/>
          <w:b/>
          <w:bCs/>
          <w:color w:val="auto"/>
          <w:sz w:val="21"/>
          <w:szCs w:val="21"/>
          <w:highlight w:val="none"/>
        </w:rPr>
        <w:t>13. 验收和工程试车</w:t>
      </w:r>
      <w:bookmarkEnd w:id="660"/>
    </w:p>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13.1 分部分项工程验收</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13.1.2监理人不能按时进行验收时，应提前</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小时提交书面延期要求。</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关于延期最长不得超过：</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小时。</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color w:val="auto"/>
          <w:sz w:val="21"/>
          <w:szCs w:val="21"/>
          <w:highlight w:val="none"/>
        </w:rPr>
      </w:pPr>
      <w:bookmarkStart w:id="677" w:name="_Toc304295596"/>
      <w:bookmarkStart w:id="678" w:name="_Toc297123565"/>
      <w:bookmarkStart w:id="679" w:name="_Toc292559933"/>
      <w:bookmarkStart w:id="680" w:name="_Toc296944562"/>
      <w:bookmarkStart w:id="681" w:name="_Toc312678056"/>
      <w:bookmarkStart w:id="682" w:name="_Toc297120523"/>
      <w:bookmarkStart w:id="683" w:name="_Toc296347222"/>
      <w:bookmarkStart w:id="684" w:name="_Toc292559428"/>
      <w:bookmarkStart w:id="685" w:name="_Toc296503223"/>
      <w:bookmarkStart w:id="686" w:name="_Toc297216224"/>
      <w:bookmarkStart w:id="687" w:name="_Toc297048409"/>
      <w:bookmarkStart w:id="688" w:name="_Toc300935016"/>
      <w:bookmarkStart w:id="689" w:name="_Toc296891263"/>
      <w:bookmarkStart w:id="690" w:name="_Toc296346724"/>
      <w:bookmarkStart w:id="691" w:name="_Toc296891051"/>
      <w:bookmarkStart w:id="692" w:name="_Toc303539173"/>
      <w:bookmarkStart w:id="693" w:name="_Toc267251473"/>
      <w:bookmarkStart w:id="694" w:name="_Toc267251472"/>
      <w:bookmarkStart w:id="695" w:name="_Toc267251470"/>
      <w:bookmarkStart w:id="696" w:name="_Toc267251475"/>
      <w:bookmarkStart w:id="697" w:name="_Toc267251474"/>
      <w:bookmarkStart w:id="698" w:name="_Toc267251471"/>
      <w:bookmarkStart w:id="699" w:name="_Toc267251476"/>
      <w:r>
        <w:rPr>
          <w:rFonts w:hint="eastAsia" w:ascii="仿宋_GB2312" w:hAnsi="仿宋_GB2312" w:eastAsia="仿宋_GB2312" w:cs="仿宋_GB2312"/>
          <w:b/>
          <w:bCs/>
          <w:color w:val="auto"/>
          <w:sz w:val="21"/>
          <w:szCs w:val="21"/>
          <w:highlight w:val="none"/>
        </w:rPr>
        <w:t>13.2 竣工验收</w:t>
      </w:r>
    </w:p>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bookmarkStart w:id="700" w:name="_Toc280868704"/>
      <w:bookmarkStart w:id="701" w:name="_Toc280868705"/>
      <w:bookmarkStart w:id="702" w:name="_Toc280868706"/>
      <w:bookmarkStart w:id="703" w:name="_Toc280868707"/>
      <w:bookmarkStart w:id="704" w:name="_Toc280868708"/>
      <w:bookmarkStart w:id="705" w:name="_Toc280868709"/>
      <w:r>
        <w:rPr>
          <w:rFonts w:hint="eastAsia" w:ascii="仿宋_GB2312" w:hAnsi="仿宋_GB2312" w:eastAsia="仿宋_GB2312" w:cs="仿宋_GB2312"/>
          <w:color w:val="auto"/>
          <w:sz w:val="21"/>
          <w:szCs w:val="21"/>
          <w:highlight w:val="none"/>
        </w:rPr>
        <w:t>13.2.2竣工验收程序</w:t>
      </w:r>
    </w:p>
    <w:bookmarkEnd w:id="700"/>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关于竣工验收程序的约定：</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发包人不按照本项约定组织竣工验收、颁发工程接收证书的违约金的计算方法：</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bookmarkEnd w:id="701"/>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13.2.5移交、接收全部与部分工程</w:t>
      </w:r>
    </w:p>
    <w:bookmarkEnd w:id="702"/>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承包人向发包人移交工程的期限：</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发包人未按本合同约定接收全部或部分工程的，违约金的计算方法为：</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p>
    <w:bookmarkEnd w:id="703"/>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承包人未按时移交工程的，违约金的计算方法为</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13.3 工程试车</w:t>
      </w:r>
    </w:p>
    <w:bookmarkEnd w:id="704"/>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13.3.1 试车程序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工程试车内容</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 xml:space="preserve">（1）单机无负荷试车费用由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承担；</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（2）无负荷联动试车费用由</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承担。</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13.3.3 投料试车</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关于投料试车相关事项的约定：</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13.6 竣工退场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13.6.1 竣工退场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承包人完成竣工退场的期限</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b/>
          <w:bCs/>
          <w:color w:val="auto"/>
          <w:sz w:val="21"/>
          <w:szCs w:val="21"/>
          <w:highlight w:val="none"/>
        </w:rPr>
      </w:pPr>
      <w:bookmarkStart w:id="706" w:name="_Toc351203646"/>
      <w:r>
        <w:rPr>
          <w:rFonts w:hint="eastAsia" w:ascii="仿宋_GB2312" w:hAnsi="仿宋_GB2312" w:eastAsia="仿宋_GB2312" w:cs="仿宋_GB2312"/>
          <w:b/>
          <w:bCs/>
          <w:color w:val="auto"/>
          <w:sz w:val="21"/>
          <w:szCs w:val="21"/>
          <w:highlight w:val="none"/>
        </w:rPr>
        <w:t>14. 竣工结算</w:t>
      </w:r>
      <w:bookmarkEnd w:id="706"/>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14.1 竣工结算申请</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承包人提交竣工结算申请单的期限：</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竣工结算申请单应包括的内容：</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14.2 竣工结算审核</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发包人审批竣工付款申请单的期限</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rPr>
        <w:t>发包人完成竣工付款的期限：</w:t>
      </w:r>
      <w:r>
        <w:rPr>
          <w:rFonts w:hint="eastAsia" w:ascii="仿宋_GB2312" w:hAnsi="仿宋_GB2312" w:eastAsia="仿宋_GB2312" w:cs="仿宋_GB2312"/>
          <w:color w:val="auto"/>
          <w:sz w:val="21"/>
          <w:szCs w:val="21"/>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关于竣工付款证书异议部分复核的方式和程序</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14.4 最终结清</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14.4.1 最终结清申请单</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承包人提交最终结清申请单的份数：</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承包人提交最终结算申请单的期限：</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14.4.2 最终结清证书和支付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（1）发包人完成最终结清申请单的审批并颁发最终结清证书的期限：</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rPr>
        <w:t>（2）发包人完成支付的期限：</w:t>
      </w:r>
      <w:r>
        <w:rPr>
          <w:rFonts w:hint="eastAsia" w:ascii="仿宋_GB2312" w:hAnsi="仿宋_GB2312" w:eastAsia="仿宋_GB2312" w:cs="仿宋_GB2312"/>
          <w:color w:val="auto"/>
          <w:sz w:val="21"/>
          <w:szCs w:val="21"/>
          <w:highlight w:val="none"/>
          <w:lang w:val="en-US" w:eastAsia="zh-CN"/>
        </w:rPr>
        <w:t xml:space="preserve">          </w:t>
      </w:r>
    </w:p>
    <w:bookmarkEnd w:id="693"/>
    <w:bookmarkEnd w:id="694"/>
    <w:bookmarkEnd w:id="695"/>
    <w:bookmarkEnd w:id="696"/>
    <w:bookmarkEnd w:id="697"/>
    <w:bookmarkEnd w:id="698"/>
    <w:bookmarkEnd w:id="699"/>
    <w:bookmarkEnd w:id="705"/>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b/>
          <w:bCs/>
          <w:color w:val="auto"/>
          <w:sz w:val="21"/>
          <w:szCs w:val="21"/>
          <w:highlight w:val="none"/>
        </w:rPr>
      </w:pPr>
      <w:bookmarkStart w:id="707" w:name="_Toc351203647"/>
      <w:bookmarkStart w:id="708" w:name="_Toc267251483"/>
      <w:bookmarkStart w:id="709" w:name="_Toc267251482"/>
      <w:bookmarkStart w:id="710" w:name="_Toc267251484"/>
      <w:bookmarkStart w:id="711" w:name="_Toc267251485"/>
      <w:bookmarkStart w:id="712" w:name="_Toc267251490"/>
      <w:bookmarkStart w:id="713" w:name="_Toc267251489"/>
      <w:bookmarkStart w:id="714" w:name="_Toc267251488"/>
      <w:bookmarkStart w:id="715" w:name="_Toc267251486"/>
      <w:bookmarkStart w:id="716" w:name="_Toc267251491"/>
      <w:bookmarkStart w:id="717" w:name="_Toc267251494"/>
      <w:bookmarkStart w:id="718" w:name="_Toc267251496"/>
      <w:bookmarkStart w:id="719" w:name="_Toc267251498"/>
      <w:bookmarkStart w:id="720" w:name="_Toc267251492"/>
      <w:bookmarkStart w:id="721" w:name="_Toc267251503"/>
      <w:bookmarkStart w:id="722" w:name="_Toc267251495"/>
      <w:bookmarkStart w:id="723" w:name="_Toc267251502"/>
      <w:bookmarkStart w:id="724" w:name="_Toc267251493"/>
      <w:bookmarkStart w:id="725" w:name="_Toc267251501"/>
      <w:bookmarkStart w:id="726" w:name="_Toc267251497"/>
      <w:bookmarkStart w:id="727" w:name="_Toc267251499"/>
      <w:bookmarkStart w:id="728" w:name="_Toc267251504"/>
      <w:bookmarkStart w:id="729" w:name="_Toc267251506"/>
      <w:bookmarkStart w:id="730" w:name="_Toc267251507"/>
      <w:bookmarkStart w:id="731" w:name="_Toc267251508"/>
      <w:bookmarkStart w:id="732" w:name="_Toc267251515"/>
      <w:bookmarkStart w:id="733" w:name="_Toc267251514"/>
      <w:bookmarkStart w:id="734" w:name="_Toc267251510"/>
      <w:bookmarkStart w:id="735" w:name="_Toc267251509"/>
      <w:bookmarkStart w:id="736" w:name="_Toc267251513"/>
      <w:bookmarkStart w:id="737" w:name="_Toc267251511"/>
      <w:r>
        <w:rPr>
          <w:rFonts w:hint="eastAsia" w:ascii="仿宋_GB2312" w:hAnsi="仿宋_GB2312" w:eastAsia="仿宋_GB2312" w:cs="仿宋_GB2312"/>
          <w:b/>
          <w:bCs/>
          <w:color w:val="auto"/>
          <w:sz w:val="21"/>
          <w:szCs w:val="21"/>
          <w:highlight w:val="none"/>
        </w:rPr>
        <w:t>15. 缺陷责任期与保修</w:t>
      </w:r>
      <w:bookmarkEnd w:id="707"/>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15.2缺陷责任期</w:t>
      </w:r>
      <w:bookmarkEnd w:id="708"/>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缺陷责任期的具体期限</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15.3 质量保证金</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关于是否扣留质量保证金的约定</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。在工程项目竣工前，承包人按专用合同条款第3.7条提供履约担保的，发包人不得同时预留工程质量保证金。</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15.3.1 承包人提供质量保证金的方式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 xml:space="preserve">质量保证金采用以下第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种方式：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（1）质量保证金保函，保证金额为</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（2）</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%的工程款；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（3）其他方式:</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 xml:space="preserve">15.3.2 质量保证金的扣留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 xml:space="preserve">质量保证金的扣留采取以下第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种方式：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（1）在支付工程进度款时逐次扣留，在此情形下，质量保证金的计算基数不包括预付款的支付、扣回以及价格调整的金额；</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（2）工程竣工结算时一次性扣留质量保证金；</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（3）其他扣留方式:</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关于质量保证金的补充约定</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bookmarkEnd w:id="709"/>
    <w:bookmarkEnd w:id="710"/>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15.4保修</w:t>
      </w:r>
    </w:p>
    <w:bookmarkEnd w:id="711"/>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15.4.1 保修责任</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工程保修期为</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15.4.3 修复通知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承包人收到保修通知并到达工程现场的合理时间</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p>
    <w:bookmarkEnd w:id="712"/>
    <w:bookmarkEnd w:id="713"/>
    <w:bookmarkEnd w:id="714"/>
    <w:bookmarkEnd w:id="715"/>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b/>
          <w:bCs/>
          <w:color w:val="auto"/>
          <w:sz w:val="21"/>
          <w:szCs w:val="21"/>
          <w:highlight w:val="none"/>
        </w:rPr>
      </w:pPr>
      <w:bookmarkStart w:id="738" w:name="_Toc351203648"/>
      <w:bookmarkStart w:id="739" w:name="_Toc280868717"/>
      <w:bookmarkStart w:id="740" w:name="_Toc280868718"/>
      <w:r>
        <w:rPr>
          <w:rFonts w:hint="eastAsia" w:ascii="仿宋_GB2312" w:hAnsi="仿宋_GB2312" w:eastAsia="仿宋_GB2312" w:cs="仿宋_GB2312"/>
          <w:b/>
          <w:bCs/>
          <w:color w:val="auto"/>
          <w:sz w:val="21"/>
          <w:szCs w:val="21"/>
          <w:highlight w:val="none"/>
        </w:rPr>
        <w:t>16. 违约</w:t>
      </w:r>
      <w:bookmarkEnd w:id="738"/>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16.1 发包人违约</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16.1.1发包人违约的情形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发包人违约的其他情形</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 xml:space="preserve">    16.1.2 发包人违约的责任</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发包人违约责任的承担方式和计算方法：</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（1）因发包人原因未能在计划开工日期前7天内下达开工通知的违约责任</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（2）因发包人原因未能按合同约定支付合同价款的违约责任</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（3）发包人违反第10.1款〔变更的范围〕第（2）项约定，自行实施被取消的工作或转由他人实施的违约责任</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（4）发包人提供的材料、工程设备的规格、数量或质量不符合合同约定，或因发包人原因导致交货日期延误或交货地点变更等情况的违约责任</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（5）因发包人违反合同约定造成暂停施工的违约责任</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（6）发包人无正当理由没有在约定期限内发出复工指示，导致承包人无法复工的违约责任：</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（7）其他</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16.1.3 因发包人违约解除合同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 xml:space="preserve">承包人按16.1.1项〔发包人违约的情形〕约定暂停施工满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天后发包人仍不纠正其违约行为并致使合同目的不能实现的，承包人有权解除合同。</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16.2 承包人违约</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16.2.1 承包人违约的情形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在合同履行过程中发生的下列情形，属于承包人违约：</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（1）承包人违反合同约定进行转包或违法分包的；</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（2）承包人违反合同约定采购和使用不合格的材料和工程设备的；</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 xml:space="preserve">（3）因承包人原因导致工程质量不符合合同要求的；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（4）承包人违反第8.9款〔材料与设备专用要求〕的约定，未经批准，私自将已按照合同约定进入施工现场的材料或设备撤离施工现场的；</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（5）承包人未能按施工进度计划及时完成合同约定的工作，造成工期延误的；</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（6）承包人在缺陷责任期及保修期内，未能在合理期限对工程缺陷进行修复，或拒绝按发包人要求进行修复的；</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（7）承包人明确表示或者以其行为表明不履行合同主要义务的；</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（8）承包人未能按照合同约定履行其他义务的。</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承包人发生除本项第（7）目约定以外的其他违约情况时，监理人可向承包人发出整改通知，要求其在指定的期限内改正。</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rPr>
        <w:t>承包人违约的其他情形：</w:t>
      </w:r>
      <w:r>
        <w:rPr>
          <w:rFonts w:hint="eastAsia" w:ascii="仿宋_GB2312" w:hAnsi="仿宋_GB2312" w:eastAsia="仿宋_GB2312" w:cs="仿宋_GB2312"/>
          <w:color w:val="auto"/>
          <w:sz w:val="21"/>
          <w:szCs w:val="21"/>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16.2.2 承包人违约的责任</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承包人应承担因其违约行为而增加的费用和（或）延误的工期。此外，合同当事人可在专用合同条款中另行约定承包人违约责任的承担方式和计算方法。</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承包人违约责任的承担方式和计算方法</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16.2.3 因承包人违约解除合同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u w:val="single"/>
        </w:rPr>
      </w:pPr>
      <w:r>
        <w:rPr>
          <w:rFonts w:hint="eastAsia" w:ascii="仿宋_GB2312" w:hAnsi="仿宋_GB2312" w:eastAsia="仿宋_GB2312" w:cs="仿宋_GB2312"/>
          <w:color w:val="auto"/>
          <w:sz w:val="21"/>
          <w:szCs w:val="21"/>
          <w:highlight w:val="none"/>
        </w:rPr>
        <w:t>关于承包人违约解除合同的特别约定</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发包人继续使用承包人在施工现场的材料、设备、临时工程、承包人文件和由承包人或以其名义编制的其他文件的费用承担方式</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16.2.4因承包人违约解除合同后的处理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因承包人原因导致合同解除的，则合同当事人应在合同解除后28天内完成估价、付款和清算，并按以下约定执行：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（1）合同解除后，按第4.4款〔商定或确定〕商定或确定承包人实际完成工作对应的合同价款，以及承包人已提供的材料、工程设备、施工设备和临时工程等的价值；</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（2）合同解除后，承包人应支付的违约金；</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（3）合同解除后，因解除合同给发包人造成的损失；</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（4）合同解除后，承包人应按照发包人要求和监理人的指示完成现场的清理和撤离；</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（5）发包人和承包人应在合同解除后进行清算，出具最终结清付款证书，结清全部款项。</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因承包人违约解除合同的，发包人有权暂停对承包人的付款，查清各项付款和已扣款项。发包人和承包人未能就合同解除后的清算和款项支付达成一致的，按照第20条〔争议解决〕的约定处理。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16.2.5采购合同权益转让</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 xml:space="preserve">因承包人违约解除合同的，发包人有权要求承包人将其为实施合同而签订的材料和设备的采购合同的权益转让给发包人，承包人应在收到解除合同通知后14天内，协助发包人与采购合同的供应商达成相关的转让协议。   </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b/>
          <w:bCs/>
          <w:color w:val="auto"/>
          <w:sz w:val="21"/>
          <w:szCs w:val="21"/>
          <w:highlight w:val="none"/>
        </w:rPr>
      </w:pPr>
      <w:bookmarkStart w:id="741" w:name="_Toc351203649"/>
      <w:r>
        <w:rPr>
          <w:rFonts w:hint="eastAsia" w:ascii="仿宋_GB2312" w:hAnsi="仿宋_GB2312" w:eastAsia="仿宋_GB2312" w:cs="仿宋_GB2312"/>
          <w:b/>
          <w:bCs/>
          <w:color w:val="auto"/>
          <w:sz w:val="21"/>
          <w:szCs w:val="21"/>
          <w:highlight w:val="none"/>
        </w:rPr>
        <w:t>17. 不可抗力</w:t>
      </w:r>
      <w:bookmarkEnd w:id="741"/>
      <w:r>
        <w:rPr>
          <w:rFonts w:hint="eastAsia" w:ascii="仿宋_GB2312" w:hAnsi="仿宋_GB2312" w:eastAsia="仿宋_GB2312" w:cs="仿宋_GB2312"/>
          <w:b/>
          <w:bCs/>
          <w:color w:val="auto"/>
          <w:sz w:val="21"/>
          <w:szCs w:val="21"/>
          <w:highlight w:val="none"/>
        </w:rPr>
        <w:t xml:space="preserve"> </w:t>
      </w:r>
      <w:bookmarkEnd w:id="739"/>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17.1 不可抗力的确认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除通用合同条款约定的不可抗力事件之外，视为不可抗力的其他情形：</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17.4 因不可抗力解除合同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合同解除后，发包人应在商定或确定发包人应支付款项后</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天内完成款项的支付。</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b/>
          <w:bCs/>
          <w:color w:val="auto"/>
          <w:sz w:val="21"/>
          <w:szCs w:val="21"/>
          <w:highlight w:val="none"/>
        </w:rPr>
      </w:pPr>
      <w:bookmarkStart w:id="742" w:name="_Toc351203650"/>
      <w:r>
        <w:rPr>
          <w:rFonts w:hint="eastAsia" w:ascii="仿宋_GB2312" w:hAnsi="仿宋_GB2312" w:eastAsia="仿宋_GB2312" w:cs="仿宋_GB2312"/>
          <w:b/>
          <w:bCs/>
          <w:color w:val="auto"/>
          <w:sz w:val="21"/>
          <w:szCs w:val="21"/>
          <w:highlight w:val="none"/>
        </w:rPr>
        <w:t>18. 保险</w:t>
      </w:r>
      <w:bookmarkEnd w:id="742"/>
    </w:p>
    <w:bookmarkEnd w:id="740"/>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18.1 工程保险</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关于工程保险的特别约定：</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18.3 其他保险</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关于其他保险的约定</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承包人是否应为其施工设备等办理财产保险：</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18.7 通知义务</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关于变更保险合同时的通知义务的约定</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bookmarkEnd w:id="716"/>
    <w:bookmarkEnd w:id="717"/>
    <w:bookmarkEnd w:id="718"/>
    <w:bookmarkEnd w:id="719"/>
    <w:bookmarkEnd w:id="720"/>
    <w:bookmarkEnd w:id="721"/>
    <w:bookmarkEnd w:id="722"/>
    <w:bookmarkEnd w:id="723"/>
    <w:bookmarkEnd w:id="724"/>
    <w:bookmarkEnd w:id="725"/>
    <w:bookmarkEnd w:id="726"/>
    <w:bookmarkEnd w:id="727"/>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color w:val="auto"/>
          <w:sz w:val="21"/>
          <w:szCs w:val="21"/>
          <w:highlight w:val="none"/>
        </w:rPr>
      </w:pPr>
      <w:bookmarkStart w:id="743" w:name="_Toc351203651"/>
      <w:r>
        <w:rPr>
          <w:rFonts w:hint="eastAsia" w:ascii="仿宋_GB2312" w:hAnsi="仿宋_GB2312" w:eastAsia="仿宋_GB2312" w:cs="仿宋_GB2312"/>
          <w:b/>
          <w:bCs/>
          <w:color w:val="auto"/>
          <w:sz w:val="21"/>
          <w:szCs w:val="21"/>
          <w:highlight w:val="none"/>
        </w:rPr>
        <w:t>20. 争议解决</w:t>
      </w:r>
      <w:bookmarkEnd w:id="743"/>
    </w:p>
    <w:bookmarkEnd w:id="728"/>
    <w:bookmarkEnd w:id="729"/>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20.3 争</w:t>
      </w:r>
      <w:bookmarkEnd w:id="730"/>
      <w:r>
        <w:rPr>
          <w:rFonts w:hint="eastAsia" w:ascii="仿宋_GB2312" w:hAnsi="仿宋_GB2312" w:eastAsia="仿宋_GB2312" w:cs="仿宋_GB2312"/>
          <w:b/>
          <w:bCs/>
          <w:color w:val="auto"/>
          <w:sz w:val="21"/>
          <w:szCs w:val="21"/>
          <w:highlight w:val="none"/>
        </w:rPr>
        <w:t>议评审</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合同当事人是否同意将工程争议提交争议评审小组决定</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20.3.1 争议评审小组的确定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争议评审小组成员的确定</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选定争议评审员的期限：</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争议评审小组成员的报酬承担方式：</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其他事项的约定：</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20.3.2 争议评审小组的决定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合同当事人关于本项的约定</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20.4仲裁或诉讼</w:t>
      </w:r>
      <w:bookmarkEnd w:id="731"/>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因合同及合同有关事项发生的争议，按下列第 2 种方式解决：</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 xml:space="preserve">（1）向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仲裁委员会申请仲裁；</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 xml:space="preserve">（2）向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人民法院起诉。</w:t>
      </w:r>
      <w:bookmarkEnd w:id="732"/>
      <w:bookmarkEnd w:id="733"/>
      <w:bookmarkEnd w:id="734"/>
      <w:bookmarkEnd w:id="735"/>
      <w:bookmarkEnd w:id="736"/>
      <w:bookmarkEnd w:id="737"/>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b/>
          <w:bCs/>
          <w:color w:val="auto"/>
          <w:sz w:val="21"/>
          <w:szCs w:val="21"/>
          <w:highlight w:val="none"/>
          <w:lang w:val="en-US" w:eastAsia="zh-CN"/>
        </w:rPr>
      </w:pPr>
      <w:r>
        <w:rPr>
          <w:rFonts w:hint="eastAsia" w:ascii="仿宋_GB2312" w:hAnsi="仿宋_GB2312" w:eastAsia="仿宋_GB2312" w:cs="仿宋_GB2312"/>
          <w:b/>
          <w:bCs/>
          <w:color w:val="auto"/>
          <w:sz w:val="21"/>
          <w:szCs w:val="21"/>
          <w:highlight w:val="none"/>
          <w:lang w:val="en-US" w:eastAsia="zh-CN"/>
        </w:rPr>
        <w:t>20.5其他事项</w:t>
      </w:r>
      <w:bookmarkStart w:id="744" w:name="_Toc351203652"/>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施工过程中，如检查发现有严重违反施工规范规定的工程质量问题，甲方可以随时终止与乙方的合同。</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附件</w:t>
      </w:r>
      <w:bookmarkEnd w:id="744"/>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协议书附件：</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附件1：承包人承揽工程项目一览表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专用合同条款附件：</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附件2：发包人供应材料设备一览表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附件3：工程质量保修书</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附件4：主要建设工程文件目录</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附件5：承包人用于本工程施工的机械设备表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附件6：承包人主要施工管理人员表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附件7：分包人主要施工管理人员表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附件8：履约担保格式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附件9：预付款担保格式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附件10：支付担保格式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sectPr>
          <w:footerReference r:id="rId6" w:type="first"/>
          <w:footerReference r:id="rId5" w:type="default"/>
          <w:pgSz w:w="11906" w:h="16838"/>
          <w:pgMar w:top="1418" w:right="1555" w:bottom="1418" w:left="1531" w:header="851" w:footer="992" w:gutter="0"/>
          <w:pgNumType w:fmt="decimal"/>
          <w:cols w:space="720" w:num="1"/>
          <w:titlePg/>
          <w:docGrid w:type="lines" w:linePitch="312" w:charSpace="0"/>
        </w:sectPr>
      </w:pPr>
      <w:r>
        <w:rPr>
          <w:rFonts w:hint="eastAsia" w:ascii="仿宋_GB2312" w:hAnsi="仿宋_GB2312" w:eastAsia="仿宋_GB2312" w:cs="仿宋_GB2312"/>
          <w:color w:val="auto"/>
          <w:sz w:val="21"/>
          <w:szCs w:val="21"/>
          <w:highlight w:val="none"/>
        </w:rPr>
        <w:t>附件11：暂估价一览表</w:t>
      </w:r>
    </w:p>
    <w:p>
      <w:pPr>
        <w:bidi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附</w:t>
      </w:r>
      <w:bookmarkStart w:id="745" w:name="_Toc296347225"/>
      <w:bookmarkStart w:id="746" w:name="_Toc296891266"/>
      <w:bookmarkStart w:id="747" w:name="_Toc296891054"/>
      <w:bookmarkStart w:id="748" w:name="_Toc296503226"/>
      <w:bookmarkStart w:id="749" w:name="_Toc296346727"/>
      <w:bookmarkStart w:id="750" w:name="_Toc296944565"/>
      <w:bookmarkStart w:id="751" w:name="_Toc267261693"/>
      <w:r>
        <w:rPr>
          <w:rFonts w:hint="eastAsia" w:ascii="仿宋_GB2312" w:hAnsi="仿宋_GB2312" w:eastAsia="仿宋_GB2312" w:cs="仿宋_GB2312"/>
          <w:color w:val="auto"/>
          <w:sz w:val="21"/>
          <w:szCs w:val="21"/>
          <w:highlight w:val="none"/>
        </w:rPr>
        <w:t>件3：</w:t>
      </w:r>
      <w:bookmarkEnd w:id="745"/>
      <w:bookmarkEnd w:id="746"/>
      <w:bookmarkEnd w:id="747"/>
      <w:bookmarkEnd w:id="748"/>
      <w:bookmarkEnd w:id="749"/>
      <w:bookmarkEnd w:id="750"/>
      <w:bookmarkEnd w:id="751"/>
      <w:r>
        <w:rPr>
          <w:rFonts w:hint="eastAsia" w:ascii="仿宋_GB2312" w:hAnsi="仿宋_GB2312" w:eastAsia="仿宋_GB2312" w:cs="仿宋_GB2312"/>
          <w:color w:val="auto"/>
          <w:sz w:val="21"/>
          <w:szCs w:val="21"/>
          <w:highlight w:val="none"/>
        </w:rPr>
        <w:t xml:space="preserve">    </w:t>
      </w:r>
    </w:p>
    <w:p>
      <w:pPr>
        <w:bidi w:val="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工程质量保修书</w:t>
      </w:r>
    </w:p>
    <w:p>
      <w:pPr>
        <w:bidi w:val="0"/>
        <w:ind w:firstLine="420" w:firstLineChars="200"/>
        <w:rPr>
          <w:rFonts w:hint="eastAsia" w:ascii="仿宋_GB2312" w:hAnsi="仿宋_GB2312" w:eastAsia="仿宋_GB2312" w:cs="仿宋_GB2312"/>
          <w:color w:val="auto"/>
          <w:sz w:val="21"/>
          <w:szCs w:val="21"/>
          <w:highlight w:val="none"/>
          <w:u w:val="single"/>
        </w:rPr>
      </w:pPr>
      <w:r>
        <w:rPr>
          <w:rFonts w:hint="eastAsia" w:ascii="仿宋_GB2312" w:hAnsi="仿宋_GB2312" w:eastAsia="仿宋_GB2312" w:cs="仿宋_GB2312"/>
          <w:color w:val="auto"/>
          <w:sz w:val="21"/>
          <w:szCs w:val="21"/>
          <w:highlight w:val="none"/>
        </w:rPr>
        <w:t xml:space="preserve">发包人（全称）：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p>
    <w:p>
      <w:pPr>
        <w:bidi w:val="0"/>
        <w:rPr>
          <w:rFonts w:hint="eastAsia" w:ascii="仿宋_GB2312" w:hAnsi="仿宋_GB2312" w:eastAsia="仿宋_GB2312" w:cs="仿宋_GB2312"/>
          <w:color w:val="auto"/>
          <w:sz w:val="21"/>
          <w:szCs w:val="21"/>
          <w:highlight w:val="none"/>
          <w:u w:val="single"/>
        </w:rPr>
      </w:pPr>
      <w:r>
        <w:rPr>
          <w:rFonts w:hint="eastAsia" w:ascii="仿宋_GB2312" w:hAnsi="仿宋_GB2312" w:eastAsia="仿宋_GB2312" w:cs="仿宋_GB2312"/>
          <w:color w:val="auto"/>
          <w:sz w:val="21"/>
          <w:szCs w:val="21"/>
          <w:highlight w:val="none"/>
        </w:rPr>
        <w:t>　　承包人（全称）：</w:t>
      </w:r>
      <w:r>
        <w:rPr>
          <w:rFonts w:hint="eastAsia" w:ascii="仿宋_GB2312" w:hAnsi="仿宋_GB2312" w:eastAsia="仿宋_GB2312" w:cs="仿宋_GB2312"/>
          <w:color w:val="auto"/>
          <w:sz w:val="21"/>
          <w:szCs w:val="21"/>
          <w:highlight w:val="none"/>
          <w:u w:val="single"/>
        </w:rPr>
        <w:t xml:space="preserve">                             </w:t>
      </w:r>
    </w:p>
    <w:p>
      <w:pPr>
        <w:bidi w:val="0"/>
        <w:rPr>
          <w:rFonts w:hint="eastAsia" w:ascii="仿宋_GB2312" w:hAnsi="仿宋_GB2312" w:eastAsia="仿宋_GB2312" w:cs="仿宋_GB2312"/>
          <w:color w:val="auto"/>
          <w:sz w:val="21"/>
          <w:szCs w:val="21"/>
          <w:highlight w:val="none"/>
        </w:rPr>
      </w:pPr>
    </w:p>
    <w:p>
      <w:pPr>
        <w:bidi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　　发包人和承包人根据《中华人民共和国建筑法》和《建设工程质量管理条例》，经协商一致就</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rPr>
        <w:t>工程全称）签订工程质量保修书。</w:t>
      </w:r>
    </w:p>
    <w:p>
      <w:pPr>
        <w:bidi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　　</w:t>
      </w:r>
      <w:r>
        <w:rPr>
          <w:rFonts w:hint="eastAsia" w:ascii="仿宋_GB2312" w:hAnsi="仿宋_GB2312" w:eastAsia="仿宋_GB2312" w:cs="仿宋_GB2312"/>
          <w:b/>
          <w:bCs/>
          <w:color w:val="auto"/>
          <w:sz w:val="21"/>
          <w:szCs w:val="21"/>
          <w:highlight w:val="none"/>
        </w:rPr>
        <w:t>一、工程质量保修范围和内容</w:t>
      </w:r>
    </w:p>
    <w:p>
      <w:pPr>
        <w:bidi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　　承包人在质量保修期内，按照有关法律规定和合同约定，承担工程质量保修责任。</w:t>
      </w:r>
    </w:p>
    <w:p>
      <w:pPr>
        <w:bidi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　　质量保修范围包括地基基础工程、主体结构工程，屋面防水工程、有防水要求的卫生间、房间和外墙面的防渗漏，供热与供冷系统，电气管线、给排水管道、设备安装和装修工程，以及双方约定的其他项目。</w:t>
      </w:r>
    </w:p>
    <w:p>
      <w:pPr>
        <w:bidi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　　</w:t>
      </w:r>
      <w:r>
        <w:rPr>
          <w:rFonts w:hint="eastAsia" w:ascii="仿宋_GB2312" w:hAnsi="仿宋_GB2312" w:eastAsia="仿宋_GB2312" w:cs="仿宋_GB2312"/>
          <w:b/>
          <w:bCs/>
          <w:color w:val="auto"/>
          <w:sz w:val="21"/>
          <w:szCs w:val="21"/>
          <w:highlight w:val="none"/>
        </w:rPr>
        <w:t>二、质量保修期</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根据《建设工程质量管理条例》及有关规定，工程的质量保修期如下：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1．地基基础工程和主体结构工程为设计文件规定的工程合理使用年限；</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2．屋面防水工程、有防水要求的卫生间、房间和外墙面的防渗为</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3．装修工程为</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4．电气管线、给排水管道、设备安装工程为</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5．供热与供冷系统为</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个采暖期、供冷期；</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6．住宅小区内的给排水设施、道路等配套工程为</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7．其他项目保修期限约定如下：</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bidi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　　质量保修期自工程竣工验收合格之日起计算。</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三、缺陷责任期</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工程缺陷责任期为</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个月，缺陷责任期自工程通过竣工验收之日起计算。单位工程先于全部工程进行验收，单位工程缺陷责任期自单位工程验收合格之日起算。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缺陷责任期终止后，发包人应退还剩余的质量保证金。</w:t>
      </w:r>
    </w:p>
    <w:p>
      <w:pPr>
        <w:bidi w:val="0"/>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color w:val="auto"/>
          <w:sz w:val="21"/>
          <w:szCs w:val="21"/>
          <w:highlight w:val="none"/>
        </w:rPr>
        <w:t xml:space="preserve">   </w:t>
      </w:r>
      <w:r>
        <w:rPr>
          <w:rFonts w:hint="eastAsia" w:ascii="仿宋_GB2312" w:hAnsi="仿宋_GB2312" w:eastAsia="仿宋_GB2312" w:cs="仿宋_GB2312"/>
          <w:b/>
          <w:bCs/>
          <w:color w:val="auto"/>
          <w:sz w:val="21"/>
          <w:szCs w:val="21"/>
          <w:highlight w:val="none"/>
        </w:rPr>
        <w:t xml:space="preserve"> 四、质量保修责任</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1．属于保修范围、内容的项目，承包人应当在接到保修通知之日起7天内派人保修。承包人不在约定期限内派人保修的，发包人可以委托他人修理。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2．发生紧急事故需抢修的，承包人在接到事故通知后，应当立即到达事故现场抢修。</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4．质量保修完成后，由发包人组织验收。</w:t>
      </w:r>
    </w:p>
    <w:p>
      <w:pPr>
        <w:bidi w:val="0"/>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color w:val="auto"/>
          <w:sz w:val="21"/>
          <w:szCs w:val="21"/>
          <w:highlight w:val="none"/>
        </w:rPr>
        <w:t>　　</w:t>
      </w:r>
      <w:r>
        <w:rPr>
          <w:rFonts w:hint="eastAsia" w:ascii="仿宋_GB2312" w:hAnsi="仿宋_GB2312" w:eastAsia="仿宋_GB2312" w:cs="仿宋_GB2312"/>
          <w:b/>
          <w:bCs/>
          <w:color w:val="auto"/>
          <w:sz w:val="21"/>
          <w:szCs w:val="21"/>
          <w:highlight w:val="none"/>
        </w:rPr>
        <w:t>五、保修费用</w:t>
      </w:r>
    </w:p>
    <w:p>
      <w:pPr>
        <w:bidi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　　保修费用由造成质量缺陷的责任方承担。</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六、双方约定的其他工程质量保修事项</w:t>
      </w:r>
      <w:r>
        <w:rPr>
          <w:rFonts w:hint="eastAsia" w:ascii="仿宋_GB2312" w:hAnsi="仿宋_GB2312" w:eastAsia="仿宋_GB2312" w:cs="仿宋_GB2312"/>
          <w:b/>
          <w:bCs/>
          <w:color w:val="auto"/>
          <w:sz w:val="21"/>
          <w:szCs w:val="21"/>
          <w:highlight w:val="none"/>
          <w:u w:val="single"/>
        </w:rPr>
        <w:t>：</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工程质量保修书由发包人、承包人在工程竣工验收前共同签署，作为施工合同附件，其有效期限至保修期满。</w:t>
      </w:r>
    </w:p>
    <w:p>
      <w:pPr>
        <w:bidi w:val="0"/>
        <w:rPr>
          <w:rFonts w:hint="eastAsia" w:ascii="仿宋_GB2312" w:hAnsi="仿宋_GB2312" w:eastAsia="仿宋_GB2312" w:cs="仿宋_GB2312"/>
          <w:color w:val="auto"/>
          <w:sz w:val="21"/>
          <w:szCs w:val="21"/>
          <w:highlight w:val="none"/>
        </w:rPr>
      </w:pPr>
    </w:p>
    <w:p>
      <w:pPr>
        <w:bidi w:val="0"/>
        <w:rPr>
          <w:rFonts w:hint="eastAsia" w:ascii="仿宋_GB2312" w:hAnsi="仿宋_GB2312" w:eastAsia="仿宋_GB2312" w:cs="仿宋_GB2312"/>
          <w:color w:val="auto"/>
          <w:sz w:val="21"/>
          <w:szCs w:val="21"/>
          <w:highlight w:val="none"/>
          <w:u w:val="single"/>
        </w:rPr>
      </w:pPr>
      <w:r>
        <w:rPr>
          <w:rFonts w:hint="eastAsia" w:ascii="仿宋_GB2312" w:hAnsi="仿宋_GB2312" w:eastAsia="仿宋_GB2312" w:cs="仿宋_GB2312"/>
          <w:color w:val="auto"/>
          <w:sz w:val="21"/>
          <w:szCs w:val="21"/>
          <w:highlight w:val="none"/>
        </w:rPr>
        <w:t>发包人(公章)：</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 xml:space="preserve"> </w:t>
      </w:r>
      <w:r>
        <w:rPr>
          <w:rFonts w:hint="eastAsia" w:ascii="仿宋_GB2312" w:hAnsi="仿宋_GB2312" w:eastAsia="仿宋_GB2312" w:cs="仿宋_GB2312"/>
          <w:color w:val="auto"/>
          <w:sz w:val="21"/>
          <w:szCs w:val="21"/>
          <w:highlight w:val="none"/>
          <w:lang w:val="en-US" w:eastAsia="zh-CN"/>
        </w:rPr>
        <w:t xml:space="preserve">   </w:t>
      </w:r>
      <w:r>
        <w:rPr>
          <w:rFonts w:hint="eastAsia" w:ascii="仿宋_GB2312" w:hAnsi="仿宋_GB2312" w:eastAsia="仿宋_GB2312" w:cs="仿宋_GB2312"/>
          <w:color w:val="auto"/>
          <w:sz w:val="21"/>
          <w:szCs w:val="21"/>
          <w:highlight w:val="none"/>
        </w:rPr>
        <w:t>承包人(公章)：</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p>
    <w:p>
      <w:pPr>
        <w:bidi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地  址：</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 xml:space="preserve"> </w:t>
      </w:r>
      <w:r>
        <w:rPr>
          <w:rFonts w:hint="eastAsia" w:ascii="仿宋_GB2312" w:hAnsi="仿宋_GB2312" w:eastAsia="仿宋_GB2312" w:cs="仿宋_GB2312"/>
          <w:color w:val="auto"/>
          <w:sz w:val="21"/>
          <w:szCs w:val="21"/>
          <w:highlight w:val="none"/>
          <w:lang w:val="en-US" w:eastAsia="zh-CN"/>
        </w:rPr>
        <w:t xml:space="preserve">   </w:t>
      </w:r>
      <w:r>
        <w:rPr>
          <w:rFonts w:hint="eastAsia" w:ascii="仿宋_GB2312" w:hAnsi="仿宋_GB2312" w:eastAsia="仿宋_GB2312" w:cs="仿宋_GB2312"/>
          <w:color w:val="auto"/>
          <w:sz w:val="21"/>
          <w:szCs w:val="21"/>
          <w:highlight w:val="none"/>
        </w:rPr>
        <w:t>地  址：</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 xml:space="preserve"> </w:t>
      </w:r>
    </w:p>
    <w:p>
      <w:pPr>
        <w:bidi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法定代表人(签字)</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 xml:space="preserve"> </w:t>
      </w:r>
      <w:r>
        <w:rPr>
          <w:rFonts w:hint="eastAsia" w:ascii="仿宋_GB2312" w:hAnsi="仿宋_GB2312" w:eastAsia="仿宋_GB2312" w:cs="仿宋_GB2312"/>
          <w:color w:val="auto"/>
          <w:sz w:val="21"/>
          <w:szCs w:val="21"/>
          <w:highlight w:val="none"/>
          <w:lang w:val="en-US" w:eastAsia="zh-CN"/>
        </w:rPr>
        <w:t xml:space="preserve">  </w:t>
      </w:r>
      <w:r>
        <w:rPr>
          <w:rFonts w:hint="eastAsia" w:ascii="仿宋_GB2312" w:hAnsi="仿宋_GB2312" w:eastAsia="仿宋_GB2312" w:cs="仿宋_GB2312"/>
          <w:color w:val="auto"/>
          <w:sz w:val="21"/>
          <w:szCs w:val="21"/>
          <w:highlight w:val="none"/>
        </w:rPr>
        <w:t>法定代表人(签字)：</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 xml:space="preserve">  </w:t>
      </w:r>
    </w:p>
    <w:p>
      <w:pPr>
        <w:bidi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委托代理人(签字)</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 xml:space="preserve">   </w:t>
      </w:r>
      <w:r>
        <w:rPr>
          <w:rFonts w:hint="eastAsia" w:ascii="仿宋_GB2312" w:hAnsi="仿宋_GB2312" w:eastAsia="仿宋_GB2312" w:cs="仿宋_GB2312"/>
          <w:color w:val="auto"/>
          <w:sz w:val="21"/>
          <w:szCs w:val="21"/>
          <w:highlight w:val="none"/>
          <w:lang w:val="en-US" w:eastAsia="zh-CN"/>
        </w:rPr>
        <w:t xml:space="preserve">  </w:t>
      </w:r>
      <w:r>
        <w:rPr>
          <w:rFonts w:hint="eastAsia" w:ascii="仿宋_GB2312" w:hAnsi="仿宋_GB2312" w:eastAsia="仿宋_GB2312" w:cs="仿宋_GB2312"/>
          <w:color w:val="auto"/>
          <w:sz w:val="21"/>
          <w:szCs w:val="21"/>
          <w:highlight w:val="none"/>
        </w:rPr>
        <w:t>委托代理人(签字)：</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p>
    <w:p>
      <w:pPr>
        <w:bidi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电  话：</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 xml:space="preserve">   </w:t>
      </w:r>
      <w:r>
        <w:rPr>
          <w:rFonts w:hint="eastAsia" w:ascii="仿宋_GB2312" w:hAnsi="仿宋_GB2312" w:eastAsia="仿宋_GB2312" w:cs="仿宋_GB2312"/>
          <w:color w:val="auto"/>
          <w:sz w:val="21"/>
          <w:szCs w:val="21"/>
          <w:highlight w:val="none"/>
          <w:lang w:val="en-US" w:eastAsia="zh-CN"/>
        </w:rPr>
        <w:t xml:space="preserve">  </w:t>
      </w:r>
      <w:r>
        <w:rPr>
          <w:rFonts w:hint="eastAsia" w:ascii="仿宋_GB2312" w:hAnsi="仿宋_GB2312" w:eastAsia="仿宋_GB2312" w:cs="仿宋_GB2312"/>
          <w:color w:val="auto"/>
          <w:sz w:val="21"/>
          <w:szCs w:val="21"/>
          <w:highlight w:val="none"/>
        </w:rPr>
        <w:t>电  话：</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 xml:space="preserve">    </w:t>
      </w:r>
    </w:p>
    <w:p>
      <w:pPr>
        <w:bidi w:val="0"/>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rPr>
        <w:t>传  真：</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 xml:space="preserve"> </w:t>
      </w:r>
      <w:r>
        <w:rPr>
          <w:rFonts w:hint="eastAsia" w:ascii="仿宋_GB2312" w:hAnsi="仿宋_GB2312" w:eastAsia="仿宋_GB2312" w:cs="仿宋_GB2312"/>
          <w:color w:val="auto"/>
          <w:sz w:val="21"/>
          <w:szCs w:val="21"/>
          <w:highlight w:val="none"/>
          <w:lang w:val="en-US" w:eastAsia="zh-CN"/>
        </w:rPr>
        <w:t xml:space="preserve">    </w:t>
      </w:r>
      <w:r>
        <w:rPr>
          <w:rFonts w:hint="eastAsia" w:ascii="仿宋_GB2312" w:hAnsi="仿宋_GB2312" w:eastAsia="仿宋_GB2312" w:cs="仿宋_GB2312"/>
          <w:color w:val="auto"/>
          <w:sz w:val="21"/>
          <w:szCs w:val="21"/>
          <w:highlight w:val="none"/>
        </w:rPr>
        <w:t>传  真：</w:t>
      </w:r>
      <w:r>
        <w:rPr>
          <w:rFonts w:hint="eastAsia" w:ascii="仿宋_GB2312" w:hAnsi="仿宋_GB2312" w:eastAsia="仿宋_GB2312" w:cs="仿宋_GB2312"/>
          <w:color w:val="auto"/>
          <w:sz w:val="21"/>
          <w:szCs w:val="21"/>
          <w:highlight w:val="none"/>
          <w:u w:val="single"/>
          <w:lang w:val="en-US" w:eastAsia="zh-CN"/>
        </w:rPr>
        <w:t xml:space="preserve">                            </w:t>
      </w:r>
    </w:p>
    <w:p>
      <w:pPr>
        <w:bidi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开户银行：</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 xml:space="preserve"> </w:t>
      </w:r>
      <w:r>
        <w:rPr>
          <w:rFonts w:hint="eastAsia" w:ascii="仿宋_GB2312" w:hAnsi="仿宋_GB2312" w:eastAsia="仿宋_GB2312" w:cs="仿宋_GB2312"/>
          <w:color w:val="auto"/>
          <w:sz w:val="21"/>
          <w:szCs w:val="21"/>
          <w:highlight w:val="none"/>
          <w:lang w:val="en-US" w:eastAsia="zh-CN"/>
        </w:rPr>
        <w:t xml:space="preserve">    </w:t>
      </w:r>
      <w:r>
        <w:rPr>
          <w:rFonts w:hint="eastAsia" w:ascii="仿宋_GB2312" w:hAnsi="仿宋_GB2312" w:eastAsia="仿宋_GB2312" w:cs="仿宋_GB2312"/>
          <w:color w:val="auto"/>
          <w:sz w:val="21"/>
          <w:szCs w:val="21"/>
          <w:highlight w:val="none"/>
        </w:rPr>
        <w:t>开户银行</w:t>
      </w: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 xml:space="preserve">   </w:t>
      </w:r>
    </w:p>
    <w:p>
      <w:pPr>
        <w:bidi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账  号：</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 xml:space="preserve"> </w:t>
      </w:r>
      <w:r>
        <w:rPr>
          <w:rFonts w:hint="eastAsia" w:ascii="仿宋_GB2312" w:hAnsi="仿宋_GB2312" w:eastAsia="仿宋_GB2312" w:cs="仿宋_GB2312"/>
          <w:color w:val="auto"/>
          <w:sz w:val="21"/>
          <w:szCs w:val="21"/>
          <w:highlight w:val="none"/>
          <w:lang w:val="en-US" w:eastAsia="zh-CN"/>
        </w:rPr>
        <w:t xml:space="preserve">    </w:t>
      </w:r>
      <w:r>
        <w:rPr>
          <w:rFonts w:hint="eastAsia" w:ascii="仿宋_GB2312" w:hAnsi="仿宋_GB2312" w:eastAsia="仿宋_GB2312" w:cs="仿宋_GB2312"/>
          <w:color w:val="auto"/>
          <w:sz w:val="21"/>
          <w:szCs w:val="21"/>
          <w:highlight w:val="none"/>
        </w:rPr>
        <w:t>账  号：</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rPr>
        <w:t xml:space="preserve">   </w:t>
      </w:r>
    </w:p>
    <w:p>
      <w:pPr>
        <w:spacing w:line="360" w:lineRule="auto"/>
        <w:rPr>
          <w:rFonts w:hint="default" w:ascii="Times New Roman" w:hAnsi="Times New Roman" w:eastAsia="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rPr>
        <w:t>邮政编码：</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 xml:space="preserve">  </w:t>
      </w:r>
      <w:r>
        <w:rPr>
          <w:rFonts w:hint="eastAsia" w:ascii="仿宋_GB2312" w:hAnsi="仿宋_GB2312" w:eastAsia="仿宋_GB2312" w:cs="仿宋_GB2312"/>
          <w:color w:val="auto"/>
          <w:sz w:val="21"/>
          <w:szCs w:val="21"/>
          <w:highlight w:val="none"/>
          <w:lang w:val="en-US" w:eastAsia="zh-CN"/>
        </w:rPr>
        <w:t xml:space="preserve">   </w:t>
      </w:r>
      <w:r>
        <w:rPr>
          <w:rFonts w:hint="eastAsia" w:ascii="仿宋_GB2312" w:hAnsi="仿宋_GB2312" w:eastAsia="仿宋_GB2312" w:cs="仿宋_GB2312"/>
          <w:color w:val="auto"/>
          <w:sz w:val="21"/>
          <w:szCs w:val="21"/>
          <w:highlight w:val="none"/>
        </w:rPr>
        <w:t>邮政编码：</w:t>
      </w:r>
      <w:r>
        <w:rPr>
          <w:rFonts w:hint="eastAsia" w:ascii="仿宋_GB2312" w:hAnsi="仿宋_GB2312" w:eastAsia="仿宋_GB2312" w:cs="仿宋_GB2312"/>
          <w:color w:val="auto"/>
          <w:sz w:val="21"/>
          <w:szCs w:val="21"/>
          <w:highlight w:val="none"/>
          <w:u w:val="single"/>
          <w:lang w:val="en-US" w:eastAsia="zh-CN"/>
        </w:rPr>
        <w:t xml:space="preserve">                          </w:t>
      </w:r>
    </w:p>
    <w:p>
      <w:pPr>
        <w:wordWrap/>
        <w:adjustRightInd w:val="0"/>
        <w:snapToGrid w:val="0"/>
        <w:spacing w:line="360" w:lineRule="auto"/>
        <w:jc w:val="both"/>
        <w:rPr>
          <w:rFonts w:hint="eastAsia" w:ascii="仿宋_GB2312" w:hAnsi="仿宋_GB2312" w:eastAsia="仿宋_GB2312" w:cs="仿宋_GB2312"/>
          <w:b/>
          <w:bCs/>
          <w:color w:val="auto"/>
          <w:sz w:val="21"/>
          <w:szCs w:val="21"/>
          <w:highlight w:val="none"/>
          <w:lang w:eastAsia="zh-CN"/>
        </w:rPr>
      </w:pPr>
    </w:p>
    <w:p>
      <w:pPr>
        <w:wordWrap/>
        <w:adjustRightInd w:val="0"/>
        <w:snapToGrid w:val="0"/>
        <w:spacing w:line="360" w:lineRule="auto"/>
        <w:jc w:val="both"/>
        <w:rPr>
          <w:rFonts w:hint="eastAsia" w:ascii="仿宋_GB2312" w:hAnsi="仿宋_GB2312" w:eastAsia="仿宋_GB2312" w:cs="仿宋_GB2312"/>
          <w:b/>
          <w:bCs/>
          <w:color w:val="auto"/>
          <w:sz w:val="21"/>
          <w:szCs w:val="21"/>
          <w:highlight w:val="none"/>
          <w:lang w:eastAsia="zh-CN"/>
        </w:rPr>
      </w:pPr>
    </w:p>
    <w:p>
      <w:pPr>
        <w:wordWrap/>
        <w:adjustRightInd w:val="0"/>
        <w:snapToGrid w:val="0"/>
        <w:spacing w:line="360" w:lineRule="auto"/>
        <w:jc w:val="both"/>
        <w:rPr>
          <w:rFonts w:hint="eastAsia" w:ascii="仿宋_GB2312" w:hAnsi="仿宋_GB2312" w:eastAsia="仿宋_GB2312" w:cs="仿宋_GB2312"/>
          <w:b/>
          <w:bCs/>
          <w:color w:val="auto"/>
          <w:sz w:val="21"/>
          <w:szCs w:val="21"/>
          <w:highlight w:val="none"/>
          <w:lang w:eastAsia="zh-CN"/>
        </w:rPr>
      </w:pPr>
      <w:r>
        <w:rPr>
          <w:rFonts w:hint="eastAsia" w:ascii="仿宋_GB2312" w:hAnsi="仿宋_GB2312" w:eastAsia="仿宋_GB2312" w:cs="仿宋_GB2312"/>
          <w:b/>
          <w:bCs/>
          <w:color w:val="auto"/>
          <w:sz w:val="21"/>
          <w:szCs w:val="21"/>
          <w:highlight w:val="none"/>
          <w:lang w:eastAsia="zh-CN"/>
        </w:rPr>
        <w:t>注：以上合同条款及格式仅供参考，具体以供需双方实际签订为准。</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仿宋" w:hAnsi="仿宋" w:eastAsia="仿宋" w:cs="仿宋"/>
          <w:color w:val="auto"/>
          <w:sz w:val="21"/>
          <w:szCs w:val="21"/>
          <w:highlight w:val="none"/>
          <w:u w:val="none"/>
          <w:lang w:val="en-US" w:eastAsia="zh-CN"/>
        </w:rPr>
      </w:pPr>
    </w:p>
    <w:sectPr>
      <w:headerReference r:id="rId7" w:type="default"/>
      <w:footerReference r:id="rId8"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98A606F-1F44-4D38-A89A-401D88D8BC1C}"/>
  </w:font>
  <w:font w:name="黑体">
    <w:panose1 w:val="02010609060101010101"/>
    <w:charset w:val="86"/>
    <w:family w:val="auto"/>
    <w:pitch w:val="default"/>
    <w:sig w:usb0="800002BF" w:usb1="38CF7CFA" w:usb2="00000016" w:usb3="00000000" w:csb0="00040001" w:csb1="00000000"/>
    <w:embedRegular r:id="rId2" w:fontKey="{84FD9BC7-8226-4F23-A10D-51C57545BA3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embedRegular r:id="rId3" w:fontKey="{1D4E9B18-E30F-4DF4-BC30-121F9329D73B}"/>
  </w:font>
  <w:font w:name="monospace">
    <w:altName w:val="Segoe Print"/>
    <w:panose1 w:val="00000000000000000000"/>
    <w:charset w:val="00"/>
    <w:family w:val="auto"/>
    <w:pitch w:val="default"/>
    <w:sig w:usb0="00000000" w:usb1="00000000" w:usb2="00000000" w:usb3="00000000" w:csb0="00040001"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4" w:fontKey="{6896CBE7-FD53-4D6F-AA38-A9EBEAE41142}"/>
  </w:font>
  <w:font w:name="Wingdings 2">
    <w:altName w:val="Wingdings"/>
    <w:panose1 w:val="05020102010507070707"/>
    <w:charset w:val="02"/>
    <w:family w:val="auto"/>
    <w:pitch w:val="default"/>
    <w:sig w:usb0="00000000" w:usb1="00000000" w:usb2="00000000" w:usb3="00000000" w:csb0="80000000" w:csb1="00000000"/>
    <w:embedRegular r:id="rId5" w:fontKey="{AC2DCAE9-03B4-48BB-A932-BDE7D26A47D6}"/>
  </w:font>
  <w:font w:name="仿宋_GB2312">
    <w:panose1 w:val="02010609030101010101"/>
    <w:charset w:val="86"/>
    <w:family w:val="modern"/>
    <w:pitch w:val="default"/>
    <w:sig w:usb0="00000001" w:usb1="080E0000" w:usb2="00000000" w:usb3="00000000" w:csb0="00040000" w:csb1="00000000"/>
    <w:embedRegular r:id="rId6" w:fontKey="{829BF451-9014-44C5-B33C-89F7765200A0}"/>
  </w:font>
  <w:font w:name="华文中宋">
    <w:panose1 w:val="02010600040101010101"/>
    <w:charset w:val="86"/>
    <w:family w:val="auto"/>
    <w:pitch w:val="default"/>
    <w:sig w:usb0="00000287" w:usb1="080F0000" w:usb2="00000000" w:usb3="00000000" w:csb0="0004009F" w:csb1="DFD70000"/>
    <w:embedRegular r:id="rId7" w:fontKey="{D407787F-CF83-4424-A0A3-24B692FEFCA9}"/>
  </w:font>
  <w:font w:name="方正小标宋简体">
    <w:panose1 w:val="02000000000000000000"/>
    <w:charset w:val="86"/>
    <w:family w:val="script"/>
    <w:pitch w:val="default"/>
    <w:sig w:usb0="00000001" w:usb1="08000000" w:usb2="00000000" w:usb3="00000000" w:csb0="00040000" w:csb1="00000000"/>
    <w:embedRegular r:id="rId8" w:fontKey="{446ADDCD-5311-46A0-98EB-3E704F7C704B}"/>
  </w:font>
  <w:font w:name="楷体_GB2312">
    <w:panose1 w:val="02010609030101010101"/>
    <w:charset w:val="86"/>
    <w:family w:val="modern"/>
    <w:pitch w:val="default"/>
    <w:sig w:usb0="00000001" w:usb1="080E0000" w:usb2="00000000" w:usb3="00000000" w:csb0="00040000" w:csb1="00000000"/>
    <w:embedRegular r:id="rId9" w:fontKey="{F905A061-37D1-41CF-B166-448D4FEA3935}"/>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pPr>
                          <w:r>
                            <w:fldChar w:fldCharType="begin"/>
                          </w:r>
                          <w:r>
                            <w:instrText xml:space="preserve"> PAGE  \* MERGEFORMAT </w:instrText>
                          </w:r>
                          <w:r>
                            <w:fldChar w:fldCharType="separate"/>
                          </w:r>
                          <w:r>
                            <w:t>3</w:t>
                          </w:r>
                          <w:r>
                            <w:fldChar w:fldCharType="end"/>
                          </w:r>
                        </w:p>
                      </w:txbxContent>
                    </wps:txbx>
                    <wps:bodyPr wrap="none" lIns="0" tIns="0" rIns="0" bIns="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yjCuckBAACaAwAADgAAAGRycy9lMm9Eb2MueG1srVPNjtMwEL4j8Q6W&#10;79Rph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nKMK5yQEAAJoDAAAOAAAAAAAAAAEAIAAAAB4BAABkcnMvZTJvRG9j&#10;LnhtbFBLBQYAAAAABgAGAFkBAABZBQAAAAA=&#10;">
              <v:fill on="f" focussize="0,0"/>
              <v:stroke on="f"/>
              <v:imagedata o:title=""/>
              <o:lock v:ext="edit" aspectratio="f"/>
              <v:textbox inset="0mm,0mm,0mm,0mm" style="mso-fit-shape-to-text:t;">
                <w:txbxContent>
                  <w:p>
                    <w:pPr>
                      <w:pStyle w:val="19"/>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pPr>
                          <w:r>
                            <w:fldChar w:fldCharType="begin"/>
                          </w:r>
                          <w:r>
                            <w:instrText xml:space="preserve"> PAGE  \* MERGEFORMAT </w:instrText>
                          </w:r>
                          <w:r>
                            <w:fldChar w:fldCharType="separate"/>
                          </w:r>
                          <w:r>
                            <w:t>3</w:t>
                          </w:r>
                          <w:r>
                            <w:fldChar w:fldCharType="end"/>
                          </w:r>
                        </w:p>
                      </w:txbxContent>
                    </wps:txbx>
                    <wps:bodyPr vert="horz" wrap="none" lIns="0" tIns="0" rIns="0" bIns="0" anchor="t" anchorCtr="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P9Qvk3gEAAL8DAAAOAAAAAAAA&#10;AAEAIAAAAB4BAABkcnMvZTJvRG9jLnhtbFBLBQYAAAAABgAGAFkBAABuBQAAAAA=&#10;">
              <v:fill on="f" focussize="0,0"/>
              <v:stroke on="f"/>
              <v:imagedata o:title=""/>
              <o:lock v:ext="edit" aspectratio="f"/>
              <v:textbox inset="0mm,0mm,0mm,0mm" style="mso-fit-shape-to-text:t;">
                <w:txbxContent>
                  <w:p>
                    <w:pPr>
                      <w:pStyle w:val="19"/>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ascii="Times New Roman" w:hAnsi="Times New Roman" w:eastAsia="仿宋_GB2312"/>
        <w:sz w:val="24"/>
      </w:rPr>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4"/>
      <w:widowControl w:val="0"/>
      <w:pBdr>
        <w:top w:val="none" w:color="auto" w:sz="0" w:space="1"/>
        <w:left w:val="none" w:color="auto" w:sz="0" w:space="4"/>
        <w:bottom w:val="none" w:color="auto" w:sz="0" w:space="1"/>
        <w:right w:val="none" w:color="auto" w:sz="0" w:space="4"/>
        <w:between w:val="none" w:color="auto" w:sz="0" w:space="0"/>
      </w:pBdr>
      <w:rPr>
        <w:rFonts w:hint="eastAsia" w:ascii="宋体" w:hAnsi="宋体" w:eastAsia="宋体" w:cs="宋体"/>
        <w:sz w:val="21"/>
        <w:szCs w:val="21"/>
        <w:lang w:eastAsia="zh-CN"/>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pPr>
                          <w:r>
                            <w:fldChar w:fldCharType="begin"/>
                          </w:r>
                          <w:r>
                            <w:instrText xml:space="preserve"> PAGE  \* MERGEFORMAT </w:instrText>
                          </w:r>
                          <w:r>
                            <w:fldChar w:fldCharType="separate"/>
                          </w:r>
                          <w:r>
                            <w:t>50</w:t>
                          </w:r>
                          <w:r>
                            <w:fldChar w:fldCharType="end"/>
                          </w:r>
                        </w:p>
                      </w:txbxContent>
                    </wps:txbx>
                    <wps:bodyPr vert="horz" wrap="none" lIns="0" tIns="0" rIns="0" bIns="0" anchor="t" anchorCtr="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XWh8r3gEAAL8DAAAOAAAAAAAA&#10;AAEAIAAAAB4BAABkcnMvZTJvRG9jLnhtbFBLBQYAAAAABgAGAFkBAABuBQAAAAA=&#10;">
              <v:fill on="f" focussize="0,0"/>
              <v:stroke on="f"/>
              <v:imagedata o:title=""/>
              <o:lock v:ext="edit" aspectratio="f"/>
              <v:textbox inset="0mm,0mm,0mm,0mm" style="mso-fit-shape-to-text:t;">
                <w:txbxContent>
                  <w:p>
                    <w:pPr>
                      <w:pStyle w:val="19"/>
                    </w:pPr>
                    <w:r>
                      <w:fldChar w:fldCharType="begin"/>
                    </w:r>
                    <w:r>
                      <w:instrText xml:space="preserve"> PAGE  \* MERGEFORMAT </w:instrText>
                    </w:r>
                    <w:r>
                      <w:fldChar w:fldCharType="separate"/>
                    </w:r>
                    <w:r>
                      <w:t>50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widowControl w:val="0"/>
      <w:pBdr>
        <w:top w:val="none" w:color="auto" w:sz="0" w:space="1"/>
        <w:left w:val="none" w:color="auto" w:sz="0" w:space="4"/>
        <w:bottom w:val="none" w:color="auto" w:sz="0" w:space="1"/>
        <w:right w:val="none" w:color="auto" w:sz="0" w:space="4"/>
        <w:between w:val="none" w:color="auto" w:sz="0" w:space="0"/>
      </w:pBdr>
      <w:snapToGrid w:val="0"/>
      <w:jc w:val="right"/>
      <w:rPr>
        <w:rFonts w:hint="eastAsia"/>
      </w:rPr>
    </w:pPr>
    <w:r>
      <w:rPr>
        <w:rFonts w:hint="eastAsia" w:ascii="宋体" w:hAnsi="宋体" w:eastAsia="宋体" w:cs="宋体"/>
        <w:kern w:val="0"/>
        <w:sz w:val="21"/>
        <w:szCs w:val="21"/>
      </w:rPr>
      <w:t xml:space="preserve"> </w:t>
    </w:r>
    <w:r>
      <w:rPr>
        <w:rFonts w:hint="eastAsia" w:ascii="仿宋_GB2312" w:hAnsi="宋体" w:eastAsia="仿宋_GB2312"/>
        <w:kern w:val="0"/>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982A8C"/>
    <w:multiLevelType w:val="singleLevel"/>
    <w:tmpl w:val="C4982A8C"/>
    <w:lvl w:ilvl="0" w:tentative="0">
      <w:start w:val="2"/>
      <w:numFmt w:val="decimal"/>
      <w:suff w:val="nothing"/>
      <w:lvlText w:val="%1、"/>
      <w:lvlJc w:val="left"/>
    </w:lvl>
  </w:abstractNum>
  <w:abstractNum w:abstractNumId="1">
    <w:nsid w:val="C53F5920"/>
    <w:multiLevelType w:val="singleLevel"/>
    <w:tmpl w:val="C53F5920"/>
    <w:lvl w:ilvl="0" w:tentative="0">
      <w:start w:val="2"/>
      <w:numFmt w:val="chineseCounting"/>
      <w:suff w:val="nothing"/>
      <w:lvlText w:val="（%1）"/>
      <w:lvlJc w:val="left"/>
      <w:rPr>
        <w:rFonts w:hint="eastAsia"/>
      </w:rPr>
    </w:lvl>
  </w:abstractNum>
  <w:abstractNum w:abstractNumId="2">
    <w:nsid w:val="F77C3188"/>
    <w:multiLevelType w:val="singleLevel"/>
    <w:tmpl w:val="F77C3188"/>
    <w:lvl w:ilvl="0" w:tentative="0">
      <w:start w:val="2"/>
      <w:numFmt w:val="decimal"/>
      <w:suff w:val="nothing"/>
      <w:lvlText w:val="%1、"/>
      <w:lvlJc w:val="left"/>
    </w:lvl>
  </w:abstractNum>
  <w:abstractNum w:abstractNumId="3">
    <w:nsid w:val="420C153B"/>
    <w:multiLevelType w:val="multilevel"/>
    <w:tmpl w:val="420C153B"/>
    <w:lvl w:ilvl="0" w:tentative="0">
      <w:start w:val="1"/>
      <w:numFmt w:val="decimal"/>
      <w:pStyle w:val="75"/>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rPr>
    </w:lvl>
    <w:lvl w:ilvl="2" w:tentative="0">
      <w:start w:val="1"/>
      <w:numFmt w:val="decimal"/>
      <w:lvlText w:val="%1.%2.%3."/>
      <w:lvlJc w:val="left"/>
      <w:pPr>
        <w:tabs>
          <w:tab w:val="left" w:pos="425"/>
        </w:tabs>
        <w:ind w:left="425" w:hanging="425"/>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
    <w:nsid w:val="7048FCB4"/>
    <w:multiLevelType w:val="singleLevel"/>
    <w:tmpl w:val="7048FCB4"/>
    <w:lvl w:ilvl="0" w:tentative="0">
      <w:start w:val="3"/>
      <w:numFmt w:val="chineseCounting"/>
      <w:suff w:val="space"/>
      <w:lvlText w:val="第%1章"/>
      <w:lvlJc w:val="left"/>
      <w:rPr>
        <w:rFonts w:hint="eastAsia"/>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documentProtection w:enforcement="0"/>
  <w:defaultTabStop w:val="420"/>
  <w:hyphenationZone w:val="360"/>
  <w:drawingGridVerticalSpacing w:val="159"/>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FkY2ZkMTJiYjlkODQyZTIxNzk5OTM1M2VlMDFlM2QifQ=="/>
  </w:docVars>
  <w:rsids>
    <w:rsidRoot w:val="35AB3B2B"/>
    <w:rsid w:val="000073CE"/>
    <w:rsid w:val="00010ACC"/>
    <w:rsid w:val="00011C8C"/>
    <w:rsid w:val="00011D0D"/>
    <w:rsid w:val="00020305"/>
    <w:rsid w:val="00020B39"/>
    <w:rsid w:val="0002450C"/>
    <w:rsid w:val="00030667"/>
    <w:rsid w:val="0003153D"/>
    <w:rsid w:val="00035830"/>
    <w:rsid w:val="000366EB"/>
    <w:rsid w:val="0003776A"/>
    <w:rsid w:val="000406B4"/>
    <w:rsid w:val="00040886"/>
    <w:rsid w:val="00040B5B"/>
    <w:rsid w:val="00051759"/>
    <w:rsid w:val="00057589"/>
    <w:rsid w:val="0006180B"/>
    <w:rsid w:val="00063352"/>
    <w:rsid w:val="0006626C"/>
    <w:rsid w:val="00083219"/>
    <w:rsid w:val="00087626"/>
    <w:rsid w:val="000922FC"/>
    <w:rsid w:val="00096194"/>
    <w:rsid w:val="000A3122"/>
    <w:rsid w:val="000B05A5"/>
    <w:rsid w:val="000B1E2F"/>
    <w:rsid w:val="000B69EC"/>
    <w:rsid w:val="000B78F5"/>
    <w:rsid w:val="000C28F9"/>
    <w:rsid w:val="000C66F6"/>
    <w:rsid w:val="000C6DD2"/>
    <w:rsid w:val="000C6F0E"/>
    <w:rsid w:val="000D1545"/>
    <w:rsid w:val="000D2960"/>
    <w:rsid w:val="000D2C1D"/>
    <w:rsid w:val="000E4BB4"/>
    <w:rsid w:val="000F17B2"/>
    <w:rsid w:val="000F4130"/>
    <w:rsid w:val="000F5868"/>
    <w:rsid w:val="00102355"/>
    <w:rsid w:val="00102985"/>
    <w:rsid w:val="00112309"/>
    <w:rsid w:val="0011667A"/>
    <w:rsid w:val="0011683B"/>
    <w:rsid w:val="00120A41"/>
    <w:rsid w:val="00122C13"/>
    <w:rsid w:val="0013083C"/>
    <w:rsid w:val="0013158F"/>
    <w:rsid w:val="00132068"/>
    <w:rsid w:val="0013776E"/>
    <w:rsid w:val="001474BB"/>
    <w:rsid w:val="0015390E"/>
    <w:rsid w:val="00154CCD"/>
    <w:rsid w:val="00167297"/>
    <w:rsid w:val="001675B8"/>
    <w:rsid w:val="001712A2"/>
    <w:rsid w:val="00185BFC"/>
    <w:rsid w:val="00185D8B"/>
    <w:rsid w:val="00187BB0"/>
    <w:rsid w:val="00191F4C"/>
    <w:rsid w:val="00193136"/>
    <w:rsid w:val="00194C9A"/>
    <w:rsid w:val="001B0330"/>
    <w:rsid w:val="001B2FBA"/>
    <w:rsid w:val="001B7FCB"/>
    <w:rsid w:val="001E2C1F"/>
    <w:rsid w:val="001E4670"/>
    <w:rsid w:val="001E776C"/>
    <w:rsid w:val="001F423E"/>
    <w:rsid w:val="001F567E"/>
    <w:rsid w:val="001F70A6"/>
    <w:rsid w:val="002005AF"/>
    <w:rsid w:val="00202A79"/>
    <w:rsid w:val="0020629B"/>
    <w:rsid w:val="0021042D"/>
    <w:rsid w:val="00213462"/>
    <w:rsid w:val="0021427F"/>
    <w:rsid w:val="002202F5"/>
    <w:rsid w:val="002440B1"/>
    <w:rsid w:val="00264193"/>
    <w:rsid w:val="002706E5"/>
    <w:rsid w:val="002742E6"/>
    <w:rsid w:val="002743E6"/>
    <w:rsid w:val="002908AE"/>
    <w:rsid w:val="00292036"/>
    <w:rsid w:val="002A41DE"/>
    <w:rsid w:val="002B03B5"/>
    <w:rsid w:val="002B08BA"/>
    <w:rsid w:val="002B1B03"/>
    <w:rsid w:val="002C582E"/>
    <w:rsid w:val="002C58D5"/>
    <w:rsid w:val="002D1C50"/>
    <w:rsid w:val="002F0866"/>
    <w:rsid w:val="002F5921"/>
    <w:rsid w:val="002F6CF7"/>
    <w:rsid w:val="003013EB"/>
    <w:rsid w:val="00324252"/>
    <w:rsid w:val="00332350"/>
    <w:rsid w:val="0033768B"/>
    <w:rsid w:val="003532A1"/>
    <w:rsid w:val="003577B2"/>
    <w:rsid w:val="003615B4"/>
    <w:rsid w:val="0037130E"/>
    <w:rsid w:val="00374B84"/>
    <w:rsid w:val="0037609E"/>
    <w:rsid w:val="00381164"/>
    <w:rsid w:val="0038191E"/>
    <w:rsid w:val="00381DCB"/>
    <w:rsid w:val="0038216F"/>
    <w:rsid w:val="003A3FBB"/>
    <w:rsid w:val="003A4369"/>
    <w:rsid w:val="003A43C7"/>
    <w:rsid w:val="003B1204"/>
    <w:rsid w:val="003D1064"/>
    <w:rsid w:val="003D5AD5"/>
    <w:rsid w:val="003D5E53"/>
    <w:rsid w:val="003F346A"/>
    <w:rsid w:val="003F3EFE"/>
    <w:rsid w:val="003F6E87"/>
    <w:rsid w:val="004053E3"/>
    <w:rsid w:val="00415B97"/>
    <w:rsid w:val="00420DC3"/>
    <w:rsid w:val="00424004"/>
    <w:rsid w:val="0042796F"/>
    <w:rsid w:val="00432E48"/>
    <w:rsid w:val="00436CEC"/>
    <w:rsid w:val="0044288A"/>
    <w:rsid w:val="004468DD"/>
    <w:rsid w:val="00450710"/>
    <w:rsid w:val="0046016B"/>
    <w:rsid w:val="0046167F"/>
    <w:rsid w:val="00462C35"/>
    <w:rsid w:val="00463F1C"/>
    <w:rsid w:val="00466697"/>
    <w:rsid w:val="00473134"/>
    <w:rsid w:val="0048085C"/>
    <w:rsid w:val="00480B5C"/>
    <w:rsid w:val="00480CFA"/>
    <w:rsid w:val="0048675D"/>
    <w:rsid w:val="00493F6F"/>
    <w:rsid w:val="00495BA7"/>
    <w:rsid w:val="0049755B"/>
    <w:rsid w:val="004A04F1"/>
    <w:rsid w:val="004A2961"/>
    <w:rsid w:val="004A4274"/>
    <w:rsid w:val="004A4F90"/>
    <w:rsid w:val="004A58A0"/>
    <w:rsid w:val="004B05DF"/>
    <w:rsid w:val="004B31C2"/>
    <w:rsid w:val="004C2470"/>
    <w:rsid w:val="004D6940"/>
    <w:rsid w:val="004E460D"/>
    <w:rsid w:val="004E5365"/>
    <w:rsid w:val="004F0D04"/>
    <w:rsid w:val="004F1259"/>
    <w:rsid w:val="004F1FB5"/>
    <w:rsid w:val="004F42C8"/>
    <w:rsid w:val="00503D81"/>
    <w:rsid w:val="00506175"/>
    <w:rsid w:val="0050625F"/>
    <w:rsid w:val="00512824"/>
    <w:rsid w:val="00512F22"/>
    <w:rsid w:val="00515B50"/>
    <w:rsid w:val="00521EE3"/>
    <w:rsid w:val="00523E5C"/>
    <w:rsid w:val="00523EE1"/>
    <w:rsid w:val="00526A9D"/>
    <w:rsid w:val="00533776"/>
    <w:rsid w:val="00541B72"/>
    <w:rsid w:val="005429BA"/>
    <w:rsid w:val="00542C90"/>
    <w:rsid w:val="00546DC1"/>
    <w:rsid w:val="00547460"/>
    <w:rsid w:val="00550C50"/>
    <w:rsid w:val="00551407"/>
    <w:rsid w:val="00556D0D"/>
    <w:rsid w:val="00557F0B"/>
    <w:rsid w:val="005636FD"/>
    <w:rsid w:val="005659BD"/>
    <w:rsid w:val="0057148B"/>
    <w:rsid w:val="005863BC"/>
    <w:rsid w:val="005A38DE"/>
    <w:rsid w:val="005A5A53"/>
    <w:rsid w:val="005B2D03"/>
    <w:rsid w:val="005C4242"/>
    <w:rsid w:val="005C4E89"/>
    <w:rsid w:val="005C78DA"/>
    <w:rsid w:val="005E2ABC"/>
    <w:rsid w:val="005E3ED4"/>
    <w:rsid w:val="005F281B"/>
    <w:rsid w:val="005F7EF8"/>
    <w:rsid w:val="006056FD"/>
    <w:rsid w:val="00607CA9"/>
    <w:rsid w:val="0061488C"/>
    <w:rsid w:val="006314DE"/>
    <w:rsid w:val="00673701"/>
    <w:rsid w:val="00674519"/>
    <w:rsid w:val="00677DB3"/>
    <w:rsid w:val="006800BB"/>
    <w:rsid w:val="006814F3"/>
    <w:rsid w:val="006873D0"/>
    <w:rsid w:val="00687966"/>
    <w:rsid w:val="00691878"/>
    <w:rsid w:val="006950F5"/>
    <w:rsid w:val="006977FB"/>
    <w:rsid w:val="006A7EF3"/>
    <w:rsid w:val="006B0FE1"/>
    <w:rsid w:val="006C57FF"/>
    <w:rsid w:val="006C617D"/>
    <w:rsid w:val="006C6B21"/>
    <w:rsid w:val="006C7B73"/>
    <w:rsid w:val="006D7F80"/>
    <w:rsid w:val="006E0811"/>
    <w:rsid w:val="006E50EE"/>
    <w:rsid w:val="006E5B1C"/>
    <w:rsid w:val="006E63CA"/>
    <w:rsid w:val="006F0907"/>
    <w:rsid w:val="006F266B"/>
    <w:rsid w:val="006F28CA"/>
    <w:rsid w:val="006F2AD7"/>
    <w:rsid w:val="006F48FA"/>
    <w:rsid w:val="006F5BB1"/>
    <w:rsid w:val="006F696A"/>
    <w:rsid w:val="0070149A"/>
    <w:rsid w:val="00703AF0"/>
    <w:rsid w:val="00713C88"/>
    <w:rsid w:val="00716810"/>
    <w:rsid w:val="00724D2F"/>
    <w:rsid w:val="00730C2A"/>
    <w:rsid w:val="00763DAC"/>
    <w:rsid w:val="00775171"/>
    <w:rsid w:val="007803C9"/>
    <w:rsid w:val="00781DB0"/>
    <w:rsid w:val="007846B3"/>
    <w:rsid w:val="00786720"/>
    <w:rsid w:val="00790E56"/>
    <w:rsid w:val="00792BE3"/>
    <w:rsid w:val="007972AB"/>
    <w:rsid w:val="007A260C"/>
    <w:rsid w:val="007A2BB9"/>
    <w:rsid w:val="007A5B10"/>
    <w:rsid w:val="007B6E36"/>
    <w:rsid w:val="007C4E10"/>
    <w:rsid w:val="007C5F25"/>
    <w:rsid w:val="007D6551"/>
    <w:rsid w:val="007E5FCE"/>
    <w:rsid w:val="007F321C"/>
    <w:rsid w:val="00801392"/>
    <w:rsid w:val="00801886"/>
    <w:rsid w:val="00802FF5"/>
    <w:rsid w:val="00804E53"/>
    <w:rsid w:val="00807274"/>
    <w:rsid w:val="00807717"/>
    <w:rsid w:val="00811577"/>
    <w:rsid w:val="00813006"/>
    <w:rsid w:val="008136E9"/>
    <w:rsid w:val="00814239"/>
    <w:rsid w:val="00820C29"/>
    <w:rsid w:val="00820F82"/>
    <w:rsid w:val="008218BD"/>
    <w:rsid w:val="00823F9E"/>
    <w:rsid w:val="00831889"/>
    <w:rsid w:val="00844AC6"/>
    <w:rsid w:val="008623AC"/>
    <w:rsid w:val="0087266C"/>
    <w:rsid w:val="0087275E"/>
    <w:rsid w:val="00874685"/>
    <w:rsid w:val="00882977"/>
    <w:rsid w:val="00883007"/>
    <w:rsid w:val="00890434"/>
    <w:rsid w:val="008932A6"/>
    <w:rsid w:val="00896983"/>
    <w:rsid w:val="008A6258"/>
    <w:rsid w:val="008B5895"/>
    <w:rsid w:val="008C1681"/>
    <w:rsid w:val="008C5191"/>
    <w:rsid w:val="008C6C43"/>
    <w:rsid w:val="008D19F7"/>
    <w:rsid w:val="008D63CA"/>
    <w:rsid w:val="008E472C"/>
    <w:rsid w:val="0090119B"/>
    <w:rsid w:val="00915DAF"/>
    <w:rsid w:val="00916453"/>
    <w:rsid w:val="009174AF"/>
    <w:rsid w:val="00921145"/>
    <w:rsid w:val="00921D88"/>
    <w:rsid w:val="00927284"/>
    <w:rsid w:val="00935AB5"/>
    <w:rsid w:val="00935B3A"/>
    <w:rsid w:val="00936E4D"/>
    <w:rsid w:val="00945810"/>
    <w:rsid w:val="009517C2"/>
    <w:rsid w:val="00951991"/>
    <w:rsid w:val="00962617"/>
    <w:rsid w:val="0097457D"/>
    <w:rsid w:val="00977D07"/>
    <w:rsid w:val="00985042"/>
    <w:rsid w:val="009852DE"/>
    <w:rsid w:val="00994177"/>
    <w:rsid w:val="009A6377"/>
    <w:rsid w:val="009A7A23"/>
    <w:rsid w:val="009B292A"/>
    <w:rsid w:val="009B3544"/>
    <w:rsid w:val="009B4C4E"/>
    <w:rsid w:val="009C2B50"/>
    <w:rsid w:val="009C4A28"/>
    <w:rsid w:val="009C7CDB"/>
    <w:rsid w:val="009D3554"/>
    <w:rsid w:val="009F1A84"/>
    <w:rsid w:val="009F6F96"/>
    <w:rsid w:val="009F7113"/>
    <w:rsid w:val="009F71D1"/>
    <w:rsid w:val="00A00449"/>
    <w:rsid w:val="00A23717"/>
    <w:rsid w:val="00A34297"/>
    <w:rsid w:val="00A36DF1"/>
    <w:rsid w:val="00A40C92"/>
    <w:rsid w:val="00A4363D"/>
    <w:rsid w:val="00A44AA0"/>
    <w:rsid w:val="00A46883"/>
    <w:rsid w:val="00A60CBA"/>
    <w:rsid w:val="00A60D10"/>
    <w:rsid w:val="00A61331"/>
    <w:rsid w:val="00A67ABF"/>
    <w:rsid w:val="00A73727"/>
    <w:rsid w:val="00A73DB3"/>
    <w:rsid w:val="00A759B5"/>
    <w:rsid w:val="00A80E10"/>
    <w:rsid w:val="00A81824"/>
    <w:rsid w:val="00A915D5"/>
    <w:rsid w:val="00A91E1D"/>
    <w:rsid w:val="00A945FE"/>
    <w:rsid w:val="00A96232"/>
    <w:rsid w:val="00AA7CAE"/>
    <w:rsid w:val="00AB20CE"/>
    <w:rsid w:val="00AB21D1"/>
    <w:rsid w:val="00AB516E"/>
    <w:rsid w:val="00AC5D2C"/>
    <w:rsid w:val="00AD167D"/>
    <w:rsid w:val="00AD7A85"/>
    <w:rsid w:val="00AE181B"/>
    <w:rsid w:val="00AE4FCD"/>
    <w:rsid w:val="00B01524"/>
    <w:rsid w:val="00B05620"/>
    <w:rsid w:val="00B12B71"/>
    <w:rsid w:val="00B164FA"/>
    <w:rsid w:val="00B17A91"/>
    <w:rsid w:val="00B21859"/>
    <w:rsid w:val="00B24DEC"/>
    <w:rsid w:val="00B26F29"/>
    <w:rsid w:val="00B35102"/>
    <w:rsid w:val="00B412C7"/>
    <w:rsid w:val="00B4204C"/>
    <w:rsid w:val="00B45835"/>
    <w:rsid w:val="00B4593D"/>
    <w:rsid w:val="00B46895"/>
    <w:rsid w:val="00B61A3A"/>
    <w:rsid w:val="00B62A09"/>
    <w:rsid w:val="00B67877"/>
    <w:rsid w:val="00B71CFA"/>
    <w:rsid w:val="00B7290F"/>
    <w:rsid w:val="00B73698"/>
    <w:rsid w:val="00B84437"/>
    <w:rsid w:val="00B9169C"/>
    <w:rsid w:val="00B93189"/>
    <w:rsid w:val="00B9681B"/>
    <w:rsid w:val="00B96AE5"/>
    <w:rsid w:val="00B96C1C"/>
    <w:rsid w:val="00BA4313"/>
    <w:rsid w:val="00BA483E"/>
    <w:rsid w:val="00BA54C9"/>
    <w:rsid w:val="00BA7C61"/>
    <w:rsid w:val="00BB3D9F"/>
    <w:rsid w:val="00BD4456"/>
    <w:rsid w:val="00BD4A11"/>
    <w:rsid w:val="00BD6D48"/>
    <w:rsid w:val="00BE189E"/>
    <w:rsid w:val="00BE63EE"/>
    <w:rsid w:val="00BF0415"/>
    <w:rsid w:val="00BF1844"/>
    <w:rsid w:val="00BF2D5F"/>
    <w:rsid w:val="00C12EE2"/>
    <w:rsid w:val="00C1695F"/>
    <w:rsid w:val="00C17EA6"/>
    <w:rsid w:val="00C26147"/>
    <w:rsid w:val="00C430E2"/>
    <w:rsid w:val="00C44E98"/>
    <w:rsid w:val="00C458FE"/>
    <w:rsid w:val="00C51672"/>
    <w:rsid w:val="00C608B4"/>
    <w:rsid w:val="00C61085"/>
    <w:rsid w:val="00C63B72"/>
    <w:rsid w:val="00C646B5"/>
    <w:rsid w:val="00C707F2"/>
    <w:rsid w:val="00C73630"/>
    <w:rsid w:val="00C73855"/>
    <w:rsid w:val="00C75905"/>
    <w:rsid w:val="00C7798C"/>
    <w:rsid w:val="00C8406F"/>
    <w:rsid w:val="00C873A5"/>
    <w:rsid w:val="00C94AC1"/>
    <w:rsid w:val="00CA011F"/>
    <w:rsid w:val="00CA754E"/>
    <w:rsid w:val="00CB2481"/>
    <w:rsid w:val="00CB6111"/>
    <w:rsid w:val="00CC52A5"/>
    <w:rsid w:val="00CD41FB"/>
    <w:rsid w:val="00CE4031"/>
    <w:rsid w:val="00CF5612"/>
    <w:rsid w:val="00D12A29"/>
    <w:rsid w:val="00D12A77"/>
    <w:rsid w:val="00D1310D"/>
    <w:rsid w:val="00D16C8E"/>
    <w:rsid w:val="00D20E66"/>
    <w:rsid w:val="00D23683"/>
    <w:rsid w:val="00D2600E"/>
    <w:rsid w:val="00D270B9"/>
    <w:rsid w:val="00D37BB8"/>
    <w:rsid w:val="00D43E5E"/>
    <w:rsid w:val="00D515AF"/>
    <w:rsid w:val="00D57015"/>
    <w:rsid w:val="00D63F92"/>
    <w:rsid w:val="00D81D78"/>
    <w:rsid w:val="00D83E9F"/>
    <w:rsid w:val="00D86E39"/>
    <w:rsid w:val="00D94C88"/>
    <w:rsid w:val="00DA4D1C"/>
    <w:rsid w:val="00DB10A5"/>
    <w:rsid w:val="00DB41F3"/>
    <w:rsid w:val="00DB56FE"/>
    <w:rsid w:val="00DB72A1"/>
    <w:rsid w:val="00DC1547"/>
    <w:rsid w:val="00DC1AA9"/>
    <w:rsid w:val="00DC3333"/>
    <w:rsid w:val="00DC49C2"/>
    <w:rsid w:val="00DC7AD3"/>
    <w:rsid w:val="00DD1DC8"/>
    <w:rsid w:val="00DE39C0"/>
    <w:rsid w:val="00DE6CF7"/>
    <w:rsid w:val="00DF6E76"/>
    <w:rsid w:val="00E02CC5"/>
    <w:rsid w:val="00E03D40"/>
    <w:rsid w:val="00E1259B"/>
    <w:rsid w:val="00E157A0"/>
    <w:rsid w:val="00E30118"/>
    <w:rsid w:val="00E318D6"/>
    <w:rsid w:val="00E34F59"/>
    <w:rsid w:val="00E46E2C"/>
    <w:rsid w:val="00E47803"/>
    <w:rsid w:val="00E51EAC"/>
    <w:rsid w:val="00E51EEE"/>
    <w:rsid w:val="00E527B6"/>
    <w:rsid w:val="00E532F7"/>
    <w:rsid w:val="00E565EC"/>
    <w:rsid w:val="00E57717"/>
    <w:rsid w:val="00E763E3"/>
    <w:rsid w:val="00E84984"/>
    <w:rsid w:val="00E904B4"/>
    <w:rsid w:val="00EA6938"/>
    <w:rsid w:val="00EB68F2"/>
    <w:rsid w:val="00EC359E"/>
    <w:rsid w:val="00EC4FAA"/>
    <w:rsid w:val="00ED1893"/>
    <w:rsid w:val="00ED60F0"/>
    <w:rsid w:val="00ED78DB"/>
    <w:rsid w:val="00ED7B94"/>
    <w:rsid w:val="00EE4B7A"/>
    <w:rsid w:val="00EE696B"/>
    <w:rsid w:val="00EE758F"/>
    <w:rsid w:val="00EF5A75"/>
    <w:rsid w:val="00F02640"/>
    <w:rsid w:val="00F12143"/>
    <w:rsid w:val="00F12D67"/>
    <w:rsid w:val="00F15778"/>
    <w:rsid w:val="00F17C4C"/>
    <w:rsid w:val="00F26065"/>
    <w:rsid w:val="00F310E3"/>
    <w:rsid w:val="00F32FB8"/>
    <w:rsid w:val="00F471F5"/>
    <w:rsid w:val="00F47970"/>
    <w:rsid w:val="00F5029F"/>
    <w:rsid w:val="00F56C87"/>
    <w:rsid w:val="00F64CB3"/>
    <w:rsid w:val="00F67E67"/>
    <w:rsid w:val="00F727CC"/>
    <w:rsid w:val="00F737C5"/>
    <w:rsid w:val="00F81FBE"/>
    <w:rsid w:val="00F84B22"/>
    <w:rsid w:val="00F86ABE"/>
    <w:rsid w:val="00F907A7"/>
    <w:rsid w:val="00F944CD"/>
    <w:rsid w:val="00F95804"/>
    <w:rsid w:val="00F9771C"/>
    <w:rsid w:val="00F979BF"/>
    <w:rsid w:val="00FB1CD8"/>
    <w:rsid w:val="00FB20EB"/>
    <w:rsid w:val="00FB4BB5"/>
    <w:rsid w:val="00FC3673"/>
    <w:rsid w:val="00FD2D5A"/>
    <w:rsid w:val="00FD55CA"/>
    <w:rsid w:val="00FE0C55"/>
    <w:rsid w:val="00FE22A0"/>
    <w:rsid w:val="00FE6CA1"/>
    <w:rsid w:val="00FE7360"/>
    <w:rsid w:val="00FF62E0"/>
    <w:rsid w:val="00FF76FC"/>
    <w:rsid w:val="010D7A60"/>
    <w:rsid w:val="012E0C03"/>
    <w:rsid w:val="01520AA4"/>
    <w:rsid w:val="015E75E0"/>
    <w:rsid w:val="017734C4"/>
    <w:rsid w:val="017E2377"/>
    <w:rsid w:val="018B0D66"/>
    <w:rsid w:val="018F3877"/>
    <w:rsid w:val="01997636"/>
    <w:rsid w:val="019A5532"/>
    <w:rsid w:val="01CE7D24"/>
    <w:rsid w:val="01DD59FB"/>
    <w:rsid w:val="01E66C87"/>
    <w:rsid w:val="01E82BE5"/>
    <w:rsid w:val="01EB5EF8"/>
    <w:rsid w:val="01ED0976"/>
    <w:rsid w:val="01F9561B"/>
    <w:rsid w:val="020C008E"/>
    <w:rsid w:val="02205DA2"/>
    <w:rsid w:val="022616E6"/>
    <w:rsid w:val="02427F8B"/>
    <w:rsid w:val="024E06A7"/>
    <w:rsid w:val="02566302"/>
    <w:rsid w:val="026E01DF"/>
    <w:rsid w:val="02806468"/>
    <w:rsid w:val="028B3952"/>
    <w:rsid w:val="028C00FA"/>
    <w:rsid w:val="02926B55"/>
    <w:rsid w:val="0299720E"/>
    <w:rsid w:val="02AF03D1"/>
    <w:rsid w:val="02BC1AB4"/>
    <w:rsid w:val="02BD1279"/>
    <w:rsid w:val="02C4317D"/>
    <w:rsid w:val="02CD400C"/>
    <w:rsid w:val="02CE2CFD"/>
    <w:rsid w:val="02EC225E"/>
    <w:rsid w:val="02FA30D3"/>
    <w:rsid w:val="0319332D"/>
    <w:rsid w:val="031F1D51"/>
    <w:rsid w:val="0321133B"/>
    <w:rsid w:val="03224E6C"/>
    <w:rsid w:val="03226268"/>
    <w:rsid w:val="0334789D"/>
    <w:rsid w:val="033C1E9D"/>
    <w:rsid w:val="03467327"/>
    <w:rsid w:val="03685D28"/>
    <w:rsid w:val="036A7A70"/>
    <w:rsid w:val="036C753B"/>
    <w:rsid w:val="0370786C"/>
    <w:rsid w:val="038637E9"/>
    <w:rsid w:val="03976C8F"/>
    <w:rsid w:val="039828A8"/>
    <w:rsid w:val="039B645E"/>
    <w:rsid w:val="03A74BA8"/>
    <w:rsid w:val="03DB65AA"/>
    <w:rsid w:val="03DF4E60"/>
    <w:rsid w:val="04027582"/>
    <w:rsid w:val="041A35EF"/>
    <w:rsid w:val="044C343A"/>
    <w:rsid w:val="048C542A"/>
    <w:rsid w:val="049A6DAB"/>
    <w:rsid w:val="04A168D5"/>
    <w:rsid w:val="04AC72EC"/>
    <w:rsid w:val="04AE1B3B"/>
    <w:rsid w:val="04CB15EC"/>
    <w:rsid w:val="04D62804"/>
    <w:rsid w:val="04D63CE1"/>
    <w:rsid w:val="04DF5E18"/>
    <w:rsid w:val="04E36525"/>
    <w:rsid w:val="05050509"/>
    <w:rsid w:val="05073B6D"/>
    <w:rsid w:val="050E6129"/>
    <w:rsid w:val="05190704"/>
    <w:rsid w:val="052378BE"/>
    <w:rsid w:val="05245AE1"/>
    <w:rsid w:val="05263E1F"/>
    <w:rsid w:val="05270DB5"/>
    <w:rsid w:val="052811C9"/>
    <w:rsid w:val="0548776A"/>
    <w:rsid w:val="05505057"/>
    <w:rsid w:val="055E15A3"/>
    <w:rsid w:val="057257D8"/>
    <w:rsid w:val="05757447"/>
    <w:rsid w:val="057B1B0C"/>
    <w:rsid w:val="0580226C"/>
    <w:rsid w:val="059A1024"/>
    <w:rsid w:val="059A2248"/>
    <w:rsid w:val="059A2608"/>
    <w:rsid w:val="05A958B8"/>
    <w:rsid w:val="05BE0A08"/>
    <w:rsid w:val="05C229CA"/>
    <w:rsid w:val="05C37A65"/>
    <w:rsid w:val="05CD1490"/>
    <w:rsid w:val="05D627C8"/>
    <w:rsid w:val="05D97720"/>
    <w:rsid w:val="05DA559A"/>
    <w:rsid w:val="05DF3B44"/>
    <w:rsid w:val="05E21EDC"/>
    <w:rsid w:val="06020FA3"/>
    <w:rsid w:val="0623780B"/>
    <w:rsid w:val="062A5F7C"/>
    <w:rsid w:val="063502D5"/>
    <w:rsid w:val="063A72F9"/>
    <w:rsid w:val="063C1505"/>
    <w:rsid w:val="063D1951"/>
    <w:rsid w:val="06441B8B"/>
    <w:rsid w:val="065A1D10"/>
    <w:rsid w:val="066A321D"/>
    <w:rsid w:val="066B60DD"/>
    <w:rsid w:val="06750C66"/>
    <w:rsid w:val="067F158A"/>
    <w:rsid w:val="06902CA4"/>
    <w:rsid w:val="06A31044"/>
    <w:rsid w:val="06AC2DAF"/>
    <w:rsid w:val="06B84059"/>
    <w:rsid w:val="06BD5B0F"/>
    <w:rsid w:val="06BD696E"/>
    <w:rsid w:val="06BE0A65"/>
    <w:rsid w:val="06BF4467"/>
    <w:rsid w:val="06C328AD"/>
    <w:rsid w:val="06EF3615"/>
    <w:rsid w:val="06EF3CEE"/>
    <w:rsid w:val="07116147"/>
    <w:rsid w:val="072C6AB1"/>
    <w:rsid w:val="07300CC3"/>
    <w:rsid w:val="07576574"/>
    <w:rsid w:val="075E76FE"/>
    <w:rsid w:val="076811C2"/>
    <w:rsid w:val="077A46CE"/>
    <w:rsid w:val="077B12B9"/>
    <w:rsid w:val="077D285C"/>
    <w:rsid w:val="077D7634"/>
    <w:rsid w:val="078F654C"/>
    <w:rsid w:val="07AD4115"/>
    <w:rsid w:val="07B122A2"/>
    <w:rsid w:val="07B60CA2"/>
    <w:rsid w:val="07C739D8"/>
    <w:rsid w:val="07CA6F8F"/>
    <w:rsid w:val="07E51AAD"/>
    <w:rsid w:val="07ED5738"/>
    <w:rsid w:val="07F5719B"/>
    <w:rsid w:val="07FD5B4D"/>
    <w:rsid w:val="0811330B"/>
    <w:rsid w:val="081667BA"/>
    <w:rsid w:val="081D7DEC"/>
    <w:rsid w:val="082756F6"/>
    <w:rsid w:val="082E4737"/>
    <w:rsid w:val="0830641B"/>
    <w:rsid w:val="083F0C9A"/>
    <w:rsid w:val="08495AAD"/>
    <w:rsid w:val="084A2D45"/>
    <w:rsid w:val="08524FDB"/>
    <w:rsid w:val="08542571"/>
    <w:rsid w:val="0855720F"/>
    <w:rsid w:val="08643619"/>
    <w:rsid w:val="088572C8"/>
    <w:rsid w:val="088D5F5C"/>
    <w:rsid w:val="088F1EBA"/>
    <w:rsid w:val="08954AAB"/>
    <w:rsid w:val="08AD16A0"/>
    <w:rsid w:val="08AE00F1"/>
    <w:rsid w:val="08AE5F04"/>
    <w:rsid w:val="08B07B5A"/>
    <w:rsid w:val="08B71729"/>
    <w:rsid w:val="08B96187"/>
    <w:rsid w:val="08BF22FE"/>
    <w:rsid w:val="08CA6970"/>
    <w:rsid w:val="08D22F00"/>
    <w:rsid w:val="091B57C1"/>
    <w:rsid w:val="0925364B"/>
    <w:rsid w:val="094E7C0E"/>
    <w:rsid w:val="095C3CB7"/>
    <w:rsid w:val="09673C90"/>
    <w:rsid w:val="09676F4A"/>
    <w:rsid w:val="09705641"/>
    <w:rsid w:val="097E5602"/>
    <w:rsid w:val="098275A7"/>
    <w:rsid w:val="0987471B"/>
    <w:rsid w:val="09890479"/>
    <w:rsid w:val="0997077C"/>
    <w:rsid w:val="09AC16B4"/>
    <w:rsid w:val="09BF6903"/>
    <w:rsid w:val="09E2575B"/>
    <w:rsid w:val="09E435F2"/>
    <w:rsid w:val="09E83746"/>
    <w:rsid w:val="09F0454B"/>
    <w:rsid w:val="09F84F4D"/>
    <w:rsid w:val="09FF5649"/>
    <w:rsid w:val="0A0358B8"/>
    <w:rsid w:val="0A1C0F92"/>
    <w:rsid w:val="0A257B14"/>
    <w:rsid w:val="0A260FC3"/>
    <w:rsid w:val="0A282A40"/>
    <w:rsid w:val="0A343E4C"/>
    <w:rsid w:val="0A3667F7"/>
    <w:rsid w:val="0A41189F"/>
    <w:rsid w:val="0A4E254C"/>
    <w:rsid w:val="0A56047D"/>
    <w:rsid w:val="0A5E2E58"/>
    <w:rsid w:val="0A636E83"/>
    <w:rsid w:val="0AA56585"/>
    <w:rsid w:val="0AB06310"/>
    <w:rsid w:val="0AC37758"/>
    <w:rsid w:val="0AC70EAF"/>
    <w:rsid w:val="0AC74EBC"/>
    <w:rsid w:val="0ACA4546"/>
    <w:rsid w:val="0ACF0B2C"/>
    <w:rsid w:val="0ACF4019"/>
    <w:rsid w:val="0AF240D7"/>
    <w:rsid w:val="0B117617"/>
    <w:rsid w:val="0B18272B"/>
    <w:rsid w:val="0B1E52AF"/>
    <w:rsid w:val="0B290A93"/>
    <w:rsid w:val="0B381DF1"/>
    <w:rsid w:val="0B395B52"/>
    <w:rsid w:val="0B402871"/>
    <w:rsid w:val="0B637ADA"/>
    <w:rsid w:val="0B8569E7"/>
    <w:rsid w:val="0B873993"/>
    <w:rsid w:val="0BA468C3"/>
    <w:rsid w:val="0BA525D8"/>
    <w:rsid w:val="0BA74A47"/>
    <w:rsid w:val="0BC0004F"/>
    <w:rsid w:val="0BC03736"/>
    <w:rsid w:val="0BC65752"/>
    <w:rsid w:val="0BD50CE3"/>
    <w:rsid w:val="0BD55E29"/>
    <w:rsid w:val="0BD9117C"/>
    <w:rsid w:val="0BD9761D"/>
    <w:rsid w:val="0BE90DFA"/>
    <w:rsid w:val="0BEE2901"/>
    <w:rsid w:val="0BF56037"/>
    <w:rsid w:val="0C061854"/>
    <w:rsid w:val="0C0B33A5"/>
    <w:rsid w:val="0C0F1E65"/>
    <w:rsid w:val="0C1F3CBE"/>
    <w:rsid w:val="0C2F6006"/>
    <w:rsid w:val="0C3E3BFA"/>
    <w:rsid w:val="0C502350"/>
    <w:rsid w:val="0C5B37C6"/>
    <w:rsid w:val="0C625853"/>
    <w:rsid w:val="0C6D393E"/>
    <w:rsid w:val="0C7C2329"/>
    <w:rsid w:val="0C8111FE"/>
    <w:rsid w:val="0C8352C9"/>
    <w:rsid w:val="0C88726E"/>
    <w:rsid w:val="0C98437D"/>
    <w:rsid w:val="0C9F0E2E"/>
    <w:rsid w:val="0CA241CA"/>
    <w:rsid w:val="0CB66FE9"/>
    <w:rsid w:val="0CBC00CB"/>
    <w:rsid w:val="0CC122F7"/>
    <w:rsid w:val="0CC24C02"/>
    <w:rsid w:val="0CC90F75"/>
    <w:rsid w:val="0CDE3986"/>
    <w:rsid w:val="0CE347B4"/>
    <w:rsid w:val="0CE721D7"/>
    <w:rsid w:val="0CED4903"/>
    <w:rsid w:val="0CF32576"/>
    <w:rsid w:val="0CFA4F98"/>
    <w:rsid w:val="0CFD6915"/>
    <w:rsid w:val="0D0A31DE"/>
    <w:rsid w:val="0D0B5978"/>
    <w:rsid w:val="0D125609"/>
    <w:rsid w:val="0D1A09FA"/>
    <w:rsid w:val="0D1C770D"/>
    <w:rsid w:val="0D2113C1"/>
    <w:rsid w:val="0D39451C"/>
    <w:rsid w:val="0D474670"/>
    <w:rsid w:val="0D5E5DCC"/>
    <w:rsid w:val="0D603103"/>
    <w:rsid w:val="0DD36D2D"/>
    <w:rsid w:val="0DF561A3"/>
    <w:rsid w:val="0DF66B19"/>
    <w:rsid w:val="0DFC7A6B"/>
    <w:rsid w:val="0E051BC6"/>
    <w:rsid w:val="0E0A5DCA"/>
    <w:rsid w:val="0E1E5DFF"/>
    <w:rsid w:val="0E473521"/>
    <w:rsid w:val="0E4F6D2E"/>
    <w:rsid w:val="0E511B52"/>
    <w:rsid w:val="0E71629C"/>
    <w:rsid w:val="0E7864B7"/>
    <w:rsid w:val="0E991595"/>
    <w:rsid w:val="0E9E667F"/>
    <w:rsid w:val="0EB21794"/>
    <w:rsid w:val="0ED51822"/>
    <w:rsid w:val="0EE96A2F"/>
    <w:rsid w:val="0EEE2508"/>
    <w:rsid w:val="0F0A5EF6"/>
    <w:rsid w:val="0F0D352B"/>
    <w:rsid w:val="0F1A7FEE"/>
    <w:rsid w:val="0F3A1776"/>
    <w:rsid w:val="0F465E03"/>
    <w:rsid w:val="0F4826BC"/>
    <w:rsid w:val="0F5951D3"/>
    <w:rsid w:val="0F6676E5"/>
    <w:rsid w:val="0F676B42"/>
    <w:rsid w:val="0F681E22"/>
    <w:rsid w:val="0F767C01"/>
    <w:rsid w:val="0F8D1924"/>
    <w:rsid w:val="0F8D3006"/>
    <w:rsid w:val="0F9262E5"/>
    <w:rsid w:val="0F934923"/>
    <w:rsid w:val="0F9F7802"/>
    <w:rsid w:val="0FA61B22"/>
    <w:rsid w:val="0FA730A2"/>
    <w:rsid w:val="0FBC7FC3"/>
    <w:rsid w:val="0FCA3FBD"/>
    <w:rsid w:val="0FE35A61"/>
    <w:rsid w:val="0FEB3E36"/>
    <w:rsid w:val="0FEC413D"/>
    <w:rsid w:val="100E52A3"/>
    <w:rsid w:val="10315608"/>
    <w:rsid w:val="1034711C"/>
    <w:rsid w:val="10390CED"/>
    <w:rsid w:val="105E02C7"/>
    <w:rsid w:val="10680058"/>
    <w:rsid w:val="10690EFD"/>
    <w:rsid w:val="10747388"/>
    <w:rsid w:val="10854C8C"/>
    <w:rsid w:val="108D7FEC"/>
    <w:rsid w:val="108F5946"/>
    <w:rsid w:val="10A1743A"/>
    <w:rsid w:val="10B17B97"/>
    <w:rsid w:val="10B70ADD"/>
    <w:rsid w:val="10BF08A2"/>
    <w:rsid w:val="10EB0A61"/>
    <w:rsid w:val="10F96CD3"/>
    <w:rsid w:val="11174287"/>
    <w:rsid w:val="11230728"/>
    <w:rsid w:val="113446E9"/>
    <w:rsid w:val="11426F1D"/>
    <w:rsid w:val="114B1748"/>
    <w:rsid w:val="114C1172"/>
    <w:rsid w:val="11594D82"/>
    <w:rsid w:val="115A7068"/>
    <w:rsid w:val="115B7C27"/>
    <w:rsid w:val="116F7513"/>
    <w:rsid w:val="11714A01"/>
    <w:rsid w:val="117B7F5E"/>
    <w:rsid w:val="117D59A5"/>
    <w:rsid w:val="117E3EBF"/>
    <w:rsid w:val="11966279"/>
    <w:rsid w:val="11973FF7"/>
    <w:rsid w:val="11A63895"/>
    <w:rsid w:val="11AA0E33"/>
    <w:rsid w:val="11B1425C"/>
    <w:rsid w:val="11BB505E"/>
    <w:rsid w:val="11CE2BB9"/>
    <w:rsid w:val="11D230A2"/>
    <w:rsid w:val="11D36316"/>
    <w:rsid w:val="11D465DE"/>
    <w:rsid w:val="11D62DD3"/>
    <w:rsid w:val="12050D3E"/>
    <w:rsid w:val="120B137B"/>
    <w:rsid w:val="121A36D8"/>
    <w:rsid w:val="121B70D5"/>
    <w:rsid w:val="121C3085"/>
    <w:rsid w:val="122F4EE9"/>
    <w:rsid w:val="12356713"/>
    <w:rsid w:val="124E6914"/>
    <w:rsid w:val="12503FC7"/>
    <w:rsid w:val="12547874"/>
    <w:rsid w:val="129231B2"/>
    <w:rsid w:val="12954D8A"/>
    <w:rsid w:val="129D4E9C"/>
    <w:rsid w:val="12C36DC5"/>
    <w:rsid w:val="12C50D8C"/>
    <w:rsid w:val="12CB7D6D"/>
    <w:rsid w:val="12DA0C7B"/>
    <w:rsid w:val="12E73AFB"/>
    <w:rsid w:val="12F51579"/>
    <w:rsid w:val="13042B7A"/>
    <w:rsid w:val="131540EE"/>
    <w:rsid w:val="132E599B"/>
    <w:rsid w:val="1338631F"/>
    <w:rsid w:val="135835B6"/>
    <w:rsid w:val="1360190F"/>
    <w:rsid w:val="13810D77"/>
    <w:rsid w:val="138D1D8A"/>
    <w:rsid w:val="13A667FF"/>
    <w:rsid w:val="13B124D5"/>
    <w:rsid w:val="13B80076"/>
    <w:rsid w:val="13DE6C97"/>
    <w:rsid w:val="13DF5182"/>
    <w:rsid w:val="13F14B1A"/>
    <w:rsid w:val="13F9694A"/>
    <w:rsid w:val="13FA1A5F"/>
    <w:rsid w:val="13FD1A84"/>
    <w:rsid w:val="14013859"/>
    <w:rsid w:val="14206501"/>
    <w:rsid w:val="14333776"/>
    <w:rsid w:val="144B1797"/>
    <w:rsid w:val="144F6715"/>
    <w:rsid w:val="14727723"/>
    <w:rsid w:val="14742001"/>
    <w:rsid w:val="147604E8"/>
    <w:rsid w:val="147C6D6F"/>
    <w:rsid w:val="14AA5797"/>
    <w:rsid w:val="14B71172"/>
    <w:rsid w:val="14B752CE"/>
    <w:rsid w:val="14B91724"/>
    <w:rsid w:val="14B96B3D"/>
    <w:rsid w:val="14BA6B67"/>
    <w:rsid w:val="14D62ED9"/>
    <w:rsid w:val="14DB4CE2"/>
    <w:rsid w:val="14F51BFA"/>
    <w:rsid w:val="14FB56DC"/>
    <w:rsid w:val="150F62DD"/>
    <w:rsid w:val="15110E9F"/>
    <w:rsid w:val="15201D30"/>
    <w:rsid w:val="153877F0"/>
    <w:rsid w:val="154656DF"/>
    <w:rsid w:val="15472583"/>
    <w:rsid w:val="154B13AF"/>
    <w:rsid w:val="15505571"/>
    <w:rsid w:val="15667555"/>
    <w:rsid w:val="156D6BED"/>
    <w:rsid w:val="15734E92"/>
    <w:rsid w:val="157D59AF"/>
    <w:rsid w:val="157F4D59"/>
    <w:rsid w:val="15830CB4"/>
    <w:rsid w:val="159266A5"/>
    <w:rsid w:val="159322A5"/>
    <w:rsid w:val="15BF16C1"/>
    <w:rsid w:val="15BF56EC"/>
    <w:rsid w:val="15C846B9"/>
    <w:rsid w:val="15DC7E0F"/>
    <w:rsid w:val="15F51685"/>
    <w:rsid w:val="160A2281"/>
    <w:rsid w:val="16150220"/>
    <w:rsid w:val="161C105C"/>
    <w:rsid w:val="161C4974"/>
    <w:rsid w:val="16275E06"/>
    <w:rsid w:val="16291A25"/>
    <w:rsid w:val="162A1F8E"/>
    <w:rsid w:val="16311F58"/>
    <w:rsid w:val="164342FA"/>
    <w:rsid w:val="16637FED"/>
    <w:rsid w:val="168420E0"/>
    <w:rsid w:val="168900D8"/>
    <w:rsid w:val="16914450"/>
    <w:rsid w:val="16A05E5E"/>
    <w:rsid w:val="16A22BEB"/>
    <w:rsid w:val="16A847CB"/>
    <w:rsid w:val="16B966B9"/>
    <w:rsid w:val="16BE3606"/>
    <w:rsid w:val="16CA6BE3"/>
    <w:rsid w:val="16CB1927"/>
    <w:rsid w:val="16CB645F"/>
    <w:rsid w:val="16D97C62"/>
    <w:rsid w:val="16DE3D52"/>
    <w:rsid w:val="16E10469"/>
    <w:rsid w:val="16E51ADE"/>
    <w:rsid w:val="16EE7A13"/>
    <w:rsid w:val="16F17D32"/>
    <w:rsid w:val="16F72C63"/>
    <w:rsid w:val="16FC59D7"/>
    <w:rsid w:val="17177A91"/>
    <w:rsid w:val="171820A2"/>
    <w:rsid w:val="17214B2A"/>
    <w:rsid w:val="17250364"/>
    <w:rsid w:val="172800EE"/>
    <w:rsid w:val="173264E4"/>
    <w:rsid w:val="17493E56"/>
    <w:rsid w:val="17571001"/>
    <w:rsid w:val="17832BE4"/>
    <w:rsid w:val="178B3C8A"/>
    <w:rsid w:val="17A41B9E"/>
    <w:rsid w:val="17D44EBC"/>
    <w:rsid w:val="17D76812"/>
    <w:rsid w:val="17DD01BC"/>
    <w:rsid w:val="17EE0E57"/>
    <w:rsid w:val="17F01824"/>
    <w:rsid w:val="18045C24"/>
    <w:rsid w:val="18067C47"/>
    <w:rsid w:val="181270D8"/>
    <w:rsid w:val="181C1CBF"/>
    <w:rsid w:val="18302B79"/>
    <w:rsid w:val="18323083"/>
    <w:rsid w:val="183369F2"/>
    <w:rsid w:val="18371EB1"/>
    <w:rsid w:val="183A7AB3"/>
    <w:rsid w:val="184335AA"/>
    <w:rsid w:val="184669D0"/>
    <w:rsid w:val="184A795A"/>
    <w:rsid w:val="185C4B83"/>
    <w:rsid w:val="1860250D"/>
    <w:rsid w:val="18627A25"/>
    <w:rsid w:val="186D58D3"/>
    <w:rsid w:val="186E798F"/>
    <w:rsid w:val="18715C53"/>
    <w:rsid w:val="18812A30"/>
    <w:rsid w:val="18861CAA"/>
    <w:rsid w:val="189669CE"/>
    <w:rsid w:val="189B082A"/>
    <w:rsid w:val="18AA27D5"/>
    <w:rsid w:val="18B45F0F"/>
    <w:rsid w:val="18C148C4"/>
    <w:rsid w:val="18C40F97"/>
    <w:rsid w:val="18C724DA"/>
    <w:rsid w:val="18C75372"/>
    <w:rsid w:val="18CD3128"/>
    <w:rsid w:val="18CF1285"/>
    <w:rsid w:val="18FB44CF"/>
    <w:rsid w:val="19071E20"/>
    <w:rsid w:val="19102702"/>
    <w:rsid w:val="191B07A4"/>
    <w:rsid w:val="19230CA9"/>
    <w:rsid w:val="192B5C8E"/>
    <w:rsid w:val="19334EF3"/>
    <w:rsid w:val="193606ED"/>
    <w:rsid w:val="19390E45"/>
    <w:rsid w:val="194543F2"/>
    <w:rsid w:val="19481E9C"/>
    <w:rsid w:val="196B7938"/>
    <w:rsid w:val="197A5169"/>
    <w:rsid w:val="198C0B69"/>
    <w:rsid w:val="19924931"/>
    <w:rsid w:val="19A75F9B"/>
    <w:rsid w:val="19B117EF"/>
    <w:rsid w:val="19C342FA"/>
    <w:rsid w:val="19DD252D"/>
    <w:rsid w:val="19FA6AE6"/>
    <w:rsid w:val="19FC265F"/>
    <w:rsid w:val="19FC2EA4"/>
    <w:rsid w:val="1A0633E6"/>
    <w:rsid w:val="1A235A94"/>
    <w:rsid w:val="1A241106"/>
    <w:rsid w:val="1A2A2169"/>
    <w:rsid w:val="1A2F217B"/>
    <w:rsid w:val="1A3037C7"/>
    <w:rsid w:val="1A442663"/>
    <w:rsid w:val="1A475CB0"/>
    <w:rsid w:val="1A4C3D3A"/>
    <w:rsid w:val="1A63265C"/>
    <w:rsid w:val="1A650088"/>
    <w:rsid w:val="1A730F20"/>
    <w:rsid w:val="1A825DD8"/>
    <w:rsid w:val="1A881A08"/>
    <w:rsid w:val="1AAE3B7A"/>
    <w:rsid w:val="1AD10C6D"/>
    <w:rsid w:val="1AD5060B"/>
    <w:rsid w:val="1ADA52D9"/>
    <w:rsid w:val="1ADD1051"/>
    <w:rsid w:val="1AE6262B"/>
    <w:rsid w:val="1AE65B18"/>
    <w:rsid w:val="1AE66EB0"/>
    <w:rsid w:val="1AEA6170"/>
    <w:rsid w:val="1AFA4103"/>
    <w:rsid w:val="1AFB42FF"/>
    <w:rsid w:val="1AFD015B"/>
    <w:rsid w:val="1B0F5514"/>
    <w:rsid w:val="1B170F6C"/>
    <w:rsid w:val="1B1F0699"/>
    <w:rsid w:val="1B200CF6"/>
    <w:rsid w:val="1B2E05FE"/>
    <w:rsid w:val="1B3827EF"/>
    <w:rsid w:val="1B606EA2"/>
    <w:rsid w:val="1B6C75E5"/>
    <w:rsid w:val="1B701F3C"/>
    <w:rsid w:val="1B797FA6"/>
    <w:rsid w:val="1B804CE5"/>
    <w:rsid w:val="1B821D97"/>
    <w:rsid w:val="1B844791"/>
    <w:rsid w:val="1B892502"/>
    <w:rsid w:val="1B8D3B96"/>
    <w:rsid w:val="1B950A9A"/>
    <w:rsid w:val="1BAC44A2"/>
    <w:rsid w:val="1BBB7744"/>
    <w:rsid w:val="1BCE1D95"/>
    <w:rsid w:val="1BE14C7D"/>
    <w:rsid w:val="1BF7233C"/>
    <w:rsid w:val="1BF7568E"/>
    <w:rsid w:val="1C0A3A87"/>
    <w:rsid w:val="1C114066"/>
    <w:rsid w:val="1C116575"/>
    <w:rsid w:val="1C165F2E"/>
    <w:rsid w:val="1C250249"/>
    <w:rsid w:val="1C2847A3"/>
    <w:rsid w:val="1C2D520C"/>
    <w:rsid w:val="1C2D7855"/>
    <w:rsid w:val="1C373126"/>
    <w:rsid w:val="1C4200E7"/>
    <w:rsid w:val="1C430C6D"/>
    <w:rsid w:val="1C75164D"/>
    <w:rsid w:val="1C825305"/>
    <w:rsid w:val="1C9D301D"/>
    <w:rsid w:val="1CA7647F"/>
    <w:rsid w:val="1CAF62EE"/>
    <w:rsid w:val="1CB1569A"/>
    <w:rsid w:val="1CB313F6"/>
    <w:rsid w:val="1CB553FE"/>
    <w:rsid w:val="1CB9087D"/>
    <w:rsid w:val="1CBE044A"/>
    <w:rsid w:val="1CCA04C7"/>
    <w:rsid w:val="1CD30593"/>
    <w:rsid w:val="1CD7615D"/>
    <w:rsid w:val="1CED04F8"/>
    <w:rsid w:val="1CF96832"/>
    <w:rsid w:val="1D013BB0"/>
    <w:rsid w:val="1D0D6BCC"/>
    <w:rsid w:val="1D34792C"/>
    <w:rsid w:val="1D3A13B3"/>
    <w:rsid w:val="1D503F50"/>
    <w:rsid w:val="1D61177E"/>
    <w:rsid w:val="1D8E2A23"/>
    <w:rsid w:val="1DA17A36"/>
    <w:rsid w:val="1DA51903"/>
    <w:rsid w:val="1DAC1471"/>
    <w:rsid w:val="1DB27BD2"/>
    <w:rsid w:val="1DB414A7"/>
    <w:rsid w:val="1DCC4D1B"/>
    <w:rsid w:val="1DD227DE"/>
    <w:rsid w:val="1DE30C93"/>
    <w:rsid w:val="1DE57E55"/>
    <w:rsid w:val="1E066B9C"/>
    <w:rsid w:val="1E10184D"/>
    <w:rsid w:val="1E1A2EA7"/>
    <w:rsid w:val="1E1C5E73"/>
    <w:rsid w:val="1E3C1F7B"/>
    <w:rsid w:val="1E3D5BFF"/>
    <w:rsid w:val="1E455EF0"/>
    <w:rsid w:val="1E50506A"/>
    <w:rsid w:val="1E5A0DBD"/>
    <w:rsid w:val="1E5B585E"/>
    <w:rsid w:val="1E5F0290"/>
    <w:rsid w:val="1E667B9A"/>
    <w:rsid w:val="1E8563ED"/>
    <w:rsid w:val="1E8A4D5E"/>
    <w:rsid w:val="1E8E6EBE"/>
    <w:rsid w:val="1EA0459D"/>
    <w:rsid w:val="1EAE27A1"/>
    <w:rsid w:val="1EB21D4C"/>
    <w:rsid w:val="1EB73C92"/>
    <w:rsid w:val="1EBF0578"/>
    <w:rsid w:val="1EC71370"/>
    <w:rsid w:val="1ECF0BFB"/>
    <w:rsid w:val="1ED42809"/>
    <w:rsid w:val="1F055C18"/>
    <w:rsid w:val="1F0A48CB"/>
    <w:rsid w:val="1F230341"/>
    <w:rsid w:val="1F302523"/>
    <w:rsid w:val="1F3320FA"/>
    <w:rsid w:val="1F492E83"/>
    <w:rsid w:val="1F4B0B2C"/>
    <w:rsid w:val="1F550E6F"/>
    <w:rsid w:val="1F626B98"/>
    <w:rsid w:val="1F6A2CF4"/>
    <w:rsid w:val="1F720C00"/>
    <w:rsid w:val="1F7B6C81"/>
    <w:rsid w:val="1F820AF2"/>
    <w:rsid w:val="1F83471F"/>
    <w:rsid w:val="1F83657A"/>
    <w:rsid w:val="1F8E7C5A"/>
    <w:rsid w:val="1F9272A9"/>
    <w:rsid w:val="1F9D3B9A"/>
    <w:rsid w:val="1FAB24AA"/>
    <w:rsid w:val="1FF576CD"/>
    <w:rsid w:val="1FF64F07"/>
    <w:rsid w:val="1FFD6FC8"/>
    <w:rsid w:val="20033C90"/>
    <w:rsid w:val="200D1C24"/>
    <w:rsid w:val="202279CC"/>
    <w:rsid w:val="202369B8"/>
    <w:rsid w:val="20370F4D"/>
    <w:rsid w:val="203812E2"/>
    <w:rsid w:val="20441B19"/>
    <w:rsid w:val="204D3B4C"/>
    <w:rsid w:val="205A4861"/>
    <w:rsid w:val="20663493"/>
    <w:rsid w:val="207010AC"/>
    <w:rsid w:val="207A5FE1"/>
    <w:rsid w:val="20843063"/>
    <w:rsid w:val="20A6481A"/>
    <w:rsid w:val="20B87A68"/>
    <w:rsid w:val="20BA0DA7"/>
    <w:rsid w:val="20BF45FE"/>
    <w:rsid w:val="20C70459"/>
    <w:rsid w:val="20DF1994"/>
    <w:rsid w:val="20F00C39"/>
    <w:rsid w:val="20FF16FD"/>
    <w:rsid w:val="2102069D"/>
    <w:rsid w:val="2102437F"/>
    <w:rsid w:val="210623E1"/>
    <w:rsid w:val="210B7974"/>
    <w:rsid w:val="21192B9E"/>
    <w:rsid w:val="2120694F"/>
    <w:rsid w:val="212B54F7"/>
    <w:rsid w:val="2144205F"/>
    <w:rsid w:val="215F78EC"/>
    <w:rsid w:val="21721EB2"/>
    <w:rsid w:val="217557F8"/>
    <w:rsid w:val="21874C8E"/>
    <w:rsid w:val="218912A4"/>
    <w:rsid w:val="2191536B"/>
    <w:rsid w:val="21A7183B"/>
    <w:rsid w:val="21C27FFE"/>
    <w:rsid w:val="21CA1B0E"/>
    <w:rsid w:val="21E1590F"/>
    <w:rsid w:val="21E720FE"/>
    <w:rsid w:val="21FE176A"/>
    <w:rsid w:val="220D7076"/>
    <w:rsid w:val="22160B82"/>
    <w:rsid w:val="2220264E"/>
    <w:rsid w:val="223677A5"/>
    <w:rsid w:val="223F74FE"/>
    <w:rsid w:val="22420288"/>
    <w:rsid w:val="22451310"/>
    <w:rsid w:val="224C7544"/>
    <w:rsid w:val="22526E91"/>
    <w:rsid w:val="22633CAD"/>
    <w:rsid w:val="22683FF8"/>
    <w:rsid w:val="22693503"/>
    <w:rsid w:val="226B2927"/>
    <w:rsid w:val="227D2BB6"/>
    <w:rsid w:val="227F7FF6"/>
    <w:rsid w:val="22904B64"/>
    <w:rsid w:val="2294462F"/>
    <w:rsid w:val="229F23A9"/>
    <w:rsid w:val="22A22A9D"/>
    <w:rsid w:val="22A762CC"/>
    <w:rsid w:val="22B8623E"/>
    <w:rsid w:val="22BA1EBD"/>
    <w:rsid w:val="22CF126F"/>
    <w:rsid w:val="22D26F9A"/>
    <w:rsid w:val="22D662B7"/>
    <w:rsid w:val="23082989"/>
    <w:rsid w:val="230F44D7"/>
    <w:rsid w:val="23155FDF"/>
    <w:rsid w:val="231A5E33"/>
    <w:rsid w:val="23202817"/>
    <w:rsid w:val="2335472F"/>
    <w:rsid w:val="23492AD1"/>
    <w:rsid w:val="23551B07"/>
    <w:rsid w:val="23692169"/>
    <w:rsid w:val="237F7021"/>
    <w:rsid w:val="23871139"/>
    <w:rsid w:val="23875C45"/>
    <w:rsid w:val="23892F26"/>
    <w:rsid w:val="238D32C9"/>
    <w:rsid w:val="238E5606"/>
    <w:rsid w:val="23A20702"/>
    <w:rsid w:val="23B12896"/>
    <w:rsid w:val="23F00FB7"/>
    <w:rsid w:val="23F316BB"/>
    <w:rsid w:val="240E07A7"/>
    <w:rsid w:val="243F4941"/>
    <w:rsid w:val="2442133B"/>
    <w:rsid w:val="24536B1C"/>
    <w:rsid w:val="245F0113"/>
    <w:rsid w:val="246D3223"/>
    <w:rsid w:val="246E4478"/>
    <w:rsid w:val="24870738"/>
    <w:rsid w:val="249467E1"/>
    <w:rsid w:val="24963225"/>
    <w:rsid w:val="24994A73"/>
    <w:rsid w:val="24AE3B11"/>
    <w:rsid w:val="24B60AAC"/>
    <w:rsid w:val="24C11EFD"/>
    <w:rsid w:val="24C94074"/>
    <w:rsid w:val="24C95BCE"/>
    <w:rsid w:val="24DF0160"/>
    <w:rsid w:val="24EC4414"/>
    <w:rsid w:val="24FE4CCC"/>
    <w:rsid w:val="250149C9"/>
    <w:rsid w:val="25046605"/>
    <w:rsid w:val="25053F19"/>
    <w:rsid w:val="251956AF"/>
    <w:rsid w:val="2524138C"/>
    <w:rsid w:val="25377C12"/>
    <w:rsid w:val="253F40F9"/>
    <w:rsid w:val="254234A7"/>
    <w:rsid w:val="25757B75"/>
    <w:rsid w:val="25820F88"/>
    <w:rsid w:val="25821E01"/>
    <w:rsid w:val="25844BC0"/>
    <w:rsid w:val="25900AA9"/>
    <w:rsid w:val="259646B4"/>
    <w:rsid w:val="259C2A6C"/>
    <w:rsid w:val="25A56B41"/>
    <w:rsid w:val="25AB22D8"/>
    <w:rsid w:val="25B0273C"/>
    <w:rsid w:val="25B86354"/>
    <w:rsid w:val="25C674C3"/>
    <w:rsid w:val="25C72613"/>
    <w:rsid w:val="25D45C3E"/>
    <w:rsid w:val="25DB33D1"/>
    <w:rsid w:val="25DD61F7"/>
    <w:rsid w:val="260E08D1"/>
    <w:rsid w:val="26127ABA"/>
    <w:rsid w:val="261B543B"/>
    <w:rsid w:val="262C77DC"/>
    <w:rsid w:val="263D292A"/>
    <w:rsid w:val="26472EF4"/>
    <w:rsid w:val="2650009F"/>
    <w:rsid w:val="26583151"/>
    <w:rsid w:val="26625280"/>
    <w:rsid w:val="267154EB"/>
    <w:rsid w:val="26737D6B"/>
    <w:rsid w:val="2674607E"/>
    <w:rsid w:val="26804A23"/>
    <w:rsid w:val="2692001A"/>
    <w:rsid w:val="269652B9"/>
    <w:rsid w:val="26A27889"/>
    <w:rsid w:val="26AF5F98"/>
    <w:rsid w:val="26BB1B7C"/>
    <w:rsid w:val="26C22598"/>
    <w:rsid w:val="26C8461C"/>
    <w:rsid w:val="26CA5871"/>
    <w:rsid w:val="26CD4555"/>
    <w:rsid w:val="27057A13"/>
    <w:rsid w:val="27163461"/>
    <w:rsid w:val="271B4E4E"/>
    <w:rsid w:val="27256292"/>
    <w:rsid w:val="272A498F"/>
    <w:rsid w:val="272C515F"/>
    <w:rsid w:val="272E6C86"/>
    <w:rsid w:val="273A55A9"/>
    <w:rsid w:val="273C3D48"/>
    <w:rsid w:val="27403AC8"/>
    <w:rsid w:val="2755051E"/>
    <w:rsid w:val="275F6D2E"/>
    <w:rsid w:val="276E7580"/>
    <w:rsid w:val="277070EA"/>
    <w:rsid w:val="277C0B51"/>
    <w:rsid w:val="27907AFC"/>
    <w:rsid w:val="279E1806"/>
    <w:rsid w:val="279F27E3"/>
    <w:rsid w:val="27AF43BC"/>
    <w:rsid w:val="27B8643F"/>
    <w:rsid w:val="27C76F28"/>
    <w:rsid w:val="27D108BA"/>
    <w:rsid w:val="27DD3746"/>
    <w:rsid w:val="27EA3F9C"/>
    <w:rsid w:val="28071958"/>
    <w:rsid w:val="280C1901"/>
    <w:rsid w:val="281D2236"/>
    <w:rsid w:val="281E11E4"/>
    <w:rsid w:val="28331B7F"/>
    <w:rsid w:val="283C0510"/>
    <w:rsid w:val="286837EF"/>
    <w:rsid w:val="28734994"/>
    <w:rsid w:val="287C56BE"/>
    <w:rsid w:val="28810D29"/>
    <w:rsid w:val="28B92147"/>
    <w:rsid w:val="28C130F9"/>
    <w:rsid w:val="28C52C87"/>
    <w:rsid w:val="28DF2D67"/>
    <w:rsid w:val="28E76FDC"/>
    <w:rsid w:val="28F6721F"/>
    <w:rsid w:val="29051210"/>
    <w:rsid w:val="294D23A3"/>
    <w:rsid w:val="295A3ADD"/>
    <w:rsid w:val="29723F48"/>
    <w:rsid w:val="29802FB2"/>
    <w:rsid w:val="298505A2"/>
    <w:rsid w:val="29860F2A"/>
    <w:rsid w:val="299F5B1C"/>
    <w:rsid w:val="29A24A22"/>
    <w:rsid w:val="29AD0730"/>
    <w:rsid w:val="29C45A16"/>
    <w:rsid w:val="29C5192F"/>
    <w:rsid w:val="29C966E1"/>
    <w:rsid w:val="29D26BE3"/>
    <w:rsid w:val="29D5098C"/>
    <w:rsid w:val="29D561ED"/>
    <w:rsid w:val="29E7346D"/>
    <w:rsid w:val="29F3177B"/>
    <w:rsid w:val="2A19597B"/>
    <w:rsid w:val="2A697EC4"/>
    <w:rsid w:val="2A6C2D68"/>
    <w:rsid w:val="2A7439F6"/>
    <w:rsid w:val="2A770936"/>
    <w:rsid w:val="2A783C63"/>
    <w:rsid w:val="2A7845A9"/>
    <w:rsid w:val="2A943DAD"/>
    <w:rsid w:val="2A9600F1"/>
    <w:rsid w:val="2AA412F6"/>
    <w:rsid w:val="2AAC161B"/>
    <w:rsid w:val="2AAC7A71"/>
    <w:rsid w:val="2AB033C0"/>
    <w:rsid w:val="2AB65D9E"/>
    <w:rsid w:val="2AB70C30"/>
    <w:rsid w:val="2AB83C71"/>
    <w:rsid w:val="2AD6659D"/>
    <w:rsid w:val="2AE670DA"/>
    <w:rsid w:val="2AE80DE9"/>
    <w:rsid w:val="2AEA69C9"/>
    <w:rsid w:val="2AF114A8"/>
    <w:rsid w:val="2AF67C26"/>
    <w:rsid w:val="2AFB4FC0"/>
    <w:rsid w:val="2AFF1738"/>
    <w:rsid w:val="2B00571A"/>
    <w:rsid w:val="2B014572"/>
    <w:rsid w:val="2B03735A"/>
    <w:rsid w:val="2B0F20AF"/>
    <w:rsid w:val="2B1A38C4"/>
    <w:rsid w:val="2B234A13"/>
    <w:rsid w:val="2B2E4BBD"/>
    <w:rsid w:val="2B371124"/>
    <w:rsid w:val="2B376F2C"/>
    <w:rsid w:val="2B417276"/>
    <w:rsid w:val="2B423D41"/>
    <w:rsid w:val="2B5A5895"/>
    <w:rsid w:val="2B663069"/>
    <w:rsid w:val="2B6715A2"/>
    <w:rsid w:val="2B6F3D1D"/>
    <w:rsid w:val="2B97570A"/>
    <w:rsid w:val="2B9E1037"/>
    <w:rsid w:val="2BA702B7"/>
    <w:rsid w:val="2BAA0A20"/>
    <w:rsid w:val="2BAC05D7"/>
    <w:rsid w:val="2BAF601D"/>
    <w:rsid w:val="2BC36D5D"/>
    <w:rsid w:val="2BC3709C"/>
    <w:rsid w:val="2BCD67C6"/>
    <w:rsid w:val="2BD870AF"/>
    <w:rsid w:val="2BDB044F"/>
    <w:rsid w:val="2BDB2A2F"/>
    <w:rsid w:val="2BDC2835"/>
    <w:rsid w:val="2BDE25F4"/>
    <w:rsid w:val="2BFA25A7"/>
    <w:rsid w:val="2C175FF3"/>
    <w:rsid w:val="2C3A0F67"/>
    <w:rsid w:val="2C412EA7"/>
    <w:rsid w:val="2C456DB2"/>
    <w:rsid w:val="2C4D7604"/>
    <w:rsid w:val="2C4F787A"/>
    <w:rsid w:val="2C5E503C"/>
    <w:rsid w:val="2C694507"/>
    <w:rsid w:val="2C6D4ADE"/>
    <w:rsid w:val="2C6E17C2"/>
    <w:rsid w:val="2C764B59"/>
    <w:rsid w:val="2C852F06"/>
    <w:rsid w:val="2C86202C"/>
    <w:rsid w:val="2C9A7442"/>
    <w:rsid w:val="2C9F53AF"/>
    <w:rsid w:val="2CB04C7A"/>
    <w:rsid w:val="2CBA641B"/>
    <w:rsid w:val="2CBD76A7"/>
    <w:rsid w:val="2CE425A0"/>
    <w:rsid w:val="2CED2283"/>
    <w:rsid w:val="2CFB4920"/>
    <w:rsid w:val="2D000C36"/>
    <w:rsid w:val="2D0F5A37"/>
    <w:rsid w:val="2D7D4FB5"/>
    <w:rsid w:val="2D912F1F"/>
    <w:rsid w:val="2D982E0B"/>
    <w:rsid w:val="2D9A6343"/>
    <w:rsid w:val="2D9E43DE"/>
    <w:rsid w:val="2DA20924"/>
    <w:rsid w:val="2DB70EB7"/>
    <w:rsid w:val="2DC44CE7"/>
    <w:rsid w:val="2DD05EEA"/>
    <w:rsid w:val="2DD545DA"/>
    <w:rsid w:val="2DD84E56"/>
    <w:rsid w:val="2DEE5C16"/>
    <w:rsid w:val="2DF33D2D"/>
    <w:rsid w:val="2E072654"/>
    <w:rsid w:val="2E0E6DB8"/>
    <w:rsid w:val="2E0E7ADB"/>
    <w:rsid w:val="2E0F6C31"/>
    <w:rsid w:val="2E230568"/>
    <w:rsid w:val="2E2E0B72"/>
    <w:rsid w:val="2E3C6129"/>
    <w:rsid w:val="2E470A76"/>
    <w:rsid w:val="2E4C0591"/>
    <w:rsid w:val="2E671596"/>
    <w:rsid w:val="2E6F2E49"/>
    <w:rsid w:val="2E7B77CB"/>
    <w:rsid w:val="2E890D17"/>
    <w:rsid w:val="2E8F08D3"/>
    <w:rsid w:val="2EB6719F"/>
    <w:rsid w:val="2EC70E2B"/>
    <w:rsid w:val="2EC871B6"/>
    <w:rsid w:val="2ED42671"/>
    <w:rsid w:val="2EE552E0"/>
    <w:rsid w:val="2F00532F"/>
    <w:rsid w:val="2F0C1340"/>
    <w:rsid w:val="2F126E55"/>
    <w:rsid w:val="2F1965ED"/>
    <w:rsid w:val="2F1D79A9"/>
    <w:rsid w:val="2F2933FF"/>
    <w:rsid w:val="2F2E122B"/>
    <w:rsid w:val="2F404BA2"/>
    <w:rsid w:val="2F6333F4"/>
    <w:rsid w:val="2F70286C"/>
    <w:rsid w:val="2F853A52"/>
    <w:rsid w:val="2F86459D"/>
    <w:rsid w:val="2F9075F6"/>
    <w:rsid w:val="2FA44FE5"/>
    <w:rsid w:val="2FAB0637"/>
    <w:rsid w:val="2FD74BAD"/>
    <w:rsid w:val="2FF1709A"/>
    <w:rsid w:val="2FF36512"/>
    <w:rsid w:val="2FF5662D"/>
    <w:rsid w:val="301B2EF0"/>
    <w:rsid w:val="30306CAD"/>
    <w:rsid w:val="3041612E"/>
    <w:rsid w:val="304F32E8"/>
    <w:rsid w:val="304F32F8"/>
    <w:rsid w:val="307B4A76"/>
    <w:rsid w:val="307E54C2"/>
    <w:rsid w:val="308A5A8A"/>
    <w:rsid w:val="30A05F8F"/>
    <w:rsid w:val="30A87D9E"/>
    <w:rsid w:val="30B94C8A"/>
    <w:rsid w:val="30CE1DB1"/>
    <w:rsid w:val="30CE2C69"/>
    <w:rsid w:val="30DD432A"/>
    <w:rsid w:val="30F11489"/>
    <w:rsid w:val="310D3BFE"/>
    <w:rsid w:val="3124769E"/>
    <w:rsid w:val="312B1981"/>
    <w:rsid w:val="313951D9"/>
    <w:rsid w:val="314A44F6"/>
    <w:rsid w:val="31591B73"/>
    <w:rsid w:val="31613D50"/>
    <w:rsid w:val="31670B11"/>
    <w:rsid w:val="316C0C93"/>
    <w:rsid w:val="31712B9B"/>
    <w:rsid w:val="317F3D7D"/>
    <w:rsid w:val="31A13AF8"/>
    <w:rsid w:val="31A61AC1"/>
    <w:rsid w:val="31AC6E9D"/>
    <w:rsid w:val="31B60DCF"/>
    <w:rsid w:val="31C9085B"/>
    <w:rsid w:val="31CD0C24"/>
    <w:rsid w:val="31DF732B"/>
    <w:rsid w:val="31F0559B"/>
    <w:rsid w:val="31F2644E"/>
    <w:rsid w:val="3202689B"/>
    <w:rsid w:val="322963D4"/>
    <w:rsid w:val="322E7A3F"/>
    <w:rsid w:val="323538F4"/>
    <w:rsid w:val="323C6BF4"/>
    <w:rsid w:val="32423C73"/>
    <w:rsid w:val="324D37D7"/>
    <w:rsid w:val="32732A9E"/>
    <w:rsid w:val="32876A68"/>
    <w:rsid w:val="32A01606"/>
    <w:rsid w:val="32AB1855"/>
    <w:rsid w:val="32C4346E"/>
    <w:rsid w:val="32C94A9C"/>
    <w:rsid w:val="32E32527"/>
    <w:rsid w:val="32E36829"/>
    <w:rsid w:val="32E91BA2"/>
    <w:rsid w:val="33014BF1"/>
    <w:rsid w:val="3307303B"/>
    <w:rsid w:val="330C4345"/>
    <w:rsid w:val="33115987"/>
    <w:rsid w:val="33174CB8"/>
    <w:rsid w:val="332D454F"/>
    <w:rsid w:val="334E1463"/>
    <w:rsid w:val="33573F06"/>
    <w:rsid w:val="33661064"/>
    <w:rsid w:val="33675FE5"/>
    <w:rsid w:val="33857B1D"/>
    <w:rsid w:val="33BE5DDC"/>
    <w:rsid w:val="33BF0715"/>
    <w:rsid w:val="33BF24F0"/>
    <w:rsid w:val="33C13BCF"/>
    <w:rsid w:val="33D829FB"/>
    <w:rsid w:val="33E657AC"/>
    <w:rsid w:val="33EA0A02"/>
    <w:rsid w:val="33F03F67"/>
    <w:rsid w:val="340E7B8F"/>
    <w:rsid w:val="341512E8"/>
    <w:rsid w:val="34265E2B"/>
    <w:rsid w:val="343721AD"/>
    <w:rsid w:val="34405046"/>
    <w:rsid w:val="344275D6"/>
    <w:rsid w:val="34476388"/>
    <w:rsid w:val="344E6288"/>
    <w:rsid w:val="34555C22"/>
    <w:rsid w:val="34593F17"/>
    <w:rsid w:val="34701C5B"/>
    <w:rsid w:val="34763BE6"/>
    <w:rsid w:val="347D28CB"/>
    <w:rsid w:val="34891CAF"/>
    <w:rsid w:val="34924645"/>
    <w:rsid w:val="349430A2"/>
    <w:rsid w:val="34983E85"/>
    <w:rsid w:val="34A07D70"/>
    <w:rsid w:val="34A8746A"/>
    <w:rsid w:val="34B95274"/>
    <w:rsid w:val="34C31E17"/>
    <w:rsid w:val="34C651B2"/>
    <w:rsid w:val="34E27D89"/>
    <w:rsid w:val="34E60AFF"/>
    <w:rsid w:val="34F03F21"/>
    <w:rsid w:val="351C0FC7"/>
    <w:rsid w:val="353A36F2"/>
    <w:rsid w:val="354A267F"/>
    <w:rsid w:val="355636BC"/>
    <w:rsid w:val="355B5480"/>
    <w:rsid w:val="35640556"/>
    <w:rsid w:val="356517DE"/>
    <w:rsid w:val="356B4EC0"/>
    <w:rsid w:val="3575147E"/>
    <w:rsid w:val="358800A3"/>
    <w:rsid w:val="35994D55"/>
    <w:rsid w:val="359C031B"/>
    <w:rsid w:val="35A62223"/>
    <w:rsid w:val="35A63D95"/>
    <w:rsid w:val="35AB3B2B"/>
    <w:rsid w:val="35B11597"/>
    <w:rsid w:val="35CA398D"/>
    <w:rsid w:val="35D52EA1"/>
    <w:rsid w:val="35D71B62"/>
    <w:rsid w:val="35DC08FF"/>
    <w:rsid w:val="35DE0ABE"/>
    <w:rsid w:val="35F61457"/>
    <w:rsid w:val="36094C18"/>
    <w:rsid w:val="360B3E62"/>
    <w:rsid w:val="36116419"/>
    <w:rsid w:val="361B2DA1"/>
    <w:rsid w:val="362F21BC"/>
    <w:rsid w:val="36641F14"/>
    <w:rsid w:val="3667213F"/>
    <w:rsid w:val="366F1F2A"/>
    <w:rsid w:val="367455E4"/>
    <w:rsid w:val="36753CB7"/>
    <w:rsid w:val="367A176A"/>
    <w:rsid w:val="367B6B0A"/>
    <w:rsid w:val="367E0853"/>
    <w:rsid w:val="367F29FE"/>
    <w:rsid w:val="368C7EA6"/>
    <w:rsid w:val="36960557"/>
    <w:rsid w:val="36A97376"/>
    <w:rsid w:val="36B16487"/>
    <w:rsid w:val="36C84192"/>
    <w:rsid w:val="36CA2BAA"/>
    <w:rsid w:val="36D72917"/>
    <w:rsid w:val="36E12AEE"/>
    <w:rsid w:val="36E41E01"/>
    <w:rsid w:val="36E96B77"/>
    <w:rsid w:val="36EB20E9"/>
    <w:rsid w:val="370400E9"/>
    <w:rsid w:val="370E4390"/>
    <w:rsid w:val="37226D7B"/>
    <w:rsid w:val="3744619F"/>
    <w:rsid w:val="3749468B"/>
    <w:rsid w:val="375B01E0"/>
    <w:rsid w:val="376F3618"/>
    <w:rsid w:val="376F52BC"/>
    <w:rsid w:val="377767B6"/>
    <w:rsid w:val="37797AAB"/>
    <w:rsid w:val="3786153A"/>
    <w:rsid w:val="378A37A1"/>
    <w:rsid w:val="3791510D"/>
    <w:rsid w:val="37965565"/>
    <w:rsid w:val="379B73D3"/>
    <w:rsid w:val="37A43962"/>
    <w:rsid w:val="37D949C5"/>
    <w:rsid w:val="37F2708E"/>
    <w:rsid w:val="37F421EA"/>
    <w:rsid w:val="37FB67FF"/>
    <w:rsid w:val="37FE3535"/>
    <w:rsid w:val="38032C28"/>
    <w:rsid w:val="38042FDA"/>
    <w:rsid w:val="3808295F"/>
    <w:rsid w:val="38097807"/>
    <w:rsid w:val="38191361"/>
    <w:rsid w:val="38195423"/>
    <w:rsid w:val="38257D66"/>
    <w:rsid w:val="383C01D5"/>
    <w:rsid w:val="384D33BF"/>
    <w:rsid w:val="38733BD9"/>
    <w:rsid w:val="387678EF"/>
    <w:rsid w:val="38774A19"/>
    <w:rsid w:val="387B78CA"/>
    <w:rsid w:val="388001CE"/>
    <w:rsid w:val="388A0CB7"/>
    <w:rsid w:val="388E3CF1"/>
    <w:rsid w:val="38A90541"/>
    <w:rsid w:val="38A9178B"/>
    <w:rsid w:val="38B642D4"/>
    <w:rsid w:val="38BE7CEB"/>
    <w:rsid w:val="38D842E2"/>
    <w:rsid w:val="38EC50DA"/>
    <w:rsid w:val="38F26397"/>
    <w:rsid w:val="38F45118"/>
    <w:rsid w:val="39027111"/>
    <w:rsid w:val="390F3553"/>
    <w:rsid w:val="391E2F97"/>
    <w:rsid w:val="39254F15"/>
    <w:rsid w:val="392A24C0"/>
    <w:rsid w:val="395B7FBE"/>
    <w:rsid w:val="3964294B"/>
    <w:rsid w:val="39660812"/>
    <w:rsid w:val="396B4064"/>
    <w:rsid w:val="396C3366"/>
    <w:rsid w:val="3971655D"/>
    <w:rsid w:val="39735619"/>
    <w:rsid w:val="39776274"/>
    <w:rsid w:val="397B07A1"/>
    <w:rsid w:val="397C2885"/>
    <w:rsid w:val="398E10BD"/>
    <w:rsid w:val="39A47F61"/>
    <w:rsid w:val="39AE1650"/>
    <w:rsid w:val="39D24CD2"/>
    <w:rsid w:val="39D5177E"/>
    <w:rsid w:val="39D9772B"/>
    <w:rsid w:val="39EB11C2"/>
    <w:rsid w:val="3A20689B"/>
    <w:rsid w:val="3A2401C3"/>
    <w:rsid w:val="3A291355"/>
    <w:rsid w:val="3A2A2E87"/>
    <w:rsid w:val="3A505A90"/>
    <w:rsid w:val="3A741FB5"/>
    <w:rsid w:val="3A786B5C"/>
    <w:rsid w:val="3A8525FC"/>
    <w:rsid w:val="3A856654"/>
    <w:rsid w:val="3A970102"/>
    <w:rsid w:val="3AA5396C"/>
    <w:rsid w:val="3AA900F2"/>
    <w:rsid w:val="3AB72792"/>
    <w:rsid w:val="3ABA3515"/>
    <w:rsid w:val="3AC91B59"/>
    <w:rsid w:val="3AD4225A"/>
    <w:rsid w:val="3AD45AEE"/>
    <w:rsid w:val="3B0D11F6"/>
    <w:rsid w:val="3B265EE6"/>
    <w:rsid w:val="3B2958E9"/>
    <w:rsid w:val="3B295F56"/>
    <w:rsid w:val="3B2A7A46"/>
    <w:rsid w:val="3B371E35"/>
    <w:rsid w:val="3B3D51FD"/>
    <w:rsid w:val="3B3D75CD"/>
    <w:rsid w:val="3B4A408F"/>
    <w:rsid w:val="3B603CEB"/>
    <w:rsid w:val="3B661838"/>
    <w:rsid w:val="3B7E4FB5"/>
    <w:rsid w:val="3B7E64BE"/>
    <w:rsid w:val="3BAE26C7"/>
    <w:rsid w:val="3BB450D2"/>
    <w:rsid w:val="3BC35686"/>
    <w:rsid w:val="3BD13A15"/>
    <w:rsid w:val="3BDC04F6"/>
    <w:rsid w:val="3BE81CD4"/>
    <w:rsid w:val="3BF56E94"/>
    <w:rsid w:val="3C016259"/>
    <w:rsid w:val="3C0C648C"/>
    <w:rsid w:val="3C264AF4"/>
    <w:rsid w:val="3C49161D"/>
    <w:rsid w:val="3C4A6CF3"/>
    <w:rsid w:val="3C5E0C3A"/>
    <w:rsid w:val="3C663197"/>
    <w:rsid w:val="3C664B9A"/>
    <w:rsid w:val="3C7544A7"/>
    <w:rsid w:val="3C7A6B18"/>
    <w:rsid w:val="3C806348"/>
    <w:rsid w:val="3C8B5A78"/>
    <w:rsid w:val="3C8C1D3C"/>
    <w:rsid w:val="3C8F74B9"/>
    <w:rsid w:val="3C9A2E98"/>
    <w:rsid w:val="3CA65007"/>
    <w:rsid w:val="3CB15A9E"/>
    <w:rsid w:val="3CB3734B"/>
    <w:rsid w:val="3CBE1C67"/>
    <w:rsid w:val="3CD978E3"/>
    <w:rsid w:val="3CE00C37"/>
    <w:rsid w:val="3D006466"/>
    <w:rsid w:val="3D020088"/>
    <w:rsid w:val="3D046FBB"/>
    <w:rsid w:val="3D0C4F7A"/>
    <w:rsid w:val="3D0D0E1E"/>
    <w:rsid w:val="3D11205B"/>
    <w:rsid w:val="3D1F7E30"/>
    <w:rsid w:val="3D3D55B3"/>
    <w:rsid w:val="3D5114B0"/>
    <w:rsid w:val="3D721750"/>
    <w:rsid w:val="3D912E15"/>
    <w:rsid w:val="3D93300F"/>
    <w:rsid w:val="3DA25CD1"/>
    <w:rsid w:val="3DAC5982"/>
    <w:rsid w:val="3DBA558A"/>
    <w:rsid w:val="3DC415FD"/>
    <w:rsid w:val="3DD57647"/>
    <w:rsid w:val="3DDB1CF2"/>
    <w:rsid w:val="3DF57717"/>
    <w:rsid w:val="3DF95085"/>
    <w:rsid w:val="3E007A99"/>
    <w:rsid w:val="3E23132D"/>
    <w:rsid w:val="3E2A2B34"/>
    <w:rsid w:val="3E311B1E"/>
    <w:rsid w:val="3E390735"/>
    <w:rsid w:val="3E500D27"/>
    <w:rsid w:val="3E524DB0"/>
    <w:rsid w:val="3E587617"/>
    <w:rsid w:val="3E672F6D"/>
    <w:rsid w:val="3E6F035F"/>
    <w:rsid w:val="3E7479FA"/>
    <w:rsid w:val="3E796019"/>
    <w:rsid w:val="3E7D174C"/>
    <w:rsid w:val="3E7F19F3"/>
    <w:rsid w:val="3E87586E"/>
    <w:rsid w:val="3E8C4DE2"/>
    <w:rsid w:val="3EAE3246"/>
    <w:rsid w:val="3EC77C5F"/>
    <w:rsid w:val="3EDB58AE"/>
    <w:rsid w:val="3EDF090D"/>
    <w:rsid w:val="3EFC53AD"/>
    <w:rsid w:val="3F0D24DE"/>
    <w:rsid w:val="3F12480E"/>
    <w:rsid w:val="3F2F4130"/>
    <w:rsid w:val="3F3172BC"/>
    <w:rsid w:val="3F3425C5"/>
    <w:rsid w:val="3F3B050C"/>
    <w:rsid w:val="3F50302F"/>
    <w:rsid w:val="3F50722A"/>
    <w:rsid w:val="3F547CFB"/>
    <w:rsid w:val="3F620A41"/>
    <w:rsid w:val="3F645D9C"/>
    <w:rsid w:val="3F704B2C"/>
    <w:rsid w:val="3F886FDC"/>
    <w:rsid w:val="3F8F4D01"/>
    <w:rsid w:val="3FAE21FD"/>
    <w:rsid w:val="3FC32874"/>
    <w:rsid w:val="3FC3473C"/>
    <w:rsid w:val="3FC36CAC"/>
    <w:rsid w:val="3FD54D3F"/>
    <w:rsid w:val="3FE168EF"/>
    <w:rsid w:val="3FEC750F"/>
    <w:rsid w:val="40054C75"/>
    <w:rsid w:val="402E6895"/>
    <w:rsid w:val="40343C27"/>
    <w:rsid w:val="403C0F08"/>
    <w:rsid w:val="404623E2"/>
    <w:rsid w:val="4051214C"/>
    <w:rsid w:val="405359EB"/>
    <w:rsid w:val="405A34BE"/>
    <w:rsid w:val="40675AAE"/>
    <w:rsid w:val="4092243D"/>
    <w:rsid w:val="40926840"/>
    <w:rsid w:val="409A77D0"/>
    <w:rsid w:val="40B251CA"/>
    <w:rsid w:val="40CB0591"/>
    <w:rsid w:val="40CF3600"/>
    <w:rsid w:val="40D12F9B"/>
    <w:rsid w:val="40D50F73"/>
    <w:rsid w:val="40DC1751"/>
    <w:rsid w:val="40E7497E"/>
    <w:rsid w:val="40E765BD"/>
    <w:rsid w:val="40EF0AEB"/>
    <w:rsid w:val="40F96E55"/>
    <w:rsid w:val="41242C08"/>
    <w:rsid w:val="412A19A2"/>
    <w:rsid w:val="412A36C2"/>
    <w:rsid w:val="414E6719"/>
    <w:rsid w:val="41576B2C"/>
    <w:rsid w:val="41586871"/>
    <w:rsid w:val="415B07A2"/>
    <w:rsid w:val="41774E03"/>
    <w:rsid w:val="41796032"/>
    <w:rsid w:val="417A46D4"/>
    <w:rsid w:val="417B0E4A"/>
    <w:rsid w:val="419345E1"/>
    <w:rsid w:val="41940CDA"/>
    <w:rsid w:val="41A72675"/>
    <w:rsid w:val="41C3617D"/>
    <w:rsid w:val="41CF0BCF"/>
    <w:rsid w:val="41CF1FC3"/>
    <w:rsid w:val="41D04A89"/>
    <w:rsid w:val="41D427C4"/>
    <w:rsid w:val="41D5341F"/>
    <w:rsid w:val="41DA2457"/>
    <w:rsid w:val="41E04248"/>
    <w:rsid w:val="41E47BF1"/>
    <w:rsid w:val="41FA1797"/>
    <w:rsid w:val="42042CCA"/>
    <w:rsid w:val="420C2D0C"/>
    <w:rsid w:val="42135F99"/>
    <w:rsid w:val="422E235E"/>
    <w:rsid w:val="422F28CD"/>
    <w:rsid w:val="42350960"/>
    <w:rsid w:val="423D2011"/>
    <w:rsid w:val="4247327D"/>
    <w:rsid w:val="42573613"/>
    <w:rsid w:val="426678EE"/>
    <w:rsid w:val="42723AF9"/>
    <w:rsid w:val="427F26F5"/>
    <w:rsid w:val="428B33EB"/>
    <w:rsid w:val="428D2062"/>
    <w:rsid w:val="429A174E"/>
    <w:rsid w:val="429C5E4D"/>
    <w:rsid w:val="42A06367"/>
    <w:rsid w:val="42AD78A4"/>
    <w:rsid w:val="42CF4092"/>
    <w:rsid w:val="42E819EF"/>
    <w:rsid w:val="4300169F"/>
    <w:rsid w:val="43044383"/>
    <w:rsid w:val="43163E4F"/>
    <w:rsid w:val="431E1052"/>
    <w:rsid w:val="43284D49"/>
    <w:rsid w:val="43423794"/>
    <w:rsid w:val="43482809"/>
    <w:rsid w:val="435E317C"/>
    <w:rsid w:val="43681182"/>
    <w:rsid w:val="436E35F1"/>
    <w:rsid w:val="43727FC7"/>
    <w:rsid w:val="43794BD1"/>
    <w:rsid w:val="437E48DF"/>
    <w:rsid w:val="43882053"/>
    <w:rsid w:val="43902086"/>
    <w:rsid w:val="43B1235C"/>
    <w:rsid w:val="43B312D5"/>
    <w:rsid w:val="43C92B93"/>
    <w:rsid w:val="43DB473E"/>
    <w:rsid w:val="44077F74"/>
    <w:rsid w:val="441D46C5"/>
    <w:rsid w:val="44295FF0"/>
    <w:rsid w:val="443B08A0"/>
    <w:rsid w:val="443B23AE"/>
    <w:rsid w:val="44447C13"/>
    <w:rsid w:val="446C6F8F"/>
    <w:rsid w:val="44781099"/>
    <w:rsid w:val="447E6B98"/>
    <w:rsid w:val="44986F84"/>
    <w:rsid w:val="449E187D"/>
    <w:rsid w:val="449E7BDA"/>
    <w:rsid w:val="44A53D78"/>
    <w:rsid w:val="44C435DD"/>
    <w:rsid w:val="44C57EEC"/>
    <w:rsid w:val="44D70159"/>
    <w:rsid w:val="44DC369D"/>
    <w:rsid w:val="44E93621"/>
    <w:rsid w:val="44ED53EA"/>
    <w:rsid w:val="44EF51D3"/>
    <w:rsid w:val="44F70A3C"/>
    <w:rsid w:val="450A04BB"/>
    <w:rsid w:val="4513358A"/>
    <w:rsid w:val="45213FCF"/>
    <w:rsid w:val="45280417"/>
    <w:rsid w:val="452B5682"/>
    <w:rsid w:val="45307F67"/>
    <w:rsid w:val="453B00AD"/>
    <w:rsid w:val="4553238D"/>
    <w:rsid w:val="45671B61"/>
    <w:rsid w:val="456B3FAE"/>
    <w:rsid w:val="4582789B"/>
    <w:rsid w:val="458E7552"/>
    <w:rsid w:val="459D7461"/>
    <w:rsid w:val="45CA5309"/>
    <w:rsid w:val="45CC0778"/>
    <w:rsid w:val="45F0194D"/>
    <w:rsid w:val="45F2319F"/>
    <w:rsid w:val="461A78A6"/>
    <w:rsid w:val="461C707A"/>
    <w:rsid w:val="462076B9"/>
    <w:rsid w:val="4625231E"/>
    <w:rsid w:val="46297D36"/>
    <w:rsid w:val="462B6CDC"/>
    <w:rsid w:val="46362EF9"/>
    <w:rsid w:val="464D75C2"/>
    <w:rsid w:val="466F0EB8"/>
    <w:rsid w:val="467745C7"/>
    <w:rsid w:val="4679703A"/>
    <w:rsid w:val="46A301C2"/>
    <w:rsid w:val="46A72D5F"/>
    <w:rsid w:val="46AE0331"/>
    <w:rsid w:val="46B215A3"/>
    <w:rsid w:val="46C36755"/>
    <w:rsid w:val="46CF63F3"/>
    <w:rsid w:val="46D027AA"/>
    <w:rsid w:val="46E16853"/>
    <w:rsid w:val="46F65AC3"/>
    <w:rsid w:val="47096150"/>
    <w:rsid w:val="47202571"/>
    <w:rsid w:val="47204C82"/>
    <w:rsid w:val="47334460"/>
    <w:rsid w:val="47440ED2"/>
    <w:rsid w:val="47561FFE"/>
    <w:rsid w:val="47723768"/>
    <w:rsid w:val="477A4296"/>
    <w:rsid w:val="47991772"/>
    <w:rsid w:val="479D6455"/>
    <w:rsid w:val="47AC1F57"/>
    <w:rsid w:val="47B71E17"/>
    <w:rsid w:val="47CD6965"/>
    <w:rsid w:val="47D04FEB"/>
    <w:rsid w:val="47D33EDA"/>
    <w:rsid w:val="47D9353C"/>
    <w:rsid w:val="47FB70B2"/>
    <w:rsid w:val="4823219D"/>
    <w:rsid w:val="483C02D5"/>
    <w:rsid w:val="4841143C"/>
    <w:rsid w:val="484E2A87"/>
    <w:rsid w:val="48690797"/>
    <w:rsid w:val="48756BB9"/>
    <w:rsid w:val="48884CA2"/>
    <w:rsid w:val="48890FA5"/>
    <w:rsid w:val="489472D5"/>
    <w:rsid w:val="489F3637"/>
    <w:rsid w:val="48AF1DF5"/>
    <w:rsid w:val="48B42737"/>
    <w:rsid w:val="48B5112D"/>
    <w:rsid w:val="48C620E4"/>
    <w:rsid w:val="48CA12E2"/>
    <w:rsid w:val="48CC5702"/>
    <w:rsid w:val="48DD2962"/>
    <w:rsid w:val="48F478D7"/>
    <w:rsid w:val="490176A6"/>
    <w:rsid w:val="490B6294"/>
    <w:rsid w:val="491B310F"/>
    <w:rsid w:val="49287308"/>
    <w:rsid w:val="493312D8"/>
    <w:rsid w:val="49413270"/>
    <w:rsid w:val="494144BF"/>
    <w:rsid w:val="4942032F"/>
    <w:rsid w:val="49490BB1"/>
    <w:rsid w:val="494D3991"/>
    <w:rsid w:val="495C5DB3"/>
    <w:rsid w:val="495E22F4"/>
    <w:rsid w:val="49692915"/>
    <w:rsid w:val="496C7BE2"/>
    <w:rsid w:val="49806E87"/>
    <w:rsid w:val="499625EB"/>
    <w:rsid w:val="49A60E00"/>
    <w:rsid w:val="49AB1508"/>
    <w:rsid w:val="49B46B3B"/>
    <w:rsid w:val="49B554E0"/>
    <w:rsid w:val="49D03506"/>
    <w:rsid w:val="49DA46A6"/>
    <w:rsid w:val="49EF1F42"/>
    <w:rsid w:val="49F6052F"/>
    <w:rsid w:val="49F81850"/>
    <w:rsid w:val="4A06397E"/>
    <w:rsid w:val="4A346BD3"/>
    <w:rsid w:val="4A3847B0"/>
    <w:rsid w:val="4A3C64C0"/>
    <w:rsid w:val="4A3F772C"/>
    <w:rsid w:val="4A433226"/>
    <w:rsid w:val="4A513E5D"/>
    <w:rsid w:val="4A6603DD"/>
    <w:rsid w:val="4A687C92"/>
    <w:rsid w:val="4A6E7668"/>
    <w:rsid w:val="4A8D3307"/>
    <w:rsid w:val="4A9647BF"/>
    <w:rsid w:val="4AB71F1A"/>
    <w:rsid w:val="4ABA45EC"/>
    <w:rsid w:val="4AC10173"/>
    <w:rsid w:val="4AC6756E"/>
    <w:rsid w:val="4AC83E1D"/>
    <w:rsid w:val="4AC85C84"/>
    <w:rsid w:val="4AC90043"/>
    <w:rsid w:val="4ACC7988"/>
    <w:rsid w:val="4ACE2329"/>
    <w:rsid w:val="4AD36CDD"/>
    <w:rsid w:val="4B03149D"/>
    <w:rsid w:val="4B102178"/>
    <w:rsid w:val="4B2E6B55"/>
    <w:rsid w:val="4B414677"/>
    <w:rsid w:val="4B4E4182"/>
    <w:rsid w:val="4B5D4F66"/>
    <w:rsid w:val="4B7132C9"/>
    <w:rsid w:val="4B7E42E6"/>
    <w:rsid w:val="4B850665"/>
    <w:rsid w:val="4B982476"/>
    <w:rsid w:val="4B992729"/>
    <w:rsid w:val="4BA95B20"/>
    <w:rsid w:val="4BBB0F20"/>
    <w:rsid w:val="4BD02FEE"/>
    <w:rsid w:val="4BD63A74"/>
    <w:rsid w:val="4BF14E5C"/>
    <w:rsid w:val="4C063100"/>
    <w:rsid w:val="4C0D46FC"/>
    <w:rsid w:val="4C1965CE"/>
    <w:rsid w:val="4C3103EA"/>
    <w:rsid w:val="4C3615D7"/>
    <w:rsid w:val="4C366E02"/>
    <w:rsid w:val="4C4716C5"/>
    <w:rsid w:val="4C4F70DA"/>
    <w:rsid w:val="4C6360CA"/>
    <w:rsid w:val="4C656166"/>
    <w:rsid w:val="4C892D28"/>
    <w:rsid w:val="4C8A01FD"/>
    <w:rsid w:val="4C8D0AEF"/>
    <w:rsid w:val="4C9A3A8F"/>
    <w:rsid w:val="4CA2565E"/>
    <w:rsid w:val="4CAD6BE8"/>
    <w:rsid w:val="4CAE4CFE"/>
    <w:rsid w:val="4CB15BA7"/>
    <w:rsid w:val="4CEC0B69"/>
    <w:rsid w:val="4CF306AC"/>
    <w:rsid w:val="4CF713AB"/>
    <w:rsid w:val="4CFB3A60"/>
    <w:rsid w:val="4CFC02F8"/>
    <w:rsid w:val="4D0F7C38"/>
    <w:rsid w:val="4D176485"/>
    <w:rsid w:val="4D2301A6"/>
    <w:rsid w:val="4D2951F8"/>
    <w:rsid w:val="4D397E04"/>
    <w:rsid w:val="4D445859"/>
    <w:rsid w:val="4D4A54BB"/>
    <w:rsid w:val="4D4B25D7"/>
    <w:rsid w:val="4D4B358B"/>
    <w:rsid w:val="4D5C6034"/>
    <w:rsid w:val="4D70517C"/>
    <w:rsid w:val="4D80406A"/>
    <w:rsid w:val="4D894C77"/>
    <w:rsid w:val="4D8B0486"/>
    <w:rsid w:val="4D94749F"/>
    <w:rsid w:val="4DA237EC"/>
    <w:rsid w:val="4DAF33E1"/>
    <w:rsid w:val="4DBF59FE"/>
    <w:rsid w:val="4DCD4574"/>
    <w:rsid w:val="4DD07975"/>
    <w:rsid w:val="4DD1007C"/>
    <w:rsid w:val="4DD80FF0"/>
    <w:rsid w:val="4DD86380"/>
    <w:rsid w:val="4DDA3A01"/>
    <w:rsid w:val="4DDA7070"/>
    <w:rsid w:val="4DE5277A"/>
    <w:rsid w:val="4DE8537C"/>
    <w:rsid w:val="4DF37665"/>
    <w:rsid w:val="4DFA2D23"/>
    <w:rsid w:val="4E1F795C"/>
    <w:rsid w:val="4E4C34B6"/>
    <w:rsid w:val="4E503A86"/>
    <w:rsid w:val="4E593C22"/>
    <w:rsid w:val="4E666A23"/>
    <w:rsid w:val="4E755591"/>
    <w:rsid w:val="4E757290"/>
    <w:rsid w:val="4EA50FBA"/>
    <w:rsid w:val="4EA97297"/>
    <w:rsid w:val="4EB04CEB"/>
    <w:rsid w:val="4EBC4081"/>
    <w:rsid w:val="4ECD4E0E"/>
    <w:rsid w:val="4ED005BA"/>
    <w:rsid w:val="4ED6035E"/>
    <w:rsid w:val="4ED91313"/>
    <w:rsid w:val="4EDF5CDB"/>
    <w:rsid w:val="4EED0A2C"/>
    <w:rsid w:val="4F1C47C4"/>
    <w:rsid w:val="4F233DA4"/>
    <w:rsid w:val="4F282206"/>
    <w:rsid w:val="4F38629A"/>
    <w:rsid w:val="4F554723"/>
    <w:rsid w:val="4F7C4181"/>
    <w:rsid w:val="4F96706C"/>
    <w:rsid w:val="4FA060F5"/>
    <w:rsid w:val="4FA666F2"/>
    <w:rsid w:val="4FC915F8"/>
    <w:rsid w:val="4FCB5B18"/>
    <w:rsid w:val="4FD00F9B"/>
    <w:rsid w:val="500E5B57"/>
    <w:rsid w:val="5017441D"/>
    <w:rsid w:val="503E1ACD"/>
    <w:rsid w:val="5040214B"/>
    <w:rsid w:val="504226CA"/>
    <w:rsid w:val="50483F54"/>
    <w:rsid w:val="504E4277"/>
    <w:rsid w:val="50591CBD"/>
    <w:rsid w:val="505F22E4"/>
    <w:rsid w:val="506A683A"/>
    <w:rsid w:val="506F3038"/>
    <w:rsid w:val="5086411C"/>
    <w:rsid w:val="508A184D"/>
    <w:rsid w:val="509F02B2"/>
    <w:rsid w:val="50A373DC"/>
    <w:rsid w:val="50DD4D72"/>
    <w:rsid w:val="50DF0D4A"/>
    <w:rsid w:val="50E64B6D"/>
    <w:rsid w:val="50F01A44"/>
    <w:rsid w:val="50F07683"/>
    <w:rsid w:val="50FC75A4"/>
    <w:rsid w:val="51085383"/>
    <w:rsid w:val="51227915"/>
    <w:rsid w:val="51325AB2"/>
    <w:rsid w:val="514903E4"/>
    <w:rsid w:val="516C70A1"/>
    <w:rsid w:val="51714ADC"/>
    <w:rsid w:val="518C7E71"/>
    <w:rsid w:val="519C25A2"/>
    <w:rsid w:val="519E29F2"/>
    <w:rsid w:val="51B811DC"/>
    <w:rsid w:val="51BC6BAA"/>
    <w:rsid w:val="51BF2E38"/>
    <w:rsid w:val="51E0169E"/>
    <w:rsid w:val="51EC5D6D"/>
    <w:rsid w:val="51EE1C60"/>
    <w:rsid w:val="51F223CA"/>
    <w:rsid w:val="51FC6DA4"/>
    <w:rsid w:val="52002EB5"/>
    <w:rsid w:val="52021553"/>
    <w:rsid w:val="52090350"/>
    <w:rsid w:val="52103717"/>
    <w:rsid w:val="521D4F6D"/>
    <w:rsid w:val="522A56F8"/>
    <w:rsid w:val="5244547C"/>
    <w:rsid w:val="5252541C"/>
    <w:rsid w:val="52546BE0"/>
    <w:rsid w:val="525C4143"/>
    <w:rsid w:val="527F1783"/>
    <w:rsid w:val="529E60AD"/>
    <w:rsid w:val="52AE3CC5"/>
    <w:rsid w:val="52B73B34"/>
    <w:rsid w:val="52B76F26"/>
    <w:rsid w:val="52B85D86"/>
    <w:rsid w:val="52BD6C74"/>
    <w:rsid w:val="52C371FE"/>
    <w:rsid w:val="52C70319"/>
    <w:rsid w:val="52D7336D"/>
    <w:rsid w:val="52DE46FC"/>
    <w:rsid w:val="52E5770B"/>
    <w:rsid w:val="52F73A82"/>
    <w:rsid w:val="53084074"/>
    <w:rsid w:val="533C483D"/>
    <w:rsid w:val="53400FA2"/>
    <w:rsid w:val="53477E93"/>
    <w:rsid w:val="534B0C47"/>
    <w:rsid w:val="53580AE6"/>
    <w:rsid w:val="5360776D"/>
    <w:rsid w:val="537261AA"/>
    <w:rsid w:val="537D1606"/>
    <w:rsid w:val="53836593"/>
    <w:rsid w:val="53932886"/>
    <w:rsid w:val="53AE57C5"/>
    <w:rsid w:val="53BB4A3D"/>
    <w:rsid w:val="53E411F3"/>
    <w:rsid w:val="53E7314D"/>
    <w:rsid w:val="541B56C7"/>
    <w:rsid w:val="541C1005"/>
    <w:rsid w:val="54200151"/>
    <w:rsid w:val="54224374"/>
    <w:rsid w:val="54271B3C"/>
    <w:rsid w:val="542A7D93"/>
    <w:rsid w:val="543E6C2C"/>
    <w:rsid w:val="545D691F"/>
    <w:rsid w:val="5469779B"/>
    <w:rsid w:val="547847F3"/>
    <w:rsid w:val="54BA4360"/>
    <w:rsid w:val="54CA6085"/>
    <w:rsid w:val="54D46A7E"/>
    <w:rsid w:val="54E03B7D"/>
    <w:rsid w:val="54F4771A"/>
    <w:rsid w:val="550D1833"/>
    <w:rsid w:val="551032A1"/>
    <w:rsid w:val="55293CB5"/>
    <w:rsid w:val="55342073"/>
    <w:rsid w:val="55350E12"/>
    <w:rsid w:val="553D7E5F"/>
    <w:rsid w:val="5542143C"/>
    <w:rsid w:val="555546FD"/>
    <w:rsid w:val="55661323"/>
    <w:rsid w:val="556A544F"/>
    <w:rsid w:val="556F2385"/>
    <w:rsid w:val="5573011A"/>
    <w:rsid w:val="557E18AD"/>
    <w:rsid w:val="557E26CE"/>
    <w:rsid w:val="558B0EF2"/>
    <w:rsid w:val="559579D8"/>
    <w:rsid w:val="55BF6A67"/>
    <w:rsid w:val="55C17AEF"/>
    <w:rsid w:val="55C20DD5"/>
    <w:rsid w:val="55D129CE"/>
    <w:rsid w:val="55DB4BD0"/>
    <w:rsid w:val="55EF44CD"/>
    <w:rsid w:val="55F07D70"/>
    <w:rsid w:val="55F77427"/>
    <w:rsid w:val="56085966"/>
    <w:rsid w:val="560A4E23"/>
    <w:rsid w:val="56195DC5"/>
    <w:rsid w:val="56420004"/>
    <w:rsid w:val="56513437"/>
    <w:rsid w:val="56545706"/>
    <w:rsid w:val="56664AF5"/>
    <w:rsid w:val="5671771B"/>
    <w:rsid w:val="567D0ED6"/>
    <w:rsid w:val="56876F4E"/>
    <w:rsid w:val="569C3C83"/>
    <w:rsid w:val="569E0034"/>
    <w:rsid w:val="56A2787D"/>
    <w:rsid w:val="56B26734"/>
    <w:rsid w:val="56C02EF8"/>
    <w:rsid w:val="56CC6F57"/>
    <w:rsid w:val="56CE766A"/>
    <w:rsid w:val="56D21446"/>
    <w:rsid w:val="56E0752D"/>
    <w:rsid w:val="5701107B"/>
    <w:rsid w:val="571455E4"/>
    <w:rsid w:val="571667EC"/>
    <w:rsid w:val="572A056F"/>
    <w:rsid w:val="572F2122"/>
    <w:rsid w:val="57513E3C"/>
    <w:rsid w:val="57552E27"/>
    <w:rsid w:val="575E71D1"/>
    <w:rsid w:val="57646EFF"/>
    <w:rsid w:val="576B1320"/>
    <w:rsid w:val="577379DD"/>
    <w:rsid w:val="57780285"/>
    <w:rsid w:val="57882E88"/>
    <w:rsid w:val="578D1B7F"/>
    <w:rsid w:val="579116B7"/>
    <w:rsid w:val="57935C4B"/>
    <w:rsid w:val="57975C7D"/>
    <w:rsid w:val="57BC6A97"/>
    <w:rsid w:val="57CB7122"/>
    <w:rsid w:val="58047041"/>
    <w:rsid w:val="58091D0F"/>
    <w:rsid w:val="580E6947"/>
    <w:rsid w:val="58160268"/>
    <w:rsid w:val="581D51AF"/>
    <w:rsid w:val="583A1258"/>
    <w:rsid w:val="583E1337"/>
    <w:rsid w:val="5840133F"/>
    <w:rsid w:val="58580C92"/>
    <w:rsid w:val="58792314"/>
    <w:rsid w:val="587C2042"/>
    <w:rsid w:val="58A75D48"/>
    <w:rsid w:val="58A9755A"/>
    <w:rsid w:val="58C65A77"/>
    <w:rsid w:val="58C67724"/>
    <w:rsid w:val="58D57550"/>
    <w:rsid w:val="58F301F8"/>
    <w:rsid w:val="58F74373"/>
    <w:rsid w:val="58F836DE"/>
    <w:rsid w:val="58FD408A"/>
    <w:rsid w:val="592B2BC8"/>
    <w:rsid w:val="593926DF"/>
    <w:rsid w:val="594204A0"/>
    <w:rsid w:val="5945570A"/>
    <w:rsid w:val="595D7793"/>
    <w:rsid w:val="595E0345"/>
    <w:rsid w:val="595F5C5C"/>
    <w:rsid w:val="59633CBA"/>
    <w:rsid w:val="596D5180"/>
    <w:rsid w:val="597D5818"/>
    <w:rsid w:val="59801E9C"/>
    <w:rsid w:val="59813AF8"/>
    <w:rsid w:val="59882642"/>
    <w:rsid w:val="598A1022"/>
    <w:rsid w:val="5999711C"/>
    <w:rsid w:val="599B61B6"/>
    <w:rsid w:val="599C0E6D"/>
    <w:rsid w:val="59A15E17"/>
    <w:rsid w:val="59BB2C66"/>
    <w:rsid w:val="59BB782C"/>
    <w:rsid w:val="59BD3347"/>
    <w:rsid w:val="59C376BE"/>
    <w:rsid w:val="59DE1635"/>
    <w:rsid w:val="59DE54FE"/>
    <w:rsid w:val="59F85D7C"/>
    <w:rsid w:val="5A031308"/>
    <w:rsid w:val="5A0C2052"/>
    <w:rsid w:val="5A0C32B1"/>
    <w:rsid w:val="5A1347F2"/>
    <w:rsid w:val="5A1A06A5"/>
    <w:rsid w:val="5A212B24"/>
    <w:rsid w:val="5A467435"/>
    <w:rsid w:val="5A5538A1"/>
    <w:rsid w:val="5A5843C1"/>
    <w:rsid w:val="5A5D7D02"/>
    <w:rsid w:val="5A6347A9"/>
    <w:rsid w:val="5A773442"/>
    <w:rsid w:val="5A7F4A16"/>
    <w:rsid w:val="5A8770B0"/>
    <w:rsid w:val="5A942EEB"/>
    <w:rsid w:val="5AA20FEB"/>
    <w:rsid w:val="5AA80C8D"/>
    <w:rsid w:val="5AA903B9"/>
    <w:rsid w:val="5AAF7D9D"/>
    <w:rsid w:val="5ADD7D17"/>
    <w:rsid w:val="5AE5107D"/>
    <w:rsid w:val="5AEB01EC"/>
    <w:rsid w:val="5AF13E08"/>
    <w:rsid w:val="5B2C01F2"/>
    <w:rsid w:val="5B5267B9"/>
    <w:rsid w:val="5B5F034D"/>
    <w:rsid w:val="5B64318C"/>
    <w:rsid w:val="5B6D0D13"/>
    <w:rsid w:val="5B7377AF"/>
    <w:rsid w:val="5B8B731A"/>
    <w:rsid w:val="5B8F6EDB"/>
    <w:rsid w:val="5B974CD1"/>
    <w:rsid w:val="5BB46942"/>
    <w:rsid w:val="5BB667F6"/>
    <w:rsid w:val="5BC05588"/>
    <w:rsid w:val="5BC220A3"/>
    <w:rsid w:val="5BE21F66"/>
    <w:rsid w:val="5BFB37A6"/>
    <w:rsid w:val="5C0649CB"/>
    <w:rsid w:val="5C0A657E"/>
    <w:rsid w:val="5C1E3040"/>
    <w:rsid w:val="5C240C7B"/>
    <w:rsid w:val="5C2B0BC3"/>
    <w:rsid w:val="5C38160B"/>
    <w:rsid w:val="5C483AC9"/>
    <w:rsid w:val="5C695927"/>
    <w:rsid w:val="5C6C4382"/>
    <w:rsid w:val="5C81255C"/>
    <w:rsid w:val="5C937279"/>
    <w:rsid w:val="5C945BC7"/>
    <w:rsid w:val="5CA52AF5"/>
    <w:rsid w:val="5CAA01D9"/>
    <w:rsid w:val="5CBD68BE"/>
    <w:rsid w:val="5CBE4413"/>
    <w:rsid w:val="5CC302F6"/>
    <w:rsid w:val="5CC71DD7"/>
    <w:rsid w:val="5CCE1A7B"/>
    <w:rsid w:val="5CD25932"/>
    <w:rsid w:val="5CDA7002"/>
    <w:rsid w:val="5CDD0615"/>
    <w:rsid w:val="5CF93445"/>
    <w:rsid w:val="5CFE68E7"/>
    <w:rsid w:val="5D2A30F8"/>
    <w:rsid w:val="5D2D6047"/>
    <w:rsid w:val="5D346EFF"/>
    <w:rsid w:val="5D42415C"/>
    <w:rsid w:val="5D4C3FFE"/>
    <w:rsid w:val="5D560A6A"/>
    <w:rsid w:val="5D73146B"/>
    <w:rsid w:val="5D737E30"/>
    <w:rsid w:val="5D7C0782"/>
    <w:rsid w:val="5DA429DD"/>
    <w:rsid w:val="5DB857AD"/>
    <w:rsid w:val="5DCD5A99"/>
    <w:rsid w:val="5DD07BCE"/>
    <w:rsid w:val="5DDE2965"/>
    <w:rsid w:val="5DE0254E"/>
    <w:rsid w:val="5DEF5CCF"/>
    <w:rsid w:val="5DF64611"/>
    <w:rsid w:val="5DFF13CA"/>
    <w:rsid w:val="5E0041A2"/>
    <w:rsid w:val="5E032C9E"/>
    <w:rsid w:val="5E0B635A"/>
    <w:rsid w:val="5E1460D2"/>
    <w:rsid w:val="5E186812"/>
    <w:rsid w:val="5E2033B7"/>
    <w:rsid w:val="5E37053B"/>
    <w:rsid w:val="5E38534E"/>
    <w:rsid w:val="5E6561C5"/>
    <w:rsid w:val="5E744CFD"/>
    <w:rsid w:val="5E821DB1"/>
    <w:rsid w:val="5E8D2A1A"/>
    <w:rsid w:val="5EA11D24"/>
    <w:rsid w:val="5EB36279"/>
    <w:rsid w:val="5EC733DE"/>
    <w:rsid w:val="5ED92AEC"/>
    <w:rsid w:val="5EDD46EA"/>
    <w:rsid w:val="5EEC24C2"/>
    <w:rsid w:val="5EEC3EAB"/>
    <w:rsid w:val="5EF37788"/>
    <w:rsid w:val="5EF46B56"/>
    <w:rsid w:val="5F153191"/>
    <w:rsid w:val="5F323F5F"/>
    <w:rsid w:val="5F3645AE"/>
    <w:rsid w:val="5F372A1F"/>
    <w:rsid w:val="5F3A23BC"/>
    <w:rsid w:val="5F460C39"/>
    <w:rsid w:val="5F691E20"/>
    <w:rsid w:val="5F6F658A"/>
    <w:rsid w:val="5F736ABC"/>
    <w:rsid w:val="5F764CAF"/>
    <w:rsid w:val="5F8E65C9"/>
    <w:rsid w:val="5F8F1D12"/>
    <w:rsid w:val="5F975076"/>
    <w:rsid w:val="5F9770BB"/>
    <w:rsid w:val="5F9B4EEA"/>
    <w:rsid w:val="5FA22B96"/>
    <w:rsid w:val="5FA45D00"/>
    <w:rsid w:val="5FB1336B"/>
    <w:rsid w:val="5FB30FD3"/>
    <w:rsid w:val="5FB6637D"/>
    <w:rsid w:val="5FB9366A"/>
    <w:rsid w:val="5FBB64E6"/>
    <w:rsid w:val="5FDB3FC1"/>
    <w:rsid w:val="5FDD515B"/>
    <w:rsid w:val="5FDE4B73"/>
    <w:rsid w:val="5FE247BE"/>
    <w:rsid w:val="5FEB56E6"/>
    <w:rsid w:val="5FEC36A0"/>
    <w:rsid w:val="600668A3"/>
    <w:rsid w:val="60090A04"/>
    <w:rsid w:val="601F1C35"/>
    <w:rsid w:val="60210B27"/>
    <w:rsid w:val="602651FC"/>
    <w:rsid w:val="603C43A1"/>
    <w:rsid w:val="6040639C"/>
    <w:rsid w:val="604665EA"/>
    <w:rsid w:val="604C533F"/>
    <w:rsid w:val="605B7E8A"/>
    <w:rsid w:val="605C6D1E"/>
    <w:rsid w:val="605E59DD"/>
    <w:rsid w:val="606F4A3C"/>
    <w:rsid w:val="60721EF5"/>
    <w:rsid w:val="607A0067"/>
    <w:rsid w:val="607C2F7B"/>
    <w:rsid w:val="607C7302"/>
    <w:rsid w:val="60846BA6"/>
    <w:rsid w:val="6098223A"/>
    <w:rsid w:val="609C1C7C"/>
    <w:rsid w:val="609E675C"/>
    <w:rsid w:val="60B3541A"/>
    <w:rsid w:val="60B60A66"/>
    <w:rsid w:val="60BB7FE3"/>
    <w:rsid w:val="60D4644C"/>
    <w:rsid w:val="60E2185B"/>
    <w:rsid w:val="60E86ACC"/>
    <w:rsid w:val="60EF51B9"/>
    <w:rsid w:val="610B3038"/>
    <w:rsid w:val="610B5045"/>
    <w:rsid w:val="610E0B33"/>
    <w:rsid w:val="612E7213"/>
    <w:rsid w:val="613B6F0D"/>
    <w:rsid w:val="61442516"/>
    <w:rsid w:val="61540B49"/>
    <w:rsid w:val="61572619"/>
    <w:rsid w:val="6157463B"/>
    <w:rsid w:val="615B2673"/>
    <w:rsid w:val="616F4361"/>
    <w:rsid w:val="618D5292"/>
    <w:rsid w:val="619D78CE"/>
    <w:rsid w:val="61A344C9"/>
    <w:rsid w:val="61AB116C"/>
    <w:rsid w:val="61C63070"/>
    <w:rsid w:val="61D95E93"/>
    <w:rsid w:val="61F15168"/>
    <w:rsid w:val="62012E19"/>
    <w:rsid w:val="620C4DF8"/>
    <w:rsid w:val="62193FAD"/>
    <w:rsid w:val="621C440C"/>
    <w:rsid w:val="62410F80"/>
    <w:rsid w:val="62483940"/>
    <w:rsid w:val="62487DE4"/>
    <w:rsid w:val="62652C50"/>
    <w:rsid w:val="627062C5"/>
    <w:rsid w:val="62743C04"/>
    <w:rsid w:val="627C183B"/>
    <w:rsid w:val="62891FAB"/>
    <w:rsid w:val="628F5976"/>
    <w:rsid w:val="628F77C1"/>
    <w:rsid w:val="6295025A"/>
    <w:rsid w:val="62AF7A60"/>
    <w:rsid w:val="62B11F77"/>
    <w:rsid w:val="62D12C0C"/>
    <w:rsid w:val="62D2414E"/>
    <w:rsid w:val="62D33B51"/>
    <w:rsid w:val="62F170C4"/>
    <w:rsid w:val="62F54831"/>
    <w:rsid w:val="62F62DFE"/>
    <w:rsid w:val="62FE6FC1"/>
    <w:rsid w:val="62FE72D8"/>
    <w:rsid w:val="62FF3A62"/>
    <w:rsid w:val="630B738B"/>
    <w:rsid w:val="63160CBE"/>
    <w:rsid w:val="633E35B3"/>
    <w:rsid w:val="63470EAE"/>
    <w:rsid w:val="634D2D5C"/>
    <w:rsid w:val="634E355C"/>
    <w:rsid w:val="635C3DC1"/>
    <w:rsid w:val="63624C24"/>
    <w:rsid w:val="637654F1"/>
    <w:rsid w:val="637C3161"/>
    <w:rsid w:val="63856413"/>
    <w:rsid w:val="638959F8"/>
    <w:rsid w:val="63B05CBA"/>
    <w:rsid w:val="63BA658F"/>
    <w:rsid w:val="63C4371A"/>
    <w:rsid w:val="63CC099E"/>
    <w:rsid w:val="63D201A3"/>
    <w:rsid w:val="63D62D65"/>
    <w:rsid w:val="63FF4FDA"/>
    <w:rsid w:val="64003D27"/>
    <w:rsid w:val="64011538"/>
    <w:rsid w:val="64131720"/>
    <w:rsid w:val="64151F48"/>
    <w:rsid w:val="641A5A2A"/>
    <w:rsid w:val="642228DA"/>
    <w:rsid w:val="64231ECE"/>
    <w:rsid w:val="643D748C"/>
    <w:rsid w:val="644129CB"/>
    <w:rsid w:val="64432C55"/>
    <w:rsid w:val="6443642D"/>
    <w:rsid w:val="64527D21"/>
    <w:rsid w:val="64663BB3"/>
    <w:rsid w:val="646E04C5"/>
    <w:rsid w:val="646F31ED"/>
    <w:rsid w:val="64AD388C"/>
    <w:rsid w:val="64B60830"/>
    <w:rsid w:val="64CC2881"/>
    <w:rsid w:val="64E33E31"/>
    <w:rsid w:val="64E7496B"/>
    <w:rsid w:val="64F41899"/>
    <w:rsid w:val="651D4B82"/>
    <w:rsid w:val="651E49ED"/>
    <w:rsid w:val="65301BBB"/>
    <w:rsid w:val="653D1440"/>
    <w:rsid w:val="656942F9"/>
    <w:rsid w:val="657113A2"/>
    <w:rsid w:val="657208C9"/>
    <w:rsid w:val="657B4235"/>
    <w:rsid w:val="657D34ED"/>
    <w:rsid w:val="657E6542"/>
    <w:rsid w:val="65A618A6"/>
    <w:rsid w:val="65B03BBF"/>
    <w:rsid w:val="65CD3CDA"/>
    <w:rsid w:val="65D04378"/>
    <w:rsid w:val="65EC32C9"/>
    <w:rsid w:val="65EF5856"/>
    <w:rsid w:val="65F01862"/>
    <w:rsid w:val="65F52F9A"/>
    <w:rsid w:val="65F602B7"/>
    <w:rsid w:val="65FC5FDC"/>
    <w:rsid w:val="66143F26"/>
    <w:rsid w:val="66364BCF"/>
    <w:rsid w:val="66562A60"/>
    <w:rsid w:val="66564BC8"/>
    <w:rsid w:val="665C2916"/>
    <w:rsid w:val="668E64B3"/>
    <w:rsid w:val="668F5428"/>
    <w:rsid w:val="66BC375D"/>
    <w:rsid w:val="66C66E69"/>
    <w:rsid w:val="66E53E53"/>
    <w:rsid w:val="67136263"/>
    <w:rsid w:val="67160C02"/>
    <w:rsid w:val="67164028"/>
    <w:rsid w:val="6747738D"/>
    <w:rsid w:val="675D3840"/>
    <w:rsid w:val="67704403"/>
    <w:rsid w:val="67760CA3"/>
    <w:rsid w:val="67780061"/>
    <w:rsid w:val="678169CB"/>
    <w:rsid w:val="678278F4"/>
    <w:rsid w:val="67834728"/>
    <w:rsid w:val="67A75BDE"/>
    <w:rsid w:val="67B371FE"/>
    <w:rsid w:val="67BF28F6"/>
    <w:rsid w:val="67C26B83"/>
    <w:rsid w:val="67CC2746"/>
    <w:rsid w:val="67E0550A"/>
    <w:rsid w:val="67E623F7"/>
    <w:rsid w:val="67E86EA6"/>
    <w:rsid w:val="67FF2592"/>
    <w:rsid w:val="681253D0"/>
    <w:rsid w:val="68164BBE"/>
    <w:rsid w:val="681A5D9A"/>
    <w:rsid w:val="681F50F3"/>
    <w:rsid w:val="6839447F"/>
    <w:rsid w:val="685A6D95"/>
    <w:rsid w:val="686B0930"/>
    <w:rsid w:val="68704F16"/>
    <w:rsid w:val="68713155"/>
    <w:rsid w:val="687A73D2"/>
    <w:rsid w:val="688C4647"/>
    <w:rsid w:val="688C47A2"/>
    <w:rsid w:val="68A936D3"/>
    <w:rsid w:val="68E33258"/>
    <w:rsid w:val="68E90D50"/>
    <w:rsid w:val="68F2680E"/>
    <w:rsid w:val="6907422C"/>
    <w:rsid w:val="691E2652"/>
    <w:rsid w:val="69266E8A"/>
    <w:rsid w:val="69271690"/>
    <w:rsid w:val="692E7875"/>
    <w:rsid w:val="692F61F3"/>
    <w:rsid w:val="69384C44"/>
    <w:rsid w:val="6939785B"/>
    <w:rsid w:val="694220A7"/>
    <w:rsid w:val="69546ECF"/>
    <w:rsid w:val="695C7984"/>
    <w:rsid w:val="69651E53"/>
    <w:rsid w:val="696F5123"/>
    <w:rsid w:val="69722B5F"/>
    <w:rsid w:val="69BD10D9"/>
    <w:rsid w:val="69C34A4D"/>
    <w:rsid w:val="69C55233"/>
    <w:rsid w:val="69D56401"/>
    <w:rsid w:val="69EB0D20"/>
    <w:rsid w:val="69FA536B"/>
    <w:rsid w:val="69FB5F53"/>
    <w:rsid w:val="69FE0DB8"/>
    <w:rsid w:val="6A0441D2"/>
    <w:rsid w:val="6A1C22CC"/>
    <w:rsid w:val="6A263DCB"/>
    <w:rsid w:val="6A436251"/>
    <w:rsid w:val="6A477E6C"/>
    <w:rsid w:val="6A4D3406"/>
    <w:rsid w:val="6A8422A7"/>
    <w:rsid w:val="6AE27FA9"/>
    <w:rsid w:val="6AE866A8"/>
    <w:rsid w:val="6AEC3296"/>
    <w:rsid w:val="6AF619D0"/>
    <w:rsid w:val="6B0234C3"/>
    <w:rsid w:val="6B051D29"/>
    <w:rsid w:val="6B0F4348"/>
    <w:rsid w:val="6B0F7C6D"/>
    <w:rsid w:val="6B1002F1"/>
    <w:rsid w:val="6B106310"/>
    <w:rsid w:val="6B120F8F"/>
    <w:rsid w:val="6B3B10A6"/>
    <w:rsid w:val="6B3D0EFC"/>
    <w:rsid w:val="6B4104A3"/>
    <w:rsid w:val="6B5D66AE"/>
    <w:rsid w:val="6B64436A"/>
    <w:rsid w:val="6B703D33"/>
    <w:rsid w:val="6B711B7A"/>
    <w:rsid w:val="6B7F0FE2"/>
    <w:rsid w:val="6B880546"/>
    <w:rsid w:val="6B8B053B"/>
    <w:rsid w:val="6B8B2CCF"/>
    <w:rsid w:val="6B956DD7"/>
    <w:rsid w:val="6B9A54CA"/>
    <w:rsid w:val="6BAA3295"/>
    <w:rsid w:val="6BAC762C"/>
    <w:rsid w:val="6BB85380"/>
    <w:rsid w:val="6BC04BC3"/>
    <w:rsid w:val="6BCC6911"/>
    <w:rsid w:val="6BD9538D"/>
    <w:rsid w:val="6BE8725E"/>
    <w:rsid w:val="6BED3FC3"/>
    <w:rsid w:val="6BF74B72"/>
    <w:rsid w:val="6C0905E4"/>
    <w:rsid w:val="6C152647"/>
    <w:rsid w:val="6C275586"/>
    <w:rsid w:val="6C276CBC"/>
    <w:rsid w:val="6C2F6077"/>
    <w:rsid w:val="6C3E7632"/>
    <w:rsid w:val="6C4A6328"/>
    <w:rsid w:val="6C506F42"/>
    <w:rsid w:val="6C5515E2"/>
    <w:rsid w:val="6C5A67BA"/>
    <w:rsid w:val="6C5F1F18"/>
    <w:rsid w:val="6C6608D6"/>
    <w:rsid w:val="6C776BE8"/>
    <w:rsid w:val="6C8170A6"/>
    <w:rsid w:val="6C8D2FC3"/>
    <w:rsid w:val="6C924C7C"/>
    <w:rsid w:val="6CC6066A"/>
    <w:rsid w:val="6CE452D6"/>
    <w:rsid w:val="6CEF7831"/>
    <w:rsid w:val="6CF34C85"/>
    <w:rsid w:val="6CF86215"/>
    <w:rsid w:val="6D093B38"/>
    <w:rsid w:val="6D0B0DAF"/>
    <w:rsid w:val="6D0B504F"/>
    <w:rsid w:val="6D121DD4"/>
    <w:rsid w:val="6D142D9C"/>
    <w:rsid w:val="6D226543"/>
    <w:rsid w:val="6D2F407A"/>
    <w:rsid w:val="6D373158"/>
    <w:rsid w:val="6D3A4DEC"/>
    <w:rsid w:val="6D505863"/>
    <w:rsid w:val="6D614CAA"/>
    <w:rsid w:val="6D657B01"/>
    <w:rsid w:val="6D68241A"/>
    <w:rsid w:val="6D6C7802"/>
    <w:rsid w:val="6D710087"/>
    <w:rsid w:val="6D722C89"/>
    <w:rsid w:val="6D755791"/>
    <w:rsid w:val="6D8D7A35"/>
    <w:rsid w:val="6D916833"/>
    <w:rsid w:val="6DC04CD2"/>
    <w:rsid w:val="6DC85709"/>
    <w:rsid w:val="6DDB69F4"/>
    <w:rsid w:val="6DE31AAD"/>
    <w:rsid w:val="6E136A59"/>
    <w:rsid w:val="6E2140CA"/>
    <w:rsid w:val="6E287783"/>
    <w:rsid w:val="6E4F523E"/>
    <w:rsid w:val="6E5729A2"/>
    <w:rsid w:val="6E583A1F"/>
    <w:rsid w:val="6E636B68"/>
    <w:rsid w:val="6E6B5505"/>
    <w:rsid w:val="6E8238AF"/>
    <w:rsid w:val="6EA42846"/>
    <w:rsid w:val="6EAA03B6"/>
    <w:rsid w:val="6EAB742B"/>
    <w:rsid w:val="6EB0558D"/>
    <w:rsid w:val="6EB70C11"/>
    <w:rsid w:val="6EB963E3"/>
    <w:rsid w:val="6EBE2A3D"/>
    <w:rsid w:val="6EC6113E"/>
    <w:rsid w:val="6EC92ADD"/>
    <w:rsid w:val="6ECA022D"/>
    <w:rsid w:val="6EE00EE9"/>
    <w:rsid w:val="6EE24415"/>
    <w:rsid w:val="6EEA444D"/>
    <w:rsid w:val="6EF260EC"/>
    <w:rsid w:val="6EF35A40"/>
    <w:rsid w:val="6F170E2C"/>
    <w:rsid w:val="6F350261"/>
    <w:rsid w:val="6F35349E"/>
    <w:rsid w:val="6F364120"/>
    <w:rsid w:val="6F405152"/>
    <w:rsid w:val="6F4E533A"/>
    <w:rsid w:val="6F7D6DD1"/>
    <w:rsid w:val="6F873884"/>
    <w:rsid w:val="6F913D09"/>
    <w:rsid w:val="6F916853"/>
    <w:rsid w:val="6F984397"/>
    <w:rsid w:val="6FAE4387"/>
    <w:rsid w:val="6FC330BC"/>
    <w:rsid w:val="6FDE5511"/>
    <w:rsid w:val="6FE416AA"/>
    <w:rsid w:val="6FE9303D"/>
    <w:rsid w:val="6FF010B8"/>
    <w:rsid w:val="70003CB6"/>
    <w:rsid w:val="700508FE"/>
    <w:rsid w:val="70067E4F"/>
    <w:rsid w:val="70215BEA"/>
    <w:rsid w:val="702248AC"/>
    <w:rsid w:val="702B2544"/>
    <w:rsid w:val="70390D6C"/>
    <w:rsid w:val="70391A3F"/>
    <w:rsid w:val="70531535"/>
    <w:rsid w:val="70544BEF"/>
    <w:rsid w:val="70672A43"/>
    <w:rsid w:val="7074516A"/>
    <w:rsid w:val="707903F8"/>
    <w:rsid w:val="707E2B2E"/>
    <w:rsid w:val="708009C5"/>
    <w:rsid w:val="70805151"/>
    <w:rsid w:val="70BD14EF"/>
    <w:rsid w:val="70BF0D6E"/>
    <w:rsid w:val="70CA3E6B"/>
    <w:rsid w:val="70E01DD1"/>
    <w:rsid w:val="71027CA7"/>
    <w:rsid w:val="71267D29"/>
    <w:rsid w:val="712810C8"/>
    <w:rsid w:val="713F4830"/>
    <w:rsid w:val="71597165"/>
    <w:rsid w:val="71606C7D"/>
    <w:rsid w:val="718544F1"/>
    <w:rsid w:val="7189294C"/>
    <w:rsid w:val="718B14C9"/>
    <w:rsid w:val="71976AED"/>
    <w:rsid w:val="71A17760"/>
    <w:rsid w:val="71A35335"/>
    <w:rsid w:val="71A40D30"/>
    <w:rsid w:val="71A44859"/>
    <w:rsid w:val="71AA5D2F"/>
    <w:rsid w:val="71F53362"/>
    <w:rsid w:val="71F60334"/>
    <w:rsid w:val="72027523"/>
    <w:rsid w:val="720C7F43"/>
    <w:rsid w:val="7212671D"/>
    <w:rsid w:val="7219761C"/>
    <w:rsid w:val="721F1D01"/>
    <w:rsid w:val="723E3936"/>
    <w:rsid w:val="727421FD"/>
    <w:rsid w:val="72750781"/>
    <w:rsid w:val="728F4AB1"/>
    <w:rsid w:val="72991D40"/>
    <w:rsid w:val="72AB4A8C"/>
    <w:rsid w:val="72B172DF"/>
    <w:rsid w:val="72BB20A8"/>
    <w:rsid w:val="73090EC9"/>
    <w:rsid w:val="733817AF"/>
    <w:rsid w:val="73405A12"/>
    <w:rsid w:val="7341102A"/>
    <w:rsid w:val="73541544"/>
    <w:rsid w:val="735935F3"/>
    <w:rsid w:val="735C0DB1"/>
    <w:rsid w:val="73830C7C"/>
    <w:rsid w:val="739C3AEB"/>
    <w:rsid w:val="73A17E6A"/>
    <w:rsid w:val="73BB6668"/>
    <w:rsid w:val="73C62FAE"/>
    <w:rsid w:val="73D74258"/>
    <w:rsid w:val="73E16D57"/>
    <w:rsid w:val="73E608C0"/>
    <w:rsid w:val="73EA55B0"/>
    <w:rsid w:val="73F63A0D"/>
    <w:rsid w:val="74000CEC"/>
    <w:rsid w:val="74162D7A"/>
    <w:rsid w:val="74185868"/>
    <w:rsid w:val="74194A41"/>
    <w:rsid w:val="74252A72"/>
    <w:rsid w:val="744C6089"/>
    <w:rsid w:val="7452343B"/>
    <w:rsid w:val="745C3615"/>
    <w:rsid w:val="746049BA"/>
    <w:rsid w:val="74657C23"/>
    <w:rsid w:val="74831240"/>
    <w:rsid w:val="74874E5A"/>
    <w:rsid w:val="749566AC"/>
    <w:rsid w:val="74A2568B"/>
    <w:rsid w:val="74AE06FF"/>
    <w:rsid w:val="74B27921"/>
    <w:rsid w:val="74C96C9B"/>
    <w:rsid w:val="74D173FB"/>
    <w:rsid w:val="74ED42C5"/>
    <w:rsid w:val="74EE2312"/>
    <w:rsid w:val="74F708D2"/>
    <w:rsid w:val="7501454E"/>
    <w:rsid w:val="7506375F"/>
    <w:rsid w:val="750722DF"/>
    <w:rsid w:val="750C6A4F"/>
    <w:rsid w:val="7512623F"/>
    <w:rsid w:val="752E36B1"/>
    <w:rsid w:val="75327BC9"/>
    <w:rsid w:val="754601B3"/>
    <w:rsid w:val="75596138"/>
    <w:rsid w:val="75662D47"/>
    <w:rsid w:val="75713880"/>
    <w:rsid w:val="759E3EE8"/>
    <w:rsid w:val="75A76FBE"/>
    <w:rsid w:val="75B06664"/>
    <w:rsid w:val="75C00B95"/>
    <w:rsid w:val="75CC0C94"/>
    <w:rsid w:val="75DB1E4F"/>
    <w:rsid w:val="75DE4CCE"/>
    <w:rsid w:val="75E654F2"/>
    <w:rsid w:val="76021882"/>
    <w:rsid w:val="760B0191"/>
    <w:rsid w:val="762568A1"/>
    <w:rsid w:val="762B0462"/>
    <w:rsid w:val="762B6181"/>
    <w:rsid w:val="765C4846"/>
    <w:rsid w:val="766372A6"/>
    <w:rsid w:val="766574D1"/>
    <w:rsid w:val="766A35F9"/>
    <w:rsid w:val="767C3DB4"/>
    <w:rsid w:val="768D24F5"/>
    <w:rsid w:val="769E55DA"/>
    <w:rsid w:val="76B05262"/>
    <w:rsid w:val="76B13107"/>
    <w:rsid w:val="76BE4771"/>
    <w:rsid w:val="76D1535D"/>
    <w:rsid w:val="76D54BB7"/>
    <w:rsid w:val="76DE1045"/>
    <w:rsid w:val="76E66D99"/>
    <w:rsid w:val="76F019D6"/>
    <w:rsid w:val="76FC50CF"/>
    <w:rsid w:val="77086CA8"/>
    <w:rsid w:val="770D41F3"/>
    <w:rsid w:val="77197D25"/>
    <w:rsid w:val="772011BC"/>
    <w:rsid w:val="77304150"/>
    <w:rsid w:val="774521C8"/>
    <w:rsid w:val="7746084D"/>
    <w:rsid w:val="77575234"/>
    <w:rsid w:val="77657F33"/>
    <w:rsid w:val="777A38B7"/>
    <w:rsid w:val="77A47940"/>
    <w:rsid w:val="77AD0BC5"/>
    <w:rsid w:val="77AF2483"/>
    <w:rsid w:val="77D64484"/>
    <w:rsid w:val="77E80EB0"/>
    <w:rsid w:val="77E92124"/>
    <w:rsid w:val="77E922B4"/>
    <w:rsid w:val="77E92A23"/>
    <w:rsid w:val="781A5ED8"/>
    <w:rsid w:val="78446B07"/>
    <w:rsid w:val="78604DF7"/>
    <w:rsid w:val="786258A4"/>
    <w:rsid w:val="78880AE2"/>
    <w:rsid w:val="788F00C3"/>
    <w:rsid w:val="78DD3864"/>
    <w:rsid w:val="78E36715"/>
    <w:rsid w:val="78E63B2A"/>
    <w:rsid w:val="78EE273B"/>
    <w:rsid w:val="79161BAF"/>
    <w:rsid w:val="7928350F"/>
    <w:rsid w:val="792C7D5C"/>
    <w:rsid w:val="792E47E0"/>
    <w:rsid w:val="79326AFC"/>
    <w:rsid w:val="793954C3"/>
    <w:rsid w:val="794C7B39"/>
    <w:rsid w:val="79603022"/>
    <w:rsid w:val="7969405B"/>
    <w:rsid w:val="796B1A04"/>
    <w:rsid w:val="798B1783"/>
    <w:rsid w:val="79B2108A"/>
    <w:rsid w:val="79C345B3"/>
    <w:rsid w:val="79CA707C"/>
    <w:rsid w:val="79ED10C8"/>
    <w:rsid w:val="79ED5D74"/>
    <w:rsid w:val="79EF7587"/>
    <w:rsid w:val="79FA35CF"/>
    <w:rsid w:val="7A0F2527"/>
    <w:rsid w:val="7A3D2035"/>
    <w:rsid w:val="7A417E6A"/>
    <w:rsid w:val="7A440B08"/>
    <w:rsid w:val="7A620823"/>
    <w:rsid w:val="7A7B1A95"/>
    <w:rsid w:val="7A9153FC"/>
    <w:rsid w:val="7A98347A"/>
    <w:rsid w:val="7A986749"/>
    <w:rsid w:val="7A9F16C2"/>
    <w:rsid w:val="7AA222D1"/>
    <w:rsid w:val="7AA76630"/>
    <w:rsid w:val="7AAE57F0"/>
    <w:rsid w:val="7AD14F82"/>
    <w:rsid w:val="7AD22AF8"/>
    <w:rsid w:val="7ADB7905"/>
    <w:rsid w:val="7AF06CD7"/>
    <w:rsid w:val="7AFD70BA"/>
    <w:rsid w:val="7B0501C8"/>
    <w:rsid w:val="7B0B0F3C"/>
    <w:rsid w:val="7B201EEF"/>
    <w:rsid w:val="7B2C0F71"/>
    <w:rsid w:val="7B374B9A"/>
    <w:rsid w:val="7B3B7A20"/>
    <w:rsid w:val="7B3D21CD"/>
    <w:rsid w:val="7B5F6448"/>
    <w:rsid w:val="7B647A4A"/>
    <w:rsid w:val="7B6D54EB"/>
    <w:rsid w:val="7B787C13"/>
    <w:rsid w:val="7B7F441F"/>
    <w:rsid w:val="7B8506B9"/>
    <w:rsid w:val="7B8B77FD"/>
    <w:rsid w:val="7B9730E6"/>
    <w:rsid w:val="7BC35800"/>
    <w:rsid w:val="7BC71689"/>
    <w:rsid w:val="7BCC1FEB"/>
    <w:rsid w:val="7BCC7BBB"/>
    <w:rsid w:val="7BCD4234"/>
    <w:rsid w:val="7BE20360"/>
    <w:rsid w:val="7BE55EC1"/>
    <w:rsid w:val="7C041DE5"/>
    <w:rsid w:val="7C16655C"/>
    <w:rsid w:val="7C1C7050"/>
    <w:rsid w:val="7C3109FE"/>
    <w:rsid w:val="7C566461"/>
    <w:rsid w:val="7C5A2582"/>
    <w:rsid w:val="7C66113B"/>
    <w:rsid w:val="7C694FC9"/>
    <w:rsid w:val="7C71151D"/>
    <w:rsid w:val="7C7718D6"/>
    <w:rsid w:val="7C78688F"/>
    <w:rsid w:val="7C7C0A00"/>
    <w:rsid w:val="7C901885"/>
    <w:rsid w:val="7CBD0644"/>
    <w:rsid w:val="7CBF35C9"/>
    <w:rsid w:val="7CCE140F"/>
    <w:rsid w:val="7D0018A2"/>
    <w:rsid w:val="7D0E09B5"/>
    <w:rsid w:val="7D1D5FBE"/>
    <w:rsid w:val="7D21376C"/>
    <w:rsid w:val="7D2D5273"/>
    <w:rsid w:val="7D383C22"/>
    <w:rsid w:val="7D3943CC"/>
    <w:rsid w:val="7D3B3806"/>
    <w:rsid w:val="7D6F10E6"/>
    <w:rsid w:val="7D707868"/>
    <w:rsid w:val="7D731D61"/>
    <w:rsid w:val="7D7760C4"/>
    <w:rsid w:val="7D7E28D1"/>
    <w:rsid w:val="7D7E678D"/>
    <w:rsid w:val="7D872D8E"/>
    <w:rsid w:val="7D8B198E"/>
    <w:rsid w:val="7D9473A1"/>
    <w:rsid w:val="7DA475DB"/>
    <w:rsid w:val="7DAD1DCC"/>
    <w:rsid w:val="7DB27913"/>
    <w:rsid w:val="7DD17146"/>
    <w:rsid w:val="7DD620D2"/>
    <w:rsid w:val="7DE40DFF"/>
    <w:rsid w:val="7DF5535B"/>
    <w:rsid w:val="7DF6357D"/>
    <w:rsid w:val="7DFC7E2B"/>
    <w:rsid w:val="7E2A386D"/>
    <w:rsid w:val="7E2C1F50"/>
    <w:rsid w:val="7E40364D"/>
    <w:rsid w:val="7E526614"/>
    <w:rsid w:val="7E532896"/>
    <w:rsid w:val="7E646C44"/>
    <w:rsid w:val="7E693633"/>
    <w:rsid w:val="7E955D77"/>
    <w:rsid w:val="7E9764BF"/>
    <w:rsid w:val="7ED72C8B"/>
    <w:rsid w:val="7EDE780A"/>
    <w:rsid w:val="7EE06F82"/>
    <w:rsid w:val="7EEC2CAC"/>
    <w:rsid w:val="7F092DF5"/>
    <w:rsid w:val="7F183048"/>
    <w:rsid w:val="7F205380"/>
    <w:rsid w:val="7F206182"/>
    <w:rsid w:val="7F274FF9"/>
    <w:rsid w:val="7F2A391D"/>
    <w:rsid w:val="7F324672"/>
    <w:rsid w:val="7F35601F"/>
    <w:rsid w:val="7F3F7A05"/>
    <w:rsid w:val="7F4B0239"/>
    <w:rsid w:val="7F657B7B"/>
    <w:rsid w:val="7F67178E"/>
    <w:rsid w:val="7F6D372A"/>
    <w:rsid w:val="7F8B1A78"/>
    <w:rsid w:val="7F933CA5"/>
    <w:rsid w:val="7F9672FD"/>
    <w:rsid w:val="7FA418D8"/>
    <w:rsid w:val="7FA92784"/>
    <w:rsid w:val="7FB966BE"/>
    <w:rsid w:val="7FD7678E"/>
    <w:rsid w:val="7FDD570F"/>
    <w:rsid w:val="7FFA3848"/>
    <w:rsid w:val="7FFD3B6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iPriority="0" w:semiHidden="0" w:name="Normal Indent"/>
    <w:lsdException w:uiPriority="0" w:name="footnote text"/>
    <w:lsdException w:qFormat="1" w:uiPriority="99"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qFormat="1" w:unhideWhenUsed="0" w:uiPriority="0" w:semiHidden="0" w:name="table of authorities"/>
    <w:lsdException w:uiPriority="0" w:name="macro"/>
    <w:lsdException w:qFormat="1" w:unhideWhenUsed="0" w:uiPriority="0" w:semiHidden="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iPriority="99"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99" w:semiHidden="0" w:name="Plain Text"/>
    <w:lsdException w:uiPriority="0" w:name="E-mail Signature"/>
    <w:lsdException w:qFormat="1" w:uiPriority="0" w:semiHidden="0" w:name="Normal (Web)"/>
    <w:lsdException w:qFormat="1" w:uiPriority="0" w:semiHidden="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qFormat="1" w:uiPriority="0" w:semiHidden="0" w:name="HTML Keyboard"/>
    <w:lsdException w:qFormat="1" w:unhideWhenUsed="0" w:uiPriority="0" w:semiHidden="0" w:name="HTML Preformatted"/>
    <w:lsdException w:qFormat="1" w:uiPriority="0" w:semiHidden="0" w:name="HTML Sample"/>
    <w:lsdException w:qFormat="1" w:uiPriority="0" w:semiHidden="0" w:name="HTML Typewriter"/>
    <w:lsdException w:qFormat="1"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6"/>
    <w:qFormat/>
    <w:uiPriority w:val="0"/>
    <w:pPr>
      <w:keepNext/>
      <w:keepLines/>
      <w:spacing w:before="340" w:after="330" w:line="576" w:lineRule="auto"/>
      <w:outlineLvl w:val="0"/>
    </w:pPr>
    <w:rPr>
      <w:b/>
      <w:kern w:val="44"/>
      <w:sz w:val="44"/>
      <w:szCs w:val="20"/>
    </w:rPr>
  </w:style>
  <w:style w:type="paragraph" w:styleId="3">
    <w:name w:val="heading 2"/>
    <w:basedOn w:val="1"/>
    <w:next w:val="1"/>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qFormat/>
    <w:uiPriority w:val="99"/>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outlineLvl w:val="3"/>
    </w:pPr>
    <w:rPr>
      <w:rFonts w:ascii="Arial" w:hAnsi="Arial" w:eastAsia="黑体"/>
      <w:bCs/>
      <w:kern w:val="0"/>
      <w:sz w:val="24"/>
      <w:szCs w:val="28"/>
    </w:rPr>
  </w:style>
  <w:style w:type="paragraph" w:styleId="6">
    <w:name w:val="heading 5"/>
    <w:basedOn w:val="1"/>
    <w:next w:val="1"/>
    <w:qFormat/>
    <w:uiPriority w:val="0"/>
    <w:pPr>
      <w:keepNext/>
      <w:keepLines/>
      <w:spacing w:before="280" w:after="290" w:line="376" w:lineRule="auto"/>
      <w:outlineLvl w:val="4"/>
    </w:pPr>
    <w:rPr>
      <w:b/>
      <w:bCs/>
      <w:sz w:val="28"/>
      <w:szCs w:val="28"/>
    </w:rPr>
  </w:style>
  <w:style w:type="character" w:default="1" w:styleId="30">
    <w:name w:val="Default Paragraph Font"/>
    <w:unhideWhenUsed/>
    <w:qFormat/>
    <w:uiPriority w:val="1"/>
  </w:style>
  <w:style w:type="table" w:default="1" w:styleId="28">
    <w:name w:val="Normal Table"/>
    <w:unhideWhenUsed/>
    <w:qFormat/>
    <w:uiPriority w:val="99"/>
    <w:tblPr>
      <w:tblCellMar>
        <w:top w:w="0" w:type="dxa"/>
        <w:left w:w="108" w:type="dxa"/>
        <w:bottom w:w="0" w:type="dxa"/>
        <w:right w:w="108" w:type="dxa"/>
      </w:tblCellMar>
    </w:tblPr>
  </w:style>
  <w:style w:type="paragraph" w:styleId="7">
    <w:name w:val="table of authorities"/>
    <w:basedOn w:val="1"/>
    <w:next w:val="1"/>
    <w:qFormat/>
    <w:uiPriority w:val="0"/>
    <w:pPr>
      <w:widowControl w:val="0"/>
      <w:ind w:left="420" w:leftChars="200"/>
      <w:jc w:val="both"/>
    </w:pPr>
    <w:rPr>
      <w:rFonts w:ascii="Calibri" w:hAnsi="Calibri" w:eastAsia="宋体" w:cs="Times New Roman"/>
      <w:kern w:val="2"/>
      <w:sz w:val="21"/>
      <w:szCs w:val="24"/>
      <w:lang w:val="en-US" w:eastAsia="zh-CN" w:bidi="ar-SA"/>
    </w:rPr>
  </w:style>
  <w:style w:type="paragraph" w:styleId="8">
    <w:name w:val="Normal Indent"/>
    <w:basedOn w:val="1"/>
    <w:unhideWhenUsed/>
    <w:qFormat/>
    <w:uiPriority w:val="0"/>
    <w:pPr>
      <w:ind w:firstLine="420"/>
    </w:pPr>
    <w:rPr>
      <w:rFonts w:hint="eastAsia" w:ascii="宋体" w:eastAsia="宋体"/>
      <w:sz w:val="32"/>
    </w:rPr>
  </w:style>
  <w:style w:type="paragraph" w:styleId="9">
    <w:name w:val="toa heading"/>
    <w:basedOn w:val="1"/>
    <w:next w:val="1"/>
    <w:qFormat/>
    <w:uiPriority w:val="0"/>
    <w:pPr>
      <w:spacing w:before="120"/>
    </w:pPr>
    <w:rPr>
      <w:rFonts w:ascii="Cambria" w:hAnsi="Cambria" w:eastAsia="宋体"/>
      <w:sz w:val="24"/>
    </w:rPr>
  </w:style>
  <w:style w:type="paragraph" w:styleId="10">
    <w:name w:val="annotation text"/>
    <w:basedOn w:val="1"/>
    <w:link w:val="47"/>
    <w:unhideWhenUsed/>
    <w:qFormat/>
    <w:uiPriority w:val="99"/>
    <w:pPr>
      <w:jc w:val="left"/>
    </w:pPr>
    <w:rPr>
      <w:rFonts w:ascii="Calibri" w:hAnsi="Calibri"/>
    </w:rPr>
  </w:style>
  <w:style w:type="paragraph" w:styleId="11">
    <w:name w:val="Body Text"/>
    <w:basedOn w:val="1"/>
    <w:next w:val="12"/>
    <w:qFormat/>
    <w:uiPriority w:val="0"/>
    <w:pPr>
      <w:spacing w:after="120"/>
    </w:pPr>
    <w:rPr>
      <w:rFonts w:ascii="Times New Roman" w:hAnsi="Times New Roman"/>
      <w:kern w:val="0"/>
      <w:sz w:val="20"/>
    </w:rPr>
  </w:style>
  <w:style w:type="paragraph" w:styleId="12">
    <w:name w:val="Date"/>
    <w:basedOn w:val="1"/>
    <w:next w:val="1"/>
    <w:link w:val="45"/>
    <w:qFormat/>
    <w:uiPriority w:val="0"/>
    <w:pPr>
      <w:ind w:left="100" w:leftChars="2500"/>
    </w:pPr>
    <w:rPr>
      <w:rFonts w:ascii="Calibri" w:hAnsi="Calibri"/>
    </w:rPr>
  </w:style>
  <w:style w:type="paragraph" w:styleId="13">
    <w:name w:val="Body Text Indent"/>
    <w:basedOn w:val="1"/>
    <w:next w:val="1"/>
    <w:qFormat/>
    <w:uiPriority w:val="0"/>
    <w:pPr>
      <w:spacing w:after="120"/>
      <w:ind w:left="420" w:leftChars="200"/>
    </w:pPr>
    <w:rPr>
      <w:rFonts w:eastAsia="宋体"/>
    </w:rPr>
  </w:style>
  <w:style w:type="paragraph" w:styleId="14">
    <w:name w:val="toc 3"/>
    <w:basedOn w:val="1"/>
    <w:next w:val="1"/>
    <w:unhideWhenUsed/>
    <w:qFormat/>
    <w:uiPriority w:val="39"/>
    <w:pPr>
      <w:widowControl/>
      <w:spacing w:after="100" w:line="276" w:lineRule="auto"/>
      <w:ind w:left="440"/>
      <w:jc w:val="left"/>
    </w:pPr>
    <w:rPr>
      <w:rFonts w:ascii="Calibri" w:hAnsi="Calibri" w:eastAsia="宋体" w:cs="Times New Roman"/>
      <w:kern w:val="0"/>
      <w:sz w:val="22"/>
      <w:szCs w:val="22"/>
    </w:rPr>
  </w:style>
  <w:style w:type="paragraph" w:styleId="15">
    <w:name w:val="Plain Text"/>
    <w:basedOn w:val="16"/>
    <w:link w:val="48"/>
    <w:qFormat/>
    <w:uiPriority w:val="99"/>
    <w:rPr>
      <w:rFonts w:ascii="宋体" w:hAnsi="Courier New"/>
      <w:szCs w:val="21"/>
    </w:rPr>
  </w:style>
  <w:style w:type="paragraph" w:customStyle="1" w:styleId="16">
    <w:name w:val="正文1"/>
    <w:next w:val="17"/>
    <w:qFormat/>
    <w:uiPriority w:val="0"/>
    <w:pPr>
      <w:widowControl w:val="0"/>
      <w:jc w:val="both"/>
    </w:pPr>
    <w:rPr>
      <w:rFonts w:ascii="Times New Roman" w:hAnsi="Times New Roman" w:eastAsia="宋体" w:cs="Times New Roman"/>
      <w:lang w:val="en-US" w:eastAsia="zh-CN" w:bidi="ar-SA"/>
    </w:rPr>
  </w:style>
  <w:style w:type="paragraph" w:customStyle="1" w:styleId="17">
    <w:name w:val="标题 21"/>
    <w:basedOn w:val="15"/>
    <w:next w:val="15"/>
    <w:qFormat/>
    <w:uiPriority w:val="9"/>
    <w:pPr>
      <w:keepNext/>
      <w:keepLines/>
      <w:spacing w:before="260" w:after="260" w:line="412" w:lineRule="auto"/>
      <w:outlineLvl w:val="1"/>
    </w:pPr>
    <w:rPr>
      <w:rFonts w:ascii="Arial" w:hAnsi="Arial" w:eastAsia="黑体"/>
      <w:b/>
      <w:sz w:val="32"/>
    </w:rPr>
  </w:style>
  <w:style w:type="paragraph" w:styleId="18">
    <w:name w:val="Balloon Text"/>
    <w:basedOn w:val="1"/>
    <w:link w:val="49"/>
    <w:qFormat/>
    <w:uiPriority w:val="0"/>
    <w:rPr>
      <w:rFonts w:ascii="Calibri" w:hAnsi="Calibri"/>
      <w:sz w:val="18"/>
      <w:szCs w:val="18"/>
    </w:rPr>
  </w:style>
  <w:style w:type="paragraph" w:styleId="19">
    <w:name w:val="footer"/>
    <w:basedOn w:val="1"/>
    <w:qFormat/>
    <w:uiPriority w:val="0"/>
    <w:pPr>
      <w:tabs>
        <w:tab w:val="center" w:pos="4153"/>
        <w:tab w:val="right" w:pos="8306"/>
      </w:tabs>
      <w:snapToGrid w:val="0"/>
      <w:jc w:val="left"/>
    </w:pPr>
    <w:rPr>
      <w:sz w:val="18"/>
    </w:rPr>
  </w:style>
  <w:style w:type="paragraph" w:styleId="2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1">
    <w:name w:val="toc 1"/>
    <w:basedOn w:val="1"/>
    <w:next w:val="1"/>
    <w:qFormat/>
    <w:uiPriority w:val="39"/>
  </w:style>
  <w:style w:type="paragraph" w:styleId="22">
    <w:name w:val="toc 2"/>
    <w:basedOn w:val="1"/>
    <w:next w:val="1"/>
    <w:qFormat/>
    <w:uiPriority w:val="39"/>
    <w:pPr>
      <w:ind w:left="420" w:leftChars="200"/>
    </w:pPr>
  </w:style>
  <w:style w:type="paragraph" w:styleId="2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4">
    <w:name w:val="Normal (Web)"/>
    <w:basedOn w:val="1"/>
    <w:unhideWhenUsed/>
    <w:qFormat/>
    <w:uiPriority w:val="0"/>
    <w:pPr>
      <w:widowControl/>
      <w:spacing w:before="100" w:beforeAutospacing="1" w:after="100" w:afterAutospacing="1"/>
      <w:jc w:val="left"/>
    </w:pPr>
    <w:rPr>
      <w:rFonts w:ascii="宋体" w:hAnsi="宋体" w:eastAsia="宋体" w:cs="宋体"/>
      <w:kern w:val="0"/>
      <w:sz w:val="24"/>
    </w:rPr>
  </w:style>
  <w:style w:type="paragraph" w:styleId="25">
    <w:name w:val="annotation subject"/>
    <w:basedOn w:val="10"/>
    <w:next w:val="10"/>
    <w:link w:val="50"/>
    <w:qFormat/>
    <w:uiPriority w:val="0"/>
    <w:rPr>
      <w:b/>
      <w:bCs/>
    </w:rPr>
  </w:style>
  <w:style w:type="paragraph" w:styleId="26">
    <w:name w:val="Body Text First Indent"/>
    <w:basedOn w:val="11"/>
    <w:next w:val="1"/>
    <w:unhideWhenUsed/>
    <w:qFormat/>
    <w:uiPriority w:val="99"/>
    <w:pPr>
      <w:spacing w:line="360" w:lineRule="auto"/>
      <w:ind w:firstLine="420" w:firstLineChars="100"/>
    </w:pPr>
    <w:rPr>
      <w:rFonts w:ascii="微软雅黑" w:hAnsi="微软雅黑" w:eastAsia="微软雅黑" w:cs="微软雅黑"/>
      <w:szCs w:val="21"/>
    </w:rPr>
  </w:style>
  <w:style w:type="paragraph" w:styleId="27">
    <w:name w:val="Body Text First Indent 2"/>
    <w:basedOn w:val="13"/>
    <w:next w:val="1"/>
    <w:unhideWhenUsed/>
    <w:qFormat/>
    <w:uiPriority w:val="99"/>
    <w:pPr>
      <w:spacing w:after="0" w:line="360" w:lineRule="auto"/>
      <w:ind w:left="0" w:leftChars="0" w:firstLine="420" w:firstLineChars="200"/>
    </w:pPr>
    <w:rPr>
      <w:rFonts w:ascii="宋体" w:eastAsia="微软雅黑" w:cs="Times New Roman"/>
      <w:sz w:val="24"/>
      <w:szCs w:val="20"/>
    </w:r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qFormat/>
    <w:uiPriority w:val="0"/>
    <w:rPr>
      <w:b/>
    </w:rPr>
  </w:style>
  <w:style w:type="character" w:styleId="32">
    <w:name w:val="page number"/>
    <w:basedOn w:val="30"/>
    <w:qFormat/>
    <w:uiPriority w:val="0"/>
  </w:style>
  <w:style w:type="character" w:styleId="33">
    <w:name w:val="FollowedHyperlink"/>
    <w:basedOn w:val="30"/>
    <w:unhideWhenUsed/>
    <w:qFormat/>
    <w:uiPriority w:val="0"/>
    <w:rPr>
      <w:color w:val="800080"/>
      <w:u w:val="none"/>
    </w:rPr>
  </w:style>
  <w:style w:type="character" w:styleId="34">
    <w:name w:val="Emphasis"/>
    <w:basedOn w:val="30"/>
    <w:qFormat/>
    <w:uiPriority w:val="0"/>
    <w:rPr>
      <w:rFonts w:ascii="微软雅黑" w:hAnsi="微软雅黑" w:eastAsia="微软雅黑" w:cs="微软雅黑"/>
      <w:b/>
      <w:sz w:val="18"/>
      <w:szCs w:val="18"/>
    </w:rPr>
  </w:style>
  <w:style w:type="character" w:styleId="35">
    <w:name w:val="HTML Definition"/>
    <w:basedOn w:val="30"/>
    <w:unhideWhenUsed/>
    <w:qFormat/>
    <w:uiPriority w:val="0"/>
  </w:style>
  <w:style w:type="character" w:styleId="36">
    <w:name w:val="HTML Typewriter"/>
    <w:basedOn w:val="30"/>
    <w:unhideWhenUsed/>
    <w:qFormat/>
    <w:uiPriority w:val="0"/>
    <w:rPr>
      <w:rFonts w:hint="default" w:ascii="monospace" w:hAnsi="monospace" w:eastAsia="monospace" w:cs="monospace"/>
      <w:sz w:val="20"/>
    </w:rPr>
  </w:style>
  <w:style w:type="character" w:styleId="37">
    <w:name w:val="HTML Acronym"/>
    <w:basedOn w:val="30"/>
    <w:unhideWhenUsed/>
    <w:qFormat/>
    <w:uiPriority w:val="0"/>
  </w:style>
  <w:style w:type="character" w:styleId="38">
    <w:name w:val="HTML Variable"/>
    <w:basedOn w:val="30"/>
    <w:unhideWhenUsed/>
    <w:qFormat/>
    <w:uiPriority w:val="0"/>
  </w:style>
  <w:style w:type="character" w:styleId="39">
    <w:name w:val="Hyperlink"/>
    <w:basedOn w:val="30"/>
    <w:qFormat/>
    <w:uiPriority w:val="99"/>
    <w:rPr>
      <w:color w:val="0000FF"/>
      <w:u w:val="none"/>
    </w:rPr>
  </w:style>
  <w:style w:type="character" w:styleId="40">
    <w:name w:val="HTML Code"/>
    <w:basedOn w:val="30"/>
    <w:unhideWhenUsed/>
    <w:qFormat/>
    <w:uiPriority w:val="0"/>
    <w:rPr>
      <w:rFonts w:ascii="monospace" w:hAnsi="monospace" w:eastAsia="monospace" w:cs="monospace"/>
      <w:sz w:val="20"/>
    </w:rPr>
  </w:style>
  <w:style w:type="character" w:styleId="41">
    <w:name w:val="annotation reference"/>
    <w:unhideWhenUsed/>
    <w:qFormat/>
    <w:uiPriority w:val="99"/>
    <w:rPr>
      <w:sz w:val="21"/>
      <w:szCs w:val="21"/>
    </w:rPr>
  </w:style>
  <w:style w:type="character" w:styleId="42">
    <w:name w:val="HTML Cite"/>
    <w:basedOn w:val="30"/>
    <w:unhideWhenUsed/>
    <w:qFormat/>
    <w:uiPriority w:val="0"/>
  </w:style>
  <w:style w:type="character" w:styleId="43">
    <w:name w:val="HTML Keyboard"/>
    <w:basedOn w:val="30"/>
    <w:unhideWhenUsed/>
    <w:qFormat/>
    <w:uiPriority w:val="0"/>
    <w:rPr>
      <w:rFonts w:hint="default" w:ascii="monospace" w:hAnsi="monospace" w:eastAsia="monospace" w:cs="monospace"/>
      <w:sz w:val="20"/>
    </w:rPr>
  </w:style>
  <w:style w:type="character" w:styleId="44">
    <w:name w:val="HTML Sample"/>
    <w:basedOn w:val="30"/>
    <w:unhideWhenUsed/>
    <w:qFormat/>
    <w:uiPriority w:val="0"/>
    <w:rPr>
      <w:rFonts w:hint="default" w:ascii="monospace" w:hAnsi="monospace" w:eastAsia="monospace" w:cs="monospace"/>
    </w:rPr>
  </w:style>
  <w:style w:type="character" w:customStyle="1" w:styleId="45">
    <w:name w:val="日期 Char"/>
    <w:link w:val="12"/>
    <w:qFormat/>
    <w:uiPriority w:val="0"/>
    <w:rPr>
      <w:rFonts w:ascii="Calibri" w:hAnsi="Calibri" w:eastAsia="宋体" w:cs="Times New Roman"/>
      <w:kern w:val="2"/>
      <w:sz w:val="21"/>
      <w:szCs w:val="24"/>
    </w:rPr>
  </w:style>
  <w:style w:type="character" w:customStyle="1" w:styleId="46">
    <w:name w:val="标题 1 Char"/>
    <w:link w:val="2"/>
    <w:qFormat/>
    <w:uiPriority w:val="0"/>
    <w:rPr>
      <w:b/>
      <w:kern w:val="44"/>
      <w:sz w:val="44"/>
    </w:rPr>
  </w:style>
  <w:style w:type="character" w:customStyle="1" w:styleId="47">
    <w:name w:val="批注文字 Char"/>
    <w:link w:val="10"/>
    <w:qFormat/>
    <w:uiPriority w:val="99"/>
    <w:rPr>
      <w:rFonts w:ascii="Calibri" w:hAnsi="Calibri" w:eastAsia="宋体" w:cs="Times New Roman"/>
      <w:kern w:val="2"/>
      <w:sz w:val="21"/>
      <w:szCs w:val="24"/>
    </w:rPr>
  </w:style>
  <w:style w:type="character" w:customStyle="1" w:styleId="48">
    <w:name w:val="纯文本 Char"/>
    <w:link w:val="15"/>
    <w:qFormat/>
    <w:uiPriority w:val="99"/>
    <w:rPr>
      <w:rFonts w:ascii="宋体" w:hAnsi="Courier New" w:eastAsia="宋体" w:cs="Courier New"/>
      <w:kern w:val="2"/>
      <w:sz w:val="21"/>
      <w:szCs w:val="21"/>
    </w:rPr>
  </w:style>
  <w:style w:type="character" w:customStyle="1" w:styleId="49">
    <w:name w:val="批注框文本 Char"/>
    <w:link w:val="18"/>
    <w:qFormat/>
    <w:uiPriority w:val="0"/>
    <w:rPr>
      <w:rFonts w:ascii="Calibri" w:hAnsi="Calibri" w:eastAsia="宋体" w:cs="Times New Roman"/>
      <w:kern w:val="2"/>
      <w:sz w:val="18"/>
      <w:szCs w:val="18"/>
    </w:rPr>
  </w:style>
  <w:style w:type="character" w:customStyle="1" w:styleId="50">
    <w:name w:val="批注主题 Char"/>
    <w:link w:val="25"/>
    <w:qFormat/>
    <w:uiPriority w:val="0"/>
    <w:rPr>
      <w:rFonts w:ascii="Calibri" w:hAnsi="Calibri" w:eastAsia="宋体" w:cs="Times New Roman"/>
      <w:b/>
      <w:bCs/>
      <w:kern w:val="2"/>
      <w:sz w:val="21"/>
      <w:szCs w:val="24"/>
    </w:rPr>
  </w:style>
  <w:style w:type="paragraph" w:customStyle="1" w:styleId="5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52">
    <w:name w:val="font21"/>
    <w:basedOn w:val="30"/>
    <w:qFormat/>
    <w:uiPriority w:val="0"/>
    <w:rPr>
      <w:rFonts w:hint="eastAsia" w:ascii="宋体" w:hAnsi="宋体" w:eastAsia="宋体" w:cs="宋体"/>
      <w:color w:val="000000"/>
      <w:sz w:val="20"/>
      <w:szCs w:val="20"/>
      <w:u w:val="none"/>
    </w:rPr>
  </w:style>
  <w:style w:type="character" w:customStyle="1" w:styleId="53">
    <w:name w:val="navname1"/>
    <w:basedOn w:val="30"/>
    <w:qFormat/>
    <w:uiPriority w:val="99"/>
    <w:rPr>
      <w:rFonts w:ascii="Arial" w:hAnsi="Arial" w:cs="Arial"/>
      <w:b/>
      <w:bCs/>
      <w:color w:val="000000"/>
      <w:sz w:val="21"/>
      <w:szCs w:val="21"/>
      <w:u w:val="none"/>
    </w:rPr>
  </w:style>
  <w:style w:type="character" w:customStyle="1" w:styleId="54">
    <w:name w:val="hover2"/>
    <w:basedOn w:val="30"/>
    <w:qFormat/>
    <w:uiPriority w:val="0"/>
    <w:rPr>
      <w:color w:val="2590EB"/>
    </w:rPr>
  </w:style>
  <w:style w:type="character" w:customStyle="1" w:styleId="55">
    <w:name w:val="hover3"/>
    <w:basedOn w:val="30"/>
    <w:qFormat/>
    <w:uiPriority w:val="0"/>
  </w:style>
  <w:style w:type="character" w:customStyle="1" w:styleId="56">
    <w:name w:val="mini-outputtext1"/>
    <w:basedOn w:val="30"/>
    <w:qFormat/>
    <w:uiPriority w:val="0"/>
  </w:style>
  <w:style w:type="character" w:customStyle="1" w:styleId="57">
    <w:name w:val="hover1"/>
    <w:basedOn w:val="30"/>
    <w:qFormat/>
    <w:uiPriority w:val="0"/>
    <w:rPr>
      <w:color w:val="2590EB"/>
    </w:rPr>
  </w:style>
  <w:style w:type="character" w:customStyle="1" w:styleId="58">
    <w:name w:val="checked"/>
    <w:basedOn w:val="30"/>
    <w:qFormat/>
    <w:uiPriority w:val="0"/>
    <w:rPr>
      <w:color w:val="5390CD"/>
    </w:rPr>
  </w:style>
  <w:style w:type="paragraph" w:customStyle="1" w:styleId="59">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0">
    <w:name w:val="Heading 3_0"/>
    <w:basedOn w:val="61"/>
    <w:next w:val="61"/>
    <w:qFormat/>
    <w:uiPriority w:val="0"/>
    <w:pPr>
      <w:keepNext/>
      <w:keepLines/>
      <w:widowControl w:val="0"/>
      <w:spacing w:before="260" w:after="260" w:line="413" w:lineRule="auto"/>
      <w:jc w:val="both"/>
      <w:outlineLvl w:val="2"/>
    </w:pPr>
    <w:rPr>
      <w:b/>
      <w:sz w:val="32"/>
      <w:szCs w:val="20"/>
    </w:rPr>
  </w:style>
  <w:style w:type="paragraph" w:customStyle="1" w:styleId="61">
    <w:name w:val="正文2"/>
    <w:qFormat/>
    <w:uiPriority w:val="0"/>
    <w:rPr>
      <w:rFonts w:ascii="Times New Roman" w:hAnsi="Times New Roman" w:eastAsia="宋体" w:cs="Times New Roman"/>
      <w:sz w:val="24"/>
      <w:szCs w:val="24"/>
      <w:lang w:val="en-US" w:eastAsia="zh-CN" w:bidi="ar-SA"/>
    </w:rPr>
  </w:style>
  <w:style w:type="paragraph" w:customStyle="1" w:styleId="62">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63">
    <w:name w:val="WPSOffice手动目录 1"/>
    <w:qFormat/>
    <w:uiPriority w:val="0"/>
    <w:rPr>
      <w:rFonts w:ascii="Times New Roman" w:hAnsi="Times New Roman" w:eastAsia="宋体" w:cs="Times New Roman"/>
      <w:lang w:val="en-US" w:eastAsia="zh-CN" w:bidi="ar-SA"/>
    </w:rPr>
  </w:style>
  <w:style w:type="paragraph" w:customStyle="1" w:styleId="64">
    <w:name w:val="_Style 4"/>
    <w:basedOn w:val="65"/>
    <w:next w:val="66"/>
    <w:qFormat/>
    <w:uiPriority w:val="0"/>
    <w:pPr>
      <w:outlineLvl w:val="9"/>
    </w:pPr>
  </w:style>
  <w:style w:type="paragraph" w:customStyle="1" w:styleId="65">
    <w:name w:val="标题 1_0"/>
    <w:basedOn w:val="66"/>
    <w:next w:val="66"/>
    <w:qFormat/>
    <w:uiPriority w:val="0"/>
    <w:pPr>
      <w:keepNext/>
      <w:keepLines/>
      <w:spacing w:before="340" w:after="330" w:line="576" w:lineRule="auto"/>
      <w:outlineLvl w:val="0"/>
    </w:pPr>
    <w:rPr>
      <w:rFonts w:ascii="Times New Roman" w:hAnsi="Times New Roman"/>
      <w:b/>
      <w:bCs/>
      <w:kern w:val="44"/>
      <w:sz w:val="44"/>
      <w:szCs w:val="44"/>
    </w:rPr>
  </w:style>
  <w:style w:type="paragraph" w:customStyle="1" w:styleId="66">
    <w:name w:val="正文_1"/>
    <w:qFormat/>
    <w:uiPriority w:val="0"/>
    <w:pPr>
      <w:widowControl w:val="0"/>
      <w:jc w:val="both"/>
    </w:pPr>
    <w:rPr>
      <w:rFonts w:ascii="Times New Roman" w:hAnsi="Times New Roman" w:eastAsia="宋体" w:cs="Times New Roman"/>
      <w:lang w:val="en-US" w:eastAsia="zh-CN" w:bidi="ar-SA"/>
    </w:rPr>
  </w:style>
  <w:style w:type="paragraph" w:customStyle="1" w:styleId="67">
    <w:name w:val="正文_0"/>
    <w:qFormat/>
    <w:uiPriority w:val="0"/>
    <w:pPr>
      <w:widowControl w:val="0"/>
      <w:jc w:val="both"/>
    </w:pPr>
    <w:rPr>
      <w:rFonts w:ascii="Times New Roman" w:hAnsi="Times New Roman" w:eastAsia="宋体" w:cs="Times New Roman"/>
      <w:lang w:val="en-US" w:eastAsia="zh-CN" w:bidi="ar-SA"/>
    </w:rPr>
  </w:style>
  <w:style w:type="paragraph" w:customStyle="1" w:styleId="68">
    <w:name w:val="标题 4_0"/>
    <w:basedOn w:val="67"/>
    <w:next w:val="67"/>
    <w:qFormat/>
    <w:uiPriority w:val="0"/>
    <w:pPr>
      <w:keepNext/>
      <w:keepLines/>
      <w:spacing w:before="280" w:after="290" w:line="372" w:lineRule="auto"/>
      <w:outlineLvl w:val="3"/>
    </w:pPr>
    <w:rPr>
      <w:rFonts w:ascii="Cambria" w:hAnsi="Cambria"/>
      <w:b/>
      <w:bCs/>
      <w:sz w:val="28"/>
      <w:szCs w:val="28"/>
    </w:rPr>
  </w:style>
  <w:style w:type="paragraph" w:customStyle="1" w:styleId="69">
    <w:name w:val="正文_0_0_0"/>
    <w:qFormat/>
    <w:uiPriority w:val="0"/>
    <w:pPr>
      <w:widowControl w:val="0"/>
      <w:jc w:val="both"/>
    </w:pPr>
    <w:rPr>
      <w:rFonts w:ascii="Times New Roman" w:hAnsi="Times New Roman" w:eastAsia="宋体" w:cs="Times New Roman"/>
      <w:szCs w:val="24"/>
      <w:lang w:val="en-US" w:eastAsia="zh-CN" w:bidi="ar-SA"/>
    </w:rPr>
  </w:style>
  <w:style w:type="paragraph" w:styleId="70">
    <w:name w:val="List Paragraph"/>
    <w:basedOn w:val="1"/>
    <w:qFormat/>
    <w:uiPriority w:val="34"/>
    <w:pPr>
      <w:ind w:firstLine="420" w:firstLineChars="200"/>
    </w:pPr>
  </w:style>
  <w:style w:type="paragraph" w:customStyle="1" w:styleId="71">
    <w:name w:val="Normal_3"/>
    <w:qFormat/>
    <w:uiPriority w:val="0"/>
    <w:pPr>
      <w:widowControl w:val="0"/>
      <w:jc w:val="both"/>
    </w:pPr>
    <w:rPr>
      <w:rFonts w:ascii="Times New Roman" w:hAnsi="Times New Roman" w:eastAsia="宋体" w:cs="Times New Roman"/>
      <w:lang w:val="en-US" w:eastAsia="zh-CN" w:bidi="ar-SA"/>
    </w:rPr>
  </w:style>
  <w:style w:type="paragraph" w:customStyle="1" w:styleId="72">
    <w:name w:val="标题 3_0"/>
    <w:basedOn w:val="67"/>
    <w:next w:val="67"/>
    <w:qFormat/>
    <w:uiPriority w:val="0"/>
    <w:pPr>
      <w:keepNext/>
      <w:keepLines/>
      <w:spacing w:before="260" w:after="260" w:line="413" w:lineRule="auto"/>
      <w:outlineLvl w:val="2"/>
    </w:pPr>
    <w:rPr>
      <w:rFonts w:ascii="Times New Roman" w:hAnsi="Times New Roman"/>
      <w:b/>
      <w:bCs/>
      <w:sz w:val="32"/>
      <w:szCs w:val="32"/>
    </w:rPr>
  </w:style>
  <w:style w:type="paragraph" w:customStyle="1" w:styleId="73">
    <w:name w:val="纯文本_0"/>
    <w:basedOn w:val="66"/>
    <w:qFormat/>
    <w:uiPriority w:val="0"/>
    <w:rPr>
      <w:rFonts w:ascii="宋体" w:hAnsi="Courier New"/>
    </w:rPr>
  </w:style>
  <w:style w:type="paragraph" w:styleId="74">
    <w:name w:val="No Spacing"/>
    <w:qFormat/>
    <w:uiPriority w:val="0"/>
    <w:pPr>
      <w:widowControl w:val="0"/>
      <w:pBdr>
        <w:top w:val="single" w:color="auto" w:sz="4" w:space="1"/>
      </w:pBdr>
      <w:jc w:val="both"/>
    </w:pPr>
    <w:rPr>
      <w:rFonts w:ascii="宋体" w:hAnsi="Times New Roman" w:eastAsia="宋体" w:cs="宋体"/>
      <w:kern w:val="2"/>
      <w:sz w:val="32"/>
      <w:szCs w:val="32"/>
      <w:lang w:val="en-US" w:eastAsia="zh-CN" w:bidi="ar-SA"/>
    </w:rPr>
  </w:style>
  <w:style w:type="paragraph" w:customStyle="1" w:styleId="75">
    <w:name w:val="样式1"/>
    <w:basedOn w:val="1"/>
    <w:qFormat/>
    <w:uiPriority w:val="0"/>
    <w:pPr>
      <w:numPr>
        <w:ilvl w:val="0"/>
        <w:numId w:val="1"/>
      </w:numPr>
      <w:adjustRightInd w:val="0"/>
      <w:textAlignment w:val="baseline"/>
    </w:pPr>
    <w:rPr>
      <w:rFonts w:ascii="宋体" w:hAnsi="宋体"/>
      <w:kern w:val="0"/>
      <w:szCs w:val="21"/>
    </w:rPr>
  </w:style>
  <w:style w:type="paragraph" w:customStyle="1" w:styleId="76">
    <w:name w:val="_Style 73"/>
    <w:unhideWhenUsed/>
    <w:qFormat/>
    <w:uiPriority w:val="99"/>
    <w:rPr>
      <w:rFonts w:ascii="Times New Roman" w:hAnsi="Times New Roman" w:eastAsia="宋体" w:cs="Times New Roman"/>
      <w:kern w:val="2"/>
      <w:sz w:val="21"/>
      <w:szCs w:val="24"/>
      <w:lang w:val="en-US" w:eastAsia="zh-CN" w:bidi="ar-SA"/>
    </w:rPr>
  </w:style>
  <w:style w:type="paragraph" w:customStyle="1" w:styleId="77">
    <w:name w:val="Heading 4_0"/>
    <w:basedOn w:val="61"/>
    <w:next w:val="61"/>
    <w:qFormat/>
    <w:uiPriority w:val="0"/>
    <w:pPr>
      <w:keepNext/>
      <w:keepLines/>
      <w:widowControl w:val="0"/>
      <w:spacing w:before="280" w:after="290" w:line="372" w:lineRule="auto"/>
      <w:jc w:val="both"/>
      <w:outlineLvl w:val="3"/>
    </w:pPr>
    <w:rPr>
      <w:rFonts w:ascii="Arial" w:hAnsi="Arial" w:eastAsia="黑体"/>
      <w:b/>
      <w:sz w:val="28"/>
      <w:szCs w:val="20"/>
    </w:rPr>
  </w:style>
  <w:style w:type="paragraph" w:customStyle="1" w:styleId="78">
    <w:name w:val="Normal_4"/>
    <w:qFormat/>
    <w:uiPriority w:val="0"/>
    <w:rPr>
      <w:rFonts w:ascii="Times New Roman" w:hAnsi="Times New Roman" w:eastAsia="宋体" w:cs="Times New Roman"/>
      <w:sz w:val="24"/>
      <w:szCs w:val="24"/>
      <w:lang w:val="en-US" w:eastAsia="zh-CN" w:bidi="ar-SA"/>
    </w:rPr>
  </w:style>
  <w:style w:type="paragraph" w:customStyle="1" w:styleId="79">
    <w:name w:val="列出段落11"/>
    <w:basedOn w:val="1"/>
    <w:qFormat/>
    <w:uiPriority w:val="34"/>
    <w:pPr>
      <w:ind w:firstLine="420" w:firstLineChars="200"/>
    </w:pPr>
    <w:rPr>
      <w:rFonts w:ascii="Calibri" w:hAnsi="Calibri" w:eastAsia="宋体" w:cs="Times New Roman"/>
      <w:szCs w:val="22"/>
      <w:lang w:val="zh-CN"/>
    </w:rPr>
  </w:style>
  <w:style w:type="paragraph" w:customStyle="1" w:styleId="80">
    <w:name w:val="日期_0"/>
    <w:basedOn w:val="1"/>
    <w:next w:val="1"/>
    <w:qFormat/>
    <w:uiPriority w:val="0"/>
    <w:rPr>
      <w:rFonts w:eastAsia="宋体"/>
      <w:kern w:val="0"/>
      <w:sz w:val="24"/>
      <w:szCs w:val="20"/>
    </w:rPr>
  </w:style>
  <w:style w:type="paragraph" w:customStyle="1" w:styleId="81">
    <w:name w:val="Table Paragraph"/>
    <w:basedOn w:val="1"/>
    <w:qFormat/>
    <w:uiPriority w:val="1"/>
    <w:pPr>
      <w:autoSpaceDE w:val="0"/>
      <w:autoSpaceDN w:val="0"/>
      <w:jc w:val="left"/>
    </w:pPr>
    <w:rPr>
      <w:rFonts w:ascii="宋体" w:hAnsi="宋体" w:eastAsia="宋体" w:cs="宋体"/>
      <w:kern w:val="0"/>
      <w:sz w:val="22"/>
      <w:szCs w:val="22"/>
      <w:lang w:val="zh-CN" w:bidi="zh-CN"/>
    </w:rPr>
  </w:style>
  <w:style w:type="paragraph" w:customStyle="1" w:styleId="82">
    <w:name w:val="_Style 79"/>
    <w:basedOn w:val="2"/>
    <w:next w:val="1"/>
    <w:qFormat/>
    <w:uiPriority w:val="39"/>
    <w:pPr>
      <w:widowControl/>
      <w:spacing w:before="480" w:after="0" w:line="276" w:lineRule="auto"/>
      <w:jc w:val="left"/>
      <w:outlineLvl w:val="9"/>
    </w:pPr>
    <w:rPr>
      <w:rFonts w:ascii="Calibri Light" w:hAnsi="Calibri Light" w:eastAsia="宋体" w:cs="Times New Roman"/>
      <w:bCs/>
      <w:color w:val="2E74B5"/>
      <w:kern w:val="0"/>
      <w:sz w:val="28"/>
      <w:szCs w:val="28"/>
    </w:rPr>
  </w:style>
  <w:style w:type="paragraph" w:customStyle="1" w:styleId="83">
    <w:name w:val="列出段落1"/>
    <w:basedOn w:val="1"/>
    <w:qFormat/>
    <w:uiPriority w:val="0"/>
    <w:pPr>
      <w:ind w:firstLine="420" w:firstLineChars="200"/>
    </w:pPr>
    <w:rPr>
      <w:rFonts w:ascii="Times New Roman" w:hAnsi="Times New Roman" w:eastAsia="宋体" w:cs="Times New Roman"/>
      <w:szCs w:val="24"/>
    </w:rPr>
  </w:style>
  <w:style w:type="paragraph" w:customStyle="1" w:styleId="84">
    <w:name w:val="Normal_1"/>
    <w:qFormat/>
    <w:uiPriority w:val="99"/>
    <w:rPr>
      <w:rFonts w:ascii="Times New Roman" w:hAnsi="Times New Roman" w:eastAsia="宋体" w:cs="Times New Roman"/>
      <w:sz w:val="24"/>
      <w:szCs w:val="24"/>
      <w:lang w:val="en-US" w:eastAsia="zh-CN" w:bidi="ar-SA"/>
    </w:rPr>
  </w:style>
  <w:style w:type="paragraph" w:customStyle="1" w:styleId="85">
    <w:name w:val="_Style 5"/>
    <w:basedOn w:val="2"/>
    <w:next w:val="1"/>
    <w:qFormat/>
    <w:uiPriority w:val="0"/>
    <w:pPr>
      <w:outlineLvl w:val="9"/>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wmf"/><Relationship Id="rId10" Type="http://schemas.openxmlformats.org/officeDocument/2006/relationships/oleObject" Target="embeddings/oleObject1.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74</Pages>
  <Words>2228</Words>
  <Characters>2435</Characters>
  <Lines>486</Lines>
  <Paragraphs>136</Paragraphs>
  <TotalTime>1</TotalTime>
  <ScaleCrop>false</ScaleCrop>
  <LinksUpToDate>false</LinksUpToDate>
  <CharactersWithSpaces>2488</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2018-12-23T06:56:00Z</dcterms:created>
  <dc:creator>meimei</dc:creator>
  <cp:lastModifiedBy>园妈</cp:lastModifiedBy>
  <cp:lastPrinted>2025-02-24T08:26:00Z</cp:lastPrinted>
  <dcterms:modified xsi:type="dcterms:W3CDTF">2025-09-18T10:38:13Z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2F3105970DA84BA994D58F080109CB1E_13</vt:lpwstr>
  </property>
  <property fmtid="{D5CDD505-2E9C-101B-9397-08002B2CF9AE}" pid="4" name="KSOTemplateDocerSaveRecord">
    <vt:lpwstr>eyJoZGlkIjoiNmRkNDQwOWY5ZjhhMmE4ZDA5MGJmYzQwOTI1ZmVhMzAiLCJ1c2VySWQiOiI0ODkwMTIxMTMifQ==</vt:lpwstr>
  </property>
</Properties>
</file>